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C31" w:rsidRPr="000303D8" w:rsidRDefault="001C4C31" w:rsidP="001C4C31">
      <w:pPr>
        <w:spacing w:after="0"/>
        <w:jc w:val="right"/>
        <w:rPr>
          <w:bCs/>
        </w:rPr>
      </w:pPr>
      <w:r w:rsidRPr="000303D8">
        <w:rPr>
          <w:bCs/>
        </w:rPr>
        <w:t>Төсөл</w:t>
      </w:r>
    </w:p>
    <w:bookmarkStart w:id="0" w:name="_MON_1594468272"/>
    <w:bookmarkEnd w:id="0"/>
    <w:p w:rsidR="001C4C31" w:rsidRPr="002410CE" w:rsidRDefault="001C4C31" w:rsidP="001C4C31">
      <w:pPr>
        <w:spacing w:after="0"/>
        <w:ind w:left="0"/>
        <w:jc w:val="center"/>
        <w:rPr>
          <w:b/>
          <w:bCs/>
          <w:i/>
        </w:rPr>
      </w:pPr>
      <w:r w:rsidRPr="002410CE">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1.65pt" o:ole="">
            <v:imagedata r:id="rId8" o:title="" grayscale="t" bilevel="t"/>
          </v:shape>
          <o:OLEObject Type="Embed" ProgID="Word.Picture.8" ShapeID="_x0000_i1025" DrawAspect="Content" ObjectID="_1701177455" r:id="rId9"/>
        </w:object>
      </w:r>
    </w:p>
    <w:p w:rsidR="001C4C31" w:rsidRPr="002410CE" w:rsidRDefault="001C4C31" w:rsidP="001C4C31">
      <w:pPr>
        <w:spacing w:after="0"/>
        <w:ind w:left="0"/>
        <w:jc w:val="center"/>
        <w:rPr>
          <w:b/>
          <w:i/>
        </w:rPr>
      </w:pPr>
      <w:r w:rsidRPr="002410CE">
        <w:rPr>
          <w:b/>
        </w:rPr>
        <w:t>МОНГОЛ УЛСЫН СТАНДАРТ</w:t>
      </w:r>
    </w:p>
    <w:p w:rsidR="001C4C31" w:rsidRPr="006C1D71" w:rsidRDefault="001C4C31" w:rsidP="001C4C31">
      <w:pPr>
        <w:spacing w:after="0"/>
        <w:jc w:val="center"/>
        <w:rPr>
          <w:b/>
          <w:i/>
        </w:rPr>
      </w:pPr>
      <w:r>
        <w:rPr>
          <w:noProof/>
          <w:lang w:val="en-US"/>
        </w:rPr>
        <mc:AlternateContent>
          <mc:Choice Requires="wps">
            <w:drawing>
              <wp:anchor distT="4294967294" distB="4294967294" distL="114300" distR="114300" simplePos="0" relativeHeight="251658240" behindDoc="0" locked="0" layoutInCell="0" allowOverlap="1">
                <wp:simplePos x="0" y="0"/>
                <wp:positionH relativeFrom="column">
                  <wp:posOffset>635</wp:posOffset>
                </wp:positionH>
                <wp:positionV relativeFrom="paragraph">
                  <wp:posOffset>59689</wp:posOffset>
                </wp:positionV>
                <wp:extent cx="5939790" cy="0"/>
                <wp:effectExtent l="0" t="19050" r="228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77465"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AHgIAADc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Wy+lAHgIAADcEAAAOAAAAAAAAAAAAAAAAAC4CAABkcnMvZTJvRG9jLnhtbFBLAQItABQA&#10;BgAIAAAAIQAsXrn62QAAAAQBAAAPAAAAAAAAAAAAAAAAAHgEAABkcnMvZG93bnJldi54bWxQSwUG&#10;AAAAAAQABADzAAAAfgUAAAAA&#10;" o:allowincell="f" strokeweight="2.25pt"/>
            </w:pict>
          </mc:Fallback>
        </mc:AlternateContent>
      </w:r>
    </w:p>
    <w:p w:rsidR="001C4C31" w:rsidRPr="002410CE" w:rsidRDefault="001C4C31" w:rsidP="001C4C31">
      <w:pPr>
        <w:spacing w:after="0"/>
        <w:jc w:val="center"/>
        <w:rPr>
          <w:b/>
          <w:bCs/>
          <w:i/>
        </w:rPr>
      </w:pPr>
      <w:r w:rsidRPr="00EF2D2B">
        <w:rPr>
          <w:noProof/>
          <w:lang w:val="en-US"/>
        </w:rPr>
        <w:drawing>
          <wp:anchor distT="0" distB="0" distL="114300" distR="114300" simplePos="0" relativeHeight="251660288" behindDoc="0" locked="0" layoutInCell="1" allowOverlap="1" wp14:anchorId="7F86218B" wp14:editId="57C1DE83">
            <wp:simplePos x="0" y="0"/>
            <wp:positionH relativeFrom="column">
              <wp:posOffset>0</wp:posOffset>
            </wp:positionH>
            <wp:positionV relativeFrom="paragraph">
              <wp:posOffset>178435</wp:posOffset>
            </wp:positionV>
            <wp:extent cx="309245" cy="309245"/>
            <wp:effectExtent l="0" t="0" r="0" b="0"/>
            <wp:wrapSquare wrapText="bothSides"/>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lor inside.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09245" cy="309245"/>
                    </a:xfrm>
                    <a:prstGeom prst="rect">
                      <a:avLst/>
                    </a:prstGeom>
                  </pic:spPr>
                </pic:pic>
              </a:graphicData>
            </a:graphic>
          </wp:anchor>
        </w:drawing>
      </w:r>
    </w:p>
    <w:p w:rsidR="001C4C31" w:rsidRDefault="001C4C31" w:rsidP="001C4C31">
      <w:pPr>
        <w:spacing w:after="120"/>
        <w:ind w:left="0" w:firstLine="0"/>
      </w:pPr>
      <w:r w:rsidRPr="00B43894">
        <w:t>өнгө</w:t>
      </w:r>
    </w:p>
    <w:p w:rsidR="001C4C31" w:rsidRDefault="001C4C31" w:rsidP="001C4C31">
      <w:pPr>
        <w:spacing w:after="120"/>
        <w:ind w:left="0" w:firstLine="0"/>
      </w:pPr>
      <w:r w:rsidRPr="00B43894">
        <w:t>агуулсан</w:t>
      </w:r>
    </w:p>
    <w:p w:rsidR="001C4C31" w:rsidRPr="00B43894" w:rsidRDefault="001C4C31" w:rsidP="001C4C31">
      <w:pPr>
        <w:spacing w:after="120"/>
        <w:ind w:left="0" w:firstLine="0"/>
      </w:pPr>
    </w:p>
    <w:p w:rsidR="001C4C31" w:rsidRPr="00EF2D2B" w:rsidRDefault="001C4C31" w:rsidP="001C4C31">
      <w:pPr>
        <w:tabs>
          <w:tab w:val="left" w:pos="0"/>
        </w:tabs>
        <w:spacing w:before="92"/>
        <w:ind w:left="1790" w:right="1740"/>
        <w:jc w:val="center"/>
        <w:rPr>
          <w:b/>
        </w:rPr>
      </w:pPr>
      <w:r>
        <w:rPr>
          <w:b/>
        </w:rPr>
        <w:t>Э</w:t>
      </w:r>
      <w:r w:rsidRPr="00EF2D2B">
        <w:rPr>
          <w:b/>
        </w:rPr>
        <w:t>рчим хүчний автоматжуулалтын систем ба харилцаа холбооны сүлжээ –</w:t>
      </w:r>
      <w:r>
        <w:rPr>
          <w:b/>
        </w:rPr>
        <w:t xml:space="preserve"> </w:t>
      </w:r>
      <w:r w:rsidRPr="00EF2D2B">
        <w:rPr>
          <w:b/>
        </w:rPr>
        <w:t>Хэсэг 90-5: IEEE C37.118-ийн дагуу синхрофазорын мэдээллийг дамжуулахад IEC 61850-ийг ашиглах</w:t>
      </w:r>
    </w:p>
    <w:p w:rsidR="001C4C31" w:rsidRDefault="001C4C31" w:rsidP="001C4C31">
      <w:pPr>
        <w:spacing w:after="120"/>
        <w:ind w:left="0" w:firstLine="0"/>
        <w:jc w:val="center"/>
        <w:rPr>
          <w:b/>
        </w:rPr>
      </w:pPr>
    </w:p>
    <w:p w:rsidR="001C4C31" w:rsidRPr="00F23001" w:rsidRDefault="001C4C31" w:rsidP="001C4C31">
      <w:pPr>
        <w:pStyle w:val="Heading2"/>
        <w:tabs>
          <w:tab w:val="left" w:pos="0"/>
        </w:tabs>
        <w:spacing w:before="93" w:line="276" w:lineRule="auto"/>
        <w:ind w:right="1740"/>
      </w:pPr>
      <w:r>
        <w:t>Communication networks and systems for power utility automation</w:t>
      </w:r>
      <w:r w:rsidRPr="00EF2D2B">
        <w:rPr>
          <w:lang w:val="mn-MN"/>
        </w:rPr>
        <w:t xml:space="preserve"> –</w:t>
      </w:r>
    </w:p>
    <w:p w:rsidR="001C4C31" w:rsidRPr="00EF2D2B" w:rsidRDefault="001C4C31" w:rsidP="001C4C31">
      <w:pPr>
        <w:tabs>
          <w:tab w:val="left" w:pos="0"/>
        </w:tabs>
        <w:ind w:left="1790" w:right="1739"/>
        <w:jc w:val="center"/>
        <w:rPr>
          <w:b/>
        </w:rPr>
      </w:pPr>
      <w:r w:rsidRPr="00EF2D2B">
        <w:rPr>
          <w:b/>
        </w:rPr>
        <w:t>Part 90-5: Use of IEC 61850 to transmit synchrophasor information according to IEEE C37.118</w:t>
      </w:r>
    </w:p>
    <w:p w:rsidR="001C4C31" w:rsidRDefault="001C4C31" w:rsidP="001C4C31">
      <w:pPr>
        <w:spacing w:after="120"/>
        <w:jc w:val="center"/>
        <w:rPr>
          <w:b/>
          <w:i/>
        </w:rPr>
      </w:pPr>
    </w:p>
    <w:p w:rsidR="001C4C31" w:rsidRDefault="001C4C31" w:rsidP="001C4C31">
      <w:pPr>
        <w:spacing w:after="120"/>
        <w:ind w:left="0" w:firstLine="0"/>
        <w:rPr>
          <w:b/>
          <w:bCs/>
          <w:i/>
        </w:rPr>
      </w:pPr>
    </w:p>
    <w:p w:rsidR="001C4C31" w:rsidRPr="002410CE" w:rsidRDefault="001C4C31" w:rsidP="001C4C31">
      <w:pPr>
        <w:spacing w:after="120"/>
        <w:ind w:left="0" w:firstLine="0"/>
        <w:rPr>
          <w:b/>
          <w:bCs/>
          <w:i/>
        </w:rPr>
      </w:pPr>
    </w:p>
    <w:p w:rsidR="001C4C31" w:rsidRPr="00B43894" w:rsidRDefault="001C4C31" w:rsidP="001C4C31">
      <w:pPr>
        <w:spacing w:after="120"/>
        <w:ind w:left="0"/>
        <w:jc w:val="center"/>
        <w:rPr>
          <w:b/>
        </w:rPr>
      </w:pPr>
      <w:r w:rsidRPr="00B43894">
        <w:rPr>
          <w:b/>
        </w:rPr>
        <w:t>MNS IEC 61850-90-5:2021</w:t>
      </w:r>
    </w:p>
    <w:p w:rsidR="001C4C31" w:rsidRDefault="001C4C31" w:rsidP="001C4C31">
      <w:pPr>
        <w:spacing w:after="120"/>
        <w:ind w:left="0"/>
        <w:jc w:val="center"/>
        <w:rPr>
          <w:b/>
        </w:rPr>
      </w:pPr>
    </w:p>
    <w:p w:rsidR="001C4C31" w:rsidRDefault="001C4C31" w:rsidP="001C4C31">
      <w:pPr>
        <w:spacing w:after="120"/>
        <w:ind w:left="0" w:firstLine="0"/>
        <w:rPr>
          <w:b/>
        </w:rPr>
      </w:pPr>
    </w:p>
    <w:p w:rsidR="001C4C31" w:rsidRPr="002410CE" w:rsidRDefault="001C4C31" w:rsidP="001C4C31">
      <w:pPr>
        <w:spacing w:after="120"/>
        <w:ind w:left="0" w:firstLine="0"/>
        <w:rPr>
          <w:b/>
          <w:bCs/>
          <w:i/>
        </w:rPr>
      </w:pPr>
    </w:p>
    <w:p w:rsidR="001C4C31" w:rsidRDefault="001C4C31" w:rsidP="001C4C31">
      <w:pPr>
        <w:spacing w:after="120"/>
        <w:ind w:hanging="2768"/>
        <w:jc w:val="center"/>
        <w:rPr>
          <w:rFonts w:eastAsiaTheme="minorEastAsia"/>
          <w:b/>
        </w:rPr>
      </w:pPr>
      <w:r w:rsidRPr="002410CE">
        <w:rPr>
          <w:rFonts w:eastAsiaTheme="minorEastAsia"/>
          <w:b/>
        </w:rPr>
        <w:t>Албан хэвлэл</w:t>
      </w:r>
    </w:p>
    <w:p w:rsidR="001C4C31" w:rsidRPr="00826447" w:rsidRDefault="001C4C31" w:rsidP="001C4C31">
      <w:pPr>
        <w:spacing w:after="120"/>
        <w:ind w:hanging="2768"/>
        <w:jc w:val="center"/>
        <w:rPr>
          <w:rFonts w:eastAsiaTheme="minorEastAsia"/>
          <w:b/>
        </w:rPr>
      </w:pPr>
    </w:p>
    <w:p w:rsidR="001C4C31" w:rsidRDefault="001C4C31" w:rsidP="001C4C31">
      <w:pPr>
        <w:spacing w:after="120"/>
        <w:ind w:hanging="2588"/>
        <w:jc w:val="center"/>
        <w:rPr>
          <w:rFonts w:eastAsiaTheme="minorEastAsia"/>
          <w:b/>
          <w:bCs/>
          <w:i/>
        </w:rPr>
      </w:pPr>
      <w:r w:rsidRPr="002410CE">
        <w:rPr>
          <w:rFonts w:eastAsiaTheme="minorEastAsia"/>
          <w:b/>
        </w:rPr>
        <w:t>СТАНДАРТ, ХЭМЖИЛ ЗҮЙН ГАЗАР</w:t>
      </w:r>
    </w:p>
    <w:p w:rsidR="001C4C31" w:rsidRPr="002410CE" w:rsidRDefault="001C4C31" w:rsidP="001C4C31">
      <w:pPr>
        <w:spacing w:after="120"/>
        <w:ind w:hanging="2588"/>
        <w:jc w:val="center"/>
        <w:rPr>
          <w:rFonts w:eastAsiaTheme="minorEastAsia"/>
          <w:b/>
          <w:bCs/>
          <w:i/>
        </w:rPr>
      </w:pPr>
      <w:r w:rsidRPr="002410CE">
        <w:rPr>
          <w:rFonts w:eastAsiaTheme="minorEastAsia"/>
          <w:b/>
        </w:rPr>
        <w:t>Улаанбаатар хот</w:t>
      </w:r>
    </w:p>
    <w:p w:rsidR="001C4C31" w:rsidRPr="00987528" w:rsidRDefault="001C4C31" w:rsidP="001C4C31">
      <w:pPr>
        <w:spacing w:after="120"/>
        <w:ind w:hanging="2318"/>
        <w:jc w:val="center"/>
        <w:rPr>
          <w:rFonts w:eastAsiaTheme="minorEastAsia"/>
          <w:b/>
        </w:rPr>
      </w:pPr>
      <w:r>
        <w:rPr>
          <w:rFonts w:eastAsiaTheme="minorEastAsia"/>
          <w:b/>
        </w:rPr>
        <w:t>2021</w:t>
      </w:r>
      <w:r w:rsidRPr="002410CE">
        <w:rPr>
          <w:rFonts w:eastAsiaTheme="minorEastAsia"/>
          <w:b/>
        </w:rPr>
        <w:t xml:space="preserve"> он</w:t>
      </w:r>
    </w:p>
    <w:p w:rsidR="001C4C31" w:rsidRDefault="001C4C31" w:rsidP="001C4C31">
      <w:pPr>
        <w:spacing w:after="0"/>
        <w:ind w:left="630"/>
        <w:rPr>
          <w:rFonts w:eastAsia="Times New Roman"/>
          <w:lang w:val="en-GB"/>
        </w:rPr>
      </w:pPr>
    </w:p>
    <w:p w:rsidR="001C4C31" w:rsidRDefault="001C4C31" w:rsidP="001C4C31">
      <w:pPr>
        <w:spacing w:after="0"/>
        <w:ind w:left="0" w:firstLine="0"/>
        <w:rPr>
          <w:rFonts w:eastAsia="Times New Roman"/>
          <w:lang w:val="en-GB"/>
        </w:rPr>
      </w:pPr>
      <w:r w:rsidRPr="00B43894">
        <w:rPr>
          <w:rFonts w:eastAsia="Times New Roman"/>
          <w:lang w:val="en-GB"/>
        </w:rPr>
        <w:t>Энэ стандартыг ШУТИС-Эрчим хүчний сургуулийн багш, доктор, дэд профессор Б.Бат-Эрдэнэ орчуулж, иргэн Б.Нямбаяр шүүмж, редакц хийж хянасан.</w:t>
      </w:r>
    </w:p>
    <w:p w:rsidR="001C4C31" w:rsidRPr="00B43894" w:rsidRDefault="001C4C31" w:rsidP="001C4C31">
      <w:pPr>
        <w:spacing w:after="0"/>
        <w:ind w:left="0" w:firstLine="0"/>
        <w:rPr>
          <w:rFonts w:eastAsia="Times New Roman"/>
          <w:lang w:val="en-GB"/>
        </w:rPr>
      </w:pPr>
    </w:p>
    <w:p w:rsidR="001C4C31" w:rsidRPr="00B43894" w:rsidRDefault="001C4C31" w:rsidP="001C4C31">
      <w:pPr>
        <w:spacing w:after="0"/>
        <w:ind w:left="0" w:firstLine="0"/>
        <w:rPr>
          <w:rFonts w:eastAsia="Times New Roman"/>
          <w:lang w:val="en-GB"/>
        </w:rPr>
      </w:pPr>
      <w:r w:rsidRPr="00B43894">
        <w:rPr>
          <w:rFonts w:eastAsia="Times New Roman"/>
          <w:lang w:val="en-GB"/>
        </w:rPr>
        <w:t>Анхны үзлэгийг 2026 онд, дараа нь 5 жил тутамд хийнэ.</w:t>
      </w:r>
    </w:p>
    <w:p w:rsidR="001C4C31" w:rsidRDefault="001C4C31" w:rsidP="001C4C31">
      <w:pPr>
        <w:spacing w:after="0"/>
        <w:ind w:left="630"/>
        <w:rPr>
          <w:rFonts w:eastAsia="Times New Roman"/>
          <w:lang w:val="en-GB"/>
        </w:rPr>
      </w:pPr>
    </w:p>
    <w:p w:rsidR="001C4C31" w:rsidRDefault="001C4C31" w:rsidP="001C4C31">
      <w:pPr>
        <w:spacing w:after="0"/>
        <w:rPr>
          <w:rFonts w:eastAsia="Times New Roman"/>
          <w:lang w:val="en-GB"/>
        </w:rPr>
      </w:pPr>
    </w:p>
    <w:p w:rsidR="001C4C31" w:rsidRDefault="001C4C31" w:rsidP="001C4C31">
      <w:pPr>
        <w:spacing w:after="0"/>
        <w:rPr>
          <w:rFonts w:eastAsia="Times New Roman"/>
          <w:lang w:val="en-GB"/>
        </w:rPr>
      </w:pPr>
    </w:p>
    <w:p w:rsidR="001C4C31" w:rsidRDefault="001C4C31" w:rsidP="001C4C31">
      <w:pPr>
        <w:spacing w:after="0"/>
        <w:rPr>
          <w:rFonts w:eastAsia="Times New Roman"/>
          <w:lang w:val="en-GB"/>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Default="001C4C31" w:rsidP="001C4C31">
      <w:pPr>
        <w:spacing w:after="0"/>
        <w:rPr>
          <w:rFonts w:eastAsia="Times New Roman"/>
          <w:bCs/>
          <w:i/>
        </w:rPr>
      </w:pPr>
    </w:p>
    <w:p w:rsidR="001C4C31" w:rsidRPr="002410CE" w:rsidRDefault="001C4C31" w:rsidP="001C4C31">
      <w:pPr>
        <w:spacing w:after="0"/>
        <w:rPr>
          <w:rFonts w:eastAsia="Times New Roman"/>
          <w:bCs/>
          <w:i/>
        </w:rPr>
      </w:pPr>
    </w:p>
    <w:p w:rsidR="001C4C31" w:rsidRPr="002410CE" w:rsidRDefault="001C4C31" w:rsidP="001C4C31">
      <w:pPr>
        <w:spacing w:after="0"/>
        <w:ind w:left="3600"/>
        <w:rPr>
          <w:rFonts w:eastAsiaTheme="minorEastAsia"/>
          <w:b/>
          <w:bCs/>
          <w:i/>
        </w:rPr>
      </w:pPr>
    </w:p>
    <w:p w:rsidR="001C4C31" w:rsidRPr="002410CE" w:rsidRDefault="001C4C31" w:rsidP="001C4C31">
      <w:pPr>
        <w:spacing w:after="0"/>
        <w:ind w:left="630"/>
        <w:rPr>
          <w:rFonts w:eastAsiaTheme="minorEastAsia"/>
          <w:b/>
          <w:i/>
          <w:lang w:val="is-IS"/>
        </w:rPr>
      </w:pPr>
      <w:r w:rsidRPr="002410CE">
        <w:rPr>
          <w:rFonts w:eastAsiaTheme="minorEastAsia"/>
          <w:b/>
          <w:lang w:val="is-IS"/>
        </w:rPr>
        <w:t xml:space="preserve">Стандарт, хэмжил зүйн газар (СХЗГ) </w:t>
      </w:r>
    </w:p>
    <w:p w:rsidR="001C4C31" w:rsidRPr="002410CE" w:rsidRDefault="001C4C31" w:rsidP="001C4C31">
      <w:pPr>
        <w:spacing w:after="0"/>
        <w:ind w:left="630"/>
        <w:rPr>
          <w:rFonts w:eastAsiaTheme="minorEastAsia"/>
          <w:i/>
          <w:lang w:val="is-IS"/>
        </w:rPr>
      </w:pPr>
      <w:r w:rsidRPr="002410CE">
        <w:rPr>
          <w:rFonts w:eastAsiaTheme="minorEastAsia"/>
          <w:lang w:val="is-IS"/>
        </w:rPr>
        <w:t>Энхтайваны өргөн чөлөө 46А</w:t>
      </w:r>
    </w:p>
    <w:p w:rsidR="001C4C31" w:rsidRPr="002410CE" w:rsidRDefault="001C4C31" w:rsidP="001C4C31">
      <w:pPr>
        <w:spacing w:after="0"/>
        <w:ind w:left="630"/>
        <w:rPr>
          <w:rFonts w:eastAsiaTheme="minorEastAsia"/>
          <w:i/>
          <w:lang w:val="is-IS"/>
        </w:rPr>
      </w:pPr>
      <w:r w:rsidRPr="002410CE">
        <w:rPr>
          <w:rFonts w:eastAsiaTheme="minorEastAsia"/>
          <w:lang w:val="is-IS"/>
        </w:rPr>
        <w:t>Шуудангийн хаяг</w:t>
      </w:r>
    </w:p>
    <w:p w:rsidR="001C4C31" w:rsidRPr="002410CE" w:rsidRDefault="001C4C31" w:rsidP="001C4C31">
      <w:pPr>
        <w:spacing w:after="0"/>
        <w:ind w:left="630"/>
        <w:rPr>
          <w:rFonts w:eastAsiaTheme="minorEastAsia"/>
          <w:i/>
          <w:lang w:val="is-IS"/>
        </w:rPr>
      </w:pPr>
      <w:r w:rsidRPr="002410CE">
        <w:rPr>
          <w:rFonts w:eastAsiaTheme="minorEastAsia"/>
          <w:lang w:val="is-IS"/>
        </w:rPr>
        <w:t>Улаанбаатар-13343, Ш/Х - 48</w:t>
      </w:r>
    </w:p>
    <w:p w:rsidR="001C4C31" w:rsidRPr="002410CE" w:rsidRDefault="001C4C31" w:rsidP="001C4C31">
      <w:pPr>
        <w:spacing w:after="0"/>
        <w:ind w:left="630"/>
        <w:rPr>
          <w:rFonts w:eastAsiaTheme="minorEastAsia"/>
          <w:i/>
          <w:lang w:val="is-IS"/>
        </w:rPr>
      </w:pPr>
      <w:r w:rsidRPr="002410CE">
        <w:rPr>
          <w:rFonts w:eastAsiaTheme="minorEastAsia"/>
          <w:lang w:val="is-IS"/>
        </w:rPr>
        <w:t>Утас: 976-51-263860 Факс: 976-11-458032</w:t>
      </w:r>
    </w:p>
    <w:p w:rsidR="001C4C31" w:rsidRDefault="001C4C31" w:rsidP="001C4C31">
      <w:pPr>
        <w:spacing w:after="0"/>
        <w:ind w:left="630"/>
        <w:rPr>
          <w:rFonts w:eastAsiaTheme="minorEastAsia"/>
          <w:color w:val="0000FF"/>
          <w:u w:val="single"/>
        </w:rPr>
      </w:pPr>
      <w:r w:rsidRPr="002410CE">
        <w:rPr>
          <w:rFonts w:eastAsiaTheme="minorEastAsia"/>
        </w:rPr>
        <w:t>E-mail</w:t>
      </w:r>
      <w:r w:rsidRPr="002410CE">
        <w:rPr>
          <w:rFonts w:eastAsiaTheme="minorEastAsia"/>
          <w:lang w:val="is-IS"/>
        </w:rPr>
        <w:t xml:space="preserve">: </w:t>
      </w:r>
      <w:hyperlink r:id="rId11" w:history="1">
        <w:r w:rsidRPr="002410CE">
          <w:rPr>
            <w:rFonts w:eastAsiaTheme="minorEastAsia"/>
            <w:color w:val="0000FF"/>
            <w:u w:val="single"/>
            <w:lang w:val="is-IS"/>
          </w:rPr>
          <w:t>masm@mongol.net</w:t>
        </w:r>
      </w:hyperlink>
      <w:r w:rsidRPr="002410CE">
        <w:rPr>
          <w:rFonts w:eastAsiaTheme="minorEastAsia"/>
          <w:lang w:val="is-IS"/>
        </w:rPr>
        <w:t xml:space="preserve">; </w:t>
      </w:r>
      <w:hyperlink r:id="rId12" w:history="1">
        <w:r w:rsidRPr="002410CE">
          <w:rPr>
            <w:rFonts w:eastAsiaTheme="minorEastAsia"/>
            <w:color w:val="0000FF"/>
            <w:u w:val="single"/>
          </w:rPr>
          <w:t>standardinform@masm.gov.mn</w:t>
        </w:r>
      </w:hyperlink>
    </w:p>
    <w:p w:rsidR="001C4C31" w:rsidRPr="00DE3BBA" w:rsidRDefault="00D80958" w:rsidP="001C4C31">
      <w:pPr>
        <w:spacing w:after="0"/>
        <w:ind w:left="630"/>
        <w:rPr>
          <w:rFonts w:eastAsiaTheme="minorEastAsia"/>
          <w:bCs/>
          <w:i/>
          <w:color w:val="0000FF"/>
          <w:u w:val="single"/>
        </w:rPr>
      </w:pPr>
      <w:hyperlink r:id="rId13" w:history="1">
        <w:r w:rsidR="001C4C31" w:rsidRPr="002410CE">
          <w:rPr>
            <w:rFonts w:eastAsiaTheme="minorEastAsia"/>
            <w:color w:val="0000FF"/>
            <w:u w:val="single"/>
          </w:rPr>
          <w:t>www.estandard.mn</w:t>
        </w:r>
      </w:hyperlink>
      <w:r w:rsidR="001C4C31" w:rsidRPr="002410CE">
        <w:rPr>
          <w:rFonts w:eastAsiaTheme="minorEastAsia"/>
        </w:rPr>
        <w:t xml:space="preserve">; </w:t>
      </w:r>
      <w:hyperlink r:id="rId14" w:history="1">
        <w:r w:rsidR="001C4C31" w:rsidRPr="002410CE">
          <w:rPr>
            <w:rFonts w:eastAsiaTheme="minorEastAsia"/>
            <w:color w:val="0000FF"/>
            <w:u w:val="single"/>
          </w:rPr>
          <w:t>www.masm.gov.mn</w:t>
        </w:r>
      </w:hyperlink>
    </w:p>
    <w:p w:rsidR="001C4C31" w:rsidRDefault="001C4C31" w:rsidP="001C4C31">
      <w:pPr>
        <w:spacing w:after="0"/>
        <w:ind w:left="630" w:firstLine="720"/>
        <w:rPr>
          <w:rFonts w:eastAsiaTheme="minorEastAsia"/>
          <w:bCs/>
          <w:color w:val="0000FF"/>
          <w:u w:val="single"/>
        </w:rPr>
      </w:pPr>
    </w:p>
    <w:p w:rsidR="001C4C31" w:rsidRDefault="001C4C31" w:rsidP="001C4C31">
      <w:pPr>
        <w:spacing w:after="0"/>
        <w:ind w:left="630" w:firstLine="720"/>
        <w:rPr>
          <w:rFonts w:eastAsiaTheme="minorEastAsia"/>
          <w:bCs/>
          <w:color w:val="0000FF"/>
          <w:u w:val="single"/>
        </w:rPr>
      </w:pPr>
    </w:p>
    <w:p w:rsidR="001C4C31" w:rsidRDefault="001C4C31" w:rsidP="001C4C31">
      <w:pPr>
        <w:spacing w:after="0"/>
        <w:ind w:firstLine="720"/>
        <w:rPr>
          <w:rFonts w:eastAsiaTheme="minorEastAsia"/>
          <w:bCs/>
          <w:color w:val="0000FF"/>
          <w:u w:val="single"/>
        </w:rPr>
      </w:pPr>
    </w:p>
    <w:p w:rsidR="001C4C31" w:rsidRPr="00F51A67" w:rsidRDefault="001C4C31" w:rsidP="001C4C31">
      <w:pPr>
        <w:spacing w:after="0"/>
        <w:ind w:firstLine="720"/>
        <w:rPr>
          <w:rFonts w:eastAsiaTheme="minorEastAsia"/>
          <w:bCs/>
          <w:color w:val="0000FF"/>
          <w:u w:val="single"/>
        </w:rPr>
      </w:pPr>
    </w:p>
    <w:p w:rsidR="001C4C31" w:rsidRPr="002410CE" w:rsidRDefault="001C4C31" w:rsidP="001C4C31">
      <w:pPr>
        <w:spacing w:after="0"/>
        <w:ind w:firstLine="720"/>
        <w:rPr>
          <w:rFonts w:eastAsiaTheme="minorEastAsia"/>
          <w:bCs/>
          <w:i/>
        </w:rPr>
      </w:pPr>
    </w:p>
    <w:p w:rsidR="001C4C31" w:rsidRPr="002410CE" w:rsidRDefault="001C4C31" w:rsidP="001C4C31">
      <w:pPr>
        <w:pBdr>
          <w:bottom w:val="single" w:sz="4" w:space="0" w:color="auto"/>
        </w:pBdr>
        <w:spacing w:after="0"/>
        <w:ind w:hanging="2138"/>
        <w:rPr>
          <w:rFonts w:eastAsiaTheme="minorEastAsia"/>
          <w:b/>
          <w:bCs/>
          <w:i/>
          <w:lang w:val="is-IS"/>
        </w:rPr>
      </w:pPr>
      <w:r w:rsidRPr="002410CE">
        <w:rPr>
          <w:rFonts w:eastAsiaTheme="minorEastAsia"/>
          <w:b/>
          <w:lang w:val="is-IS"/>
        </w:rPr>
        <w:t>©  СХЗГ,  20</w:t>
      </w:r>
      <w:r>
        <w:rPr>
          <w:rFonts w:eastAsiaTheme="minorEastAsia"/>
          <w:b/>
        </w:rPr>
        <w:t>21</w:t>
      </w:r>
    </w:p>
    <w:p w:rsidR="001C4C31" w:rsidRDefault="001C4C31" w:rsidP="001C4C31">
      <w:pPr>
        <w:spacing w:after="0"/>
        <w:ind w:left="90" w:hanging="90"/>
        <w:rPr>
          <w:rFonts w:eastAsiaTheme="minorEastAsia"/>
          <w:lang w:val="is-IS"/>
        </w:rPr>
      </w:pPr>
      <w:r w:rsidRPr="002410CE">
        <w:rPr>
          <w:rFonts w:eastAsiaTheme="minorEastAsia"/>
          <w:lang w:val="is-IS"/>
        </w:rPr>
        <w:t xml:space="preserve">“Стандартчилал, тохирлын үнэлгээний тухай” Монгол </w:t>
      </w:r>
      <w:r w:rsidRPr="002410CE">
        <w:rPr>
          <w:rFonts w:eastAsiaTheme="minorEastAsia"/>
        </w:rPr>
        <w:t>У</w:t>
      </w:r>
      <w:r>
        <w:rPr>
          <w:rFonts w:eastAsiaTheme="minorEastAsia"/>
          <w:lang w:val="is-IS"/>
        </w:rPr>
        <w:t xml:space="preserve">лсын хуулийн дагуу энэхүү </w:t>
      </w:r>
      <w:r w:rsidRPr="002410CE">
        <w:rPr>
          <w:rFonts w:eastAsiaTheme="minorEastAsia"/>
          <w:lang w:val="is-IS"/>
        </w:rPr>
        <w:t>стандартыг бүрэн, эсвэл хэсэгчлэн хэвлэх, олшруулах эрх нь гагцхүү СХЗГ (Стандартчи</w:t>
      </w:r>
      <w:r>
        <w:rPr>
          <w:rFonts w:eastAsiaTheme="minorEastAsia"/>
          <w:lang w:val="is-IS"/>
        </w:rPr>
        <w:t xml:space="preserve">ллын төв байгууллага)-т байна. </w:t>
      </w:r>
    </w:p>
    <w:p w:rsidR="001C4C31" w:rsidRDefault="001C4C31" w:rsidP="001C4C31">
      <w:pPr>
        <w:spacing w:after="0"/>
        <w:ind w:hanging="2138"/>
        <w:rPr>
          <w:rFonts w:eastAsiaTheme="minorEastAsia"/>
          <w:lang w:val="is-IS"/>
        </w:rPr>
      </w:pPr>
    </w:p>
    <w:p w:rsidR="001C4C31" w:rsidRDefault="001C4C31" w:rsidP="001C4C31">
      <w:pPr>
        <w:spacing w:after="120"/>
        <w:ind w:left="0" w:firstLine="0"/>
      </w:pPr>
    </w:p>
    <w:p w:rsidR="001C4C31" w:rsidRPr="00EF2D2B" w:rsidRDefault="001C4C31" w:rsidP="001C4C31">
      <w:pPr>
        <w:pStyle w:val="Heading3"/>
        <w:tabs>
          <w:tab w:val="left" w:pos="0"/>
        </w:tabs>
        <w:spacing w:before="208" w:line="276" w:lineRule="auto"/>
        <w:ind w:left="1790" w:right="1741"/>
        <w:rPr>
          <w:rFonts w:ascii="Arial" w:hAnsi="Arial" w:cs="Arial"/>
          <w:color w:val="auto"/>
          <w:lang w:val="mn-MN"/>
        </w:rPr>
      </w:pPr>
      <w:r w:rsidRPr="00EF2D2B">
        <w:rPr>
          <w:rFonts w:ascii="Arial" w:hAnsi="Arial" w:cs="Arial"/>
          <w:color w:val="auto"/>
          <w:lang w:val="mn-MN"/>
        </w:rPr>
        <w:lastRenderedPageBreak/>
        <w:t>ГАРЧИГ</w:t>
      </w:r>
    </w:p>
    <w:p w:rsidR="001C4C31" w:rsidRPr="00B43894" w:rsidRDefault="001C4C31" w:rsidP="001C4C31">
      <w:pPr>
        <w:spacing w:after="120"/>
        <w:ind w:left="0" w:firstLine="0"/>
        <w:rPr>
          <w:lang w:val="en-US"/>
        </w:rPr>
      </w:pPr>
      <w:r w:rsidRPr="00B43894">
        <w:t>ӨМНӨХ ҮГ</w:t>
      </w:r>
      <w:r w:rsidRPr="00B43894">
        <w:tab/>
      </w:r>
      <w:r>
        <w:rPr>
          <w:lang w:val="en-US"/>
        </w:rPr>
        <w:t>……………………………………….</w:t>
      </w:r>
    </w:p>
    <w:p w:rsidR="001C4C31" w:rsidRPr="00B43894" w:rsidRDefault="001C4C31" w:rsidP="001C4C31">
      <w:pPr>
        <w:spacing w:after="120"/>
        <w:ind w:left="0" w:firstLine="0"/>
        <w:rPr>
          <w:lang w:val="en-US"/>
        </w:rPr>
      </w:pPr>
      <w:r w:rsidRPr="00B43894">
        <w:t>ОРШИЛ</w:t>
      </w:r>
      <w:r w:rsidRPr="00B43894">
        <w:tab/>
      </w:r>
      <w:r>
        <w:rPr>
          <w:lang w:val="en-US"/>
        </w:rPr>
        <w:t>………………………………………….</w:t>
      </w:r>
    </w:p>
    <w:p w:rsidR="001C4C31" w:rsidRPr="00EF2D2B" w:rsidRDefault="001C4C31" w:rsidP="001C4C31">
      <w:pPr>
        <w:spacing w:after="120"/>
        <w:ind w:left="0" w:firstLine="0"/>
      </w:pPr>
      <w:r>
        <w:rPr>
          <w:lang w:val="en-US"/>
        </w:rPr>
        <w:t xml:space="preserve">1 </w:t>
      </w:r>
      <w:r w:rsidRPr="00B43894">
        <w:t>Хамрах хүрээ</w:t>
      </w:r>
      <w:r w:rsidRPr="00B43894">
        <w:tab/>
      </w:r>
      <w:r>
        <w:rPr>
          <w:lang w:val="en-US"/>
        </w:rPr>
        <w:t>……………….………………………………………….</w:t>
      </w:r>
    </w:p>
    <w:p w:rsidR="001C4C31" w:rsidRPr="00B43894" w:rsidRDefault="001C4C31" w:rsidP="001C4C31">
      <w:pPr>
        <w:spacing w:after="120"/>
        <w:ind w:left="0" w:firstLine="0"/>
        <w:rPr>
          <w:lang w:val="en-US"/>
        </w:rPr>
      </w:pPr>
      <w:r>
        <w:rPr>
          <w:lang w:val="en-US"/>
        </w:rPr>
        <w:t xml:space="preserve">2 </w:t>
      </w:r>
      <w:r w:rsidRPr="00B43894">
        <w:rPr>
          <w:lang w:val="en-US"/>
        </w:rPr>
        <w:t>Норматив эшлэл</w:t>
      </w:r>
      <w:r w:rsidRPr="00B43894">
        <w:rPr>
          <w:lang w:val="en-US"/>
        </w:rPr>
        <w:tab/>
      </w:r>
      <w:r>
        <w:rPr>
          <w:lang w:val="en-US"/>
        </w:rPr>
        <w:t>……………….………………………………………….</w:t>
      </w:r>
    </w:p>
    <w:p w:rsidR="001C4C31" w:rsidRPr="00B43894" w:rsidRDefault="001C4C31" w:rsidP="001C4C31">
      <w:pPr>
        <w:spacing w:after="120"/>
        <w:ind w:left="0" w:firstLine="0"/>
        <w:rPr>
          <w:lang w:val="en-US"/>
        </w:rPr>
      </w:pPr>
      <w:r>
        <w:rPr>
          <w:lang w:val="en-US"/>
        </w:rPr>
        <w:t xml:space="preserve">3 </w:t>
      </w:r>
      <w:r w:rsidRPr="00B43894">
        <w:rPr>
          <w:lang w:val="en-US"/>
        </w:rPr>
        <w:t>Нэр томьёо ба тодорхойлолтууд</w:t>
      </w:r>
      <w:r w:rsidRPr="00B43894">
        <w:rPr>
          <w:lang w:val="en-US"/>
        </w:rPr>
        <w:tab/>
      </w:r>
      <w:r>
        <w:rPr>
          <w:lang w:val="en-US"/>
        </w:rPr>
        <w:t>……………….………</w:t>
      </w:r>
    </w:p>
    <w:p w:rsidR="001C4C31" w:rsidRPr="00B43894" w:rsidRDefault="001C4C31" w:rsidP="001C4C31">
      <w:pPr>
        <w:spacing w:after="120"/>
        <w:ind w:left="0" w:firstLine="0"/>
        <w:rPr>
          <w:lang w:val="en-US"/>
        </w:rPr>
      </w:pPr>
      <w:r>
        <w:rPr>
          <w:lang w:val="en-US"/>
        </w:rPr>
        <w:t xml:space="preserve">4 </w:t>
      </w:r>
      <w:r w:rsidRPr="00B43894">
        <w:rPr>
          <w:lang w:val="en-US"/>
        </w:rPr>
        <w:t>Товчилсон нэр томъёо</w:t>
      </w:r>
      <w:r w:rsidRPr="00B43894">
        <w:rPr>
          <w:lang w:val="en-US"/>
        </w:rPr>
        <w:tab/>
      </w:r>
      <w:r>
        <w:rPr>
          <w:lang w:val="en-US"/>
        </w:rPr>
        <w:t>……………….………………………………………….</w:t>
      </w:r>
    </w:p>
    <w:p w:rsidR="001C4C31" w:rsidRPr="00B43894" w:rsidRDefault="001C4C31" w:rsidP="001C4C31">
      <w:pPr>
        <w:spacing w:after="120"/>
        <w:ind w:left="0" w:firstLine="0"/>
        <w:rPr>
          <w:b/>
          <w:lang w:val="en-US"/>
        </w:rPr>
      </w:pPr>
      <w:r>
        <w:rPr>
          <w:lang w:val="en-US"/>
        </w:rPr>
        <w:t xml:space="preserve">5 </w:t>
      </w:r>
      <w:r w:rsidRPr="00B43894">
        <w:rPr>
          <w:lang w:val="en-US"/>
        </w:rPr>
        <w:t>Хэрэглээ</w:t>
      </w:r>
      <w:r w:rsidRPr="00B43894">
        <w:rPr>
          <w:lang w:val="en-US"/>
        </w:rPr>
        <w:tab/>
      </w:r>
      <w:r>
        <w:rPr>
          <w:lang w:val="en-US"/>
        </w:rPr>
        <w:t>……………….………………………………………….</w:t>
      </w:r>
    </w:p>
    <w:p w:rsidR="001C4C31" w:rsidRPr="00B43894" w:rsidRDefault="001C4C31" w:rsidP="00472036">
      <w:pPr>
        <w:pStyle w:val="ListParagraph"/>
        <w:widowControl w:val="0"/>
        <w:numPr>
          <w:ilvl w:val="1"/>
          <w:numId w:val="8"/>
        </w:numPr>
        <w:tabs>
          <w:tab w:val="left" w:pos="1523"/>
          <w:tab w:val="left" w:pos="1524"/>
          <w:tab w:val="right" w:leader="dot" w:pos="9625"/>
        </w:tabs>
        <w:autoSpaceDE w:val="0"/>
        <w:autoSpaceDN w:val="0"/>
        <w:spacing w:before="58" w:after="0"/>
        <w:ind w:hanging="570"/>
        <w:contextualSpacing w:val="0"/>
        <w:jc w:val="left"/>
        <w:rPr>
          <w:spacing w:val="6"/>
        </w:rPr>
      </w:pPr>
      <w:r w:rsidRPr="00B43894">
        <w:rPr>
          <w:spacing w:val="6"/>
        </w:rPr>
        <w:t>Ерөнхий</w:t>
      </w:r>
      <w:r w:rsidRPr="00B43894">
        <w:rPr>
          <w:spacing w:val="6"/>
        </w:rPr>
        <w:tab/>
      </w:r>
    </w:p>
    <w:p w:rsidR="001C4C31" w:rsidRPr="00B43894" w:rsidRDefault="001C4C31" w:rsidP="00472036">
      <w:pPr>
        <w:pStyle w:val="ListParagraph"/>
        <w:widowControl w:val="0"/>
        <w:numPr>
          <w:ilvl w:val="1"/>
          <w:numId w:val="8"/>
        </w:numPr>
        <w:tabs>
          <w:tab w:val="left" w:pos="1523"/>
          <w:tab w:val="left" w:pos="1524"/>
          <w:tab w:val="right" w:leader="dot" w:pos="9625"/>
        </w:tabs>
        <w:autoSpaceDE w:val="0"/>
        <w:autoSpaceDN w:val="0"/>
        <w:spacing w:before="58" w:after="0"/>
        <w:ind w:hanging="570"/>
        <w:contextualSpacing w:val="0"/>
        <w:jc w:val="left"/>
        <w:rPr>
          <w:spacing w:val="6"/>
        </w:rPr>
      </w:pPr>
      <w:r w:rsidRPr="00B43894">
        <w:rPr>
          <w:spacing w:val="6"/>
        </w:rPr>
        <w:t>Синхрофазор ашигладаг өргөн өргөн зурвасын хэрэглээнүүд</w:t>
      </w:r>
      <w:r w:rsidRPr="00B43894">
        <w:rPr>
          <w:spacing w:val="6"/>
        </w:rPr>
        <w:tab/>
      </w:r>
    </w:p>
    <w:p w:rsidR="001C4C31" w:rsidRPr="00B43894" w:rsidRDefault="001C4C31" w:rsidP="00472036">
      <w:pPr>
        <w:pStyle w:val="ListParagraph"/>
        <w:widowControl w:val="0"/>
        <w:numPr>
          <w:ilvl w:val="1"/>
          <w:numId w:val="8"/>
        </w:numPr>
        <w:tabs>
          <w:tab w:val="left" w:pos="1523"/>
          <w:tab w:val="left" w:pos="1524"/>
          <w:tab w:val="right" w:leader="dot" w:pos="9625"/>
        </w:tabs>
        <w:autoSpaceDE w:val="0"/>
        <w:autoSpaceDN w:val="0"/>
        <w:spacing w:before="58" w:after="0"/>
        <w:ind w:hanging="570"/>
        <w:contextualSpacing w:val="0"/>
        <w:jc w:val="left"/>
        <w:rPr>
          <w:spacing w:val="6"/>
        </w:rPr>
      </w:pPr>
      <w:r w:rsidRPr="00B43894">
        <w:rPr>
          <w:spacing w:val="6"/>
        </w:rPr>
        <w:t>Синхрон хяналт</w:t>
      </w:r>
      <w:r w:rsidRPr="00B43894">
        <w:rPr>
          <w:spacing w:val="6"/>
        </w:rPr>
        <w:tab/>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58" w:after="0"/>
        <w:ind w:hanging="570"/>
        <w:contextualSpacing w:val="0"/>
        <w:jc w:val="left"/>
      </w:pPr>
      <w:r w:rsidRPr="00EF2D2B">
        <w:rPr>
          <w:spacing w:val="6"/>
        </w:rPr>
        <w:t>Дасан зохицох тохируулагатай реле</w:t>
      </w:r>
      <w:r w:rsidRPr="00EF2D2B">
        <w:rPr>
          <w:spacing w:val="6"/>
        </w:rPr>
        <w:tab/>
        <w:t>17</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0" w:after="0"/>
        <w:ind w:hanging="570"/>
        <w:contextualSpacing w:val="0"/>
        <w:jc w:val="left"/>
      </w:pPr>
      <w:r w:rsidRPr="00EF2D2B">
        <w:rPr>
          <w:spacing w:val="7"/>
        </w:rPr>
        <w:t>Хязгаараас гарах үеийн(OOS) хамгаалалт</w:t>
      </w:r>
      <w:r w:rsidRPr="00EF2D2B">
        <w:rPr>
          <w:spacing w:val="7"/>
        </w:rPr>
        <w:tab/>
      </w:r>
      <w:r w:rsidRPr="00EF2D2B">
        <w:rPr>
          <w:spacing w:val="6"/>
        </w:rPr>
        <w:t>19</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1" w:after="0"/>
        <w:ind w:hanging="570"/>
        <w:contextualSpacing w:val="0"/>
        <w:jc w:val="left"/>
      </w:pPr>
      <w:r w:rsidRPr="00EF2D2B">
        <w:rPr>
          <w:spacing w:val="7"/>
        </w:rPr>
        <w:t>Нөхцөл байдлын талаархи мэдээлэл</w:t>
      </w:r>
      <w:r w:rsidRPr="00EF2D2B">
        <w:rPr>
          <w:spacing w:val="6"/>
        </w:rPr>
        <w:tab/>
        <w:t>20</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0" w:after="0"/>
        <w:ind w:hanging="570"/>
        <w:contextualSpacing w:val="0"/>
        <w:jc w:val="left"/>
      </w:pPr>
      <w:r w:rsidRPr="00EF2D2B">
        <w:rPr>
          <w:spacing w:val="6"/>
        </w:rPr>
        <w:t>Төлөвийн тооцоолол ба онлайн аюулгүй байдлын үнэлгээ</w:t>
      </w:r>
      <w:r w:rsidRPr="00EF2D2B">
        <w:rPr>
          <w:spacing w:val="7"/>
        </w:rPr>
        <w:tab/>
      </w:r>
      <w:r w:rsidRPr="00EF2D2B">
        <w:rPr>
          <w:spacing w:val="6"/>
        </w:rPr>
        <w:t>23</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1" w:after="0"/>
        <w:ind w:hanging="570"/>
        <w:contextualSpacing w:val="0"/>
        <w:jc w:val="left"/>
      </w:pPr>
      <w:r w:rsidRPr="00EF2D2B">
        <w:rPr>
          <w:spacing w:val="6"/>
        </w:rPr>
        <w:t>Өгөгдлийг архивлах (чухал үйл явдал ба тасралтгүй ажиллагааны)</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0" w:after="0"/>
        <w:ind w:hanging="570"/>
        <w:contextualSpacing w:val="0"/>
        <w:jc w:val="left"/>
      </w:pPr>
      <w:r w:rsidRPr="00EF2D2B">
        <w:rPr>
          <w:spacing w:val="6"/>
        </w:rPr>
        <w:t>Өргөн зурвасын хяналт</w:t>
      </w:r>
      <w:r w:rsidRPr="00EF2D2B">
        <w:rPr>
          <w:spacing w:val="7"/>
        </w:rPr>
        <w:tab/>
      </w:r>
      <w:r w:rsidRPr="00EF2D2B">
        <w:rPr>
          <w:spacing w:val="6"/>
        </w:rPr>
        <w:t>27</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58" w:after="0"/>
        <w:contextualSpacing w:val="0"/>
        <w:jc w:val="left"/>
      </w:pPr>
      <w:r w:rsidRPr="00EF2D2B">
        <w:rPr>
          <w:spacing w:val="6"/>
        </w:rPr>
        <w:t>Ерөнхий</w:t>
      </w:r>
      <w:r w:rsidRPr="00EF2D2B">
        <w:rPr>
          <w:spacing w:val="6"/>
        </w:rPr>
        <w:tab/>
        <w:t>27</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0" w:after="0"/>
        <w:contextualSpacing w:val="0"/>
        <w:jc w:val="left"/>
      </w:pPr>
      <w:r w:rsidRPr="00EF2D2B">
        <w:rPr>
          <w:spacing w:val="6"/>
        </w:rPr>
        <w:t>Тусгай хамгаалалтын схемүүд</w:t>
      </w:r>
      <w:r w:rsidRPr="00EF2D2B">
        <w:rPr>
          <w:spacing w:val="7"/>
        </w:rPr>
        <w:tab/>
      </w:r>
      <w:r w:rsidRPr="00EF2D2B">
        <w:rPr>
          <w:spacing w:val="6"/>
        </w:rPr>
        <w:t>27</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1" w:after="0"/>
        <w:contextualSpacing w:val="0"/>
        <w:jc w:val="left"/>
      </w:pPr>
      <w:r w:rsidRPr="00EF2D2B">
        <w:rPr>
          <w:spacing w:val="6"/>
        </w:rPr>
        <w:t>Урьдчилан таамаглах динамик тогтворжилтыг хангах систем</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0" w:after="0"/>
        <w:contextualSpacing w:val="0"/>
        <w:jc w:val="left"/>
      </w:pPr>
      <w:r w:rsidRPr="00EF2D2B">
        <w:rPr>
          <w:spacing w:val="6"/>
        </w:rPr>
        <w:t>Хүчдэлийн уналтын үед ачаалал таслах</w:t>
      </w:r>
      <w:r w:rsidRPr="00EF2D2B">
        <w:rPr>
          <w:spacing w:val="8"/>
        </w:rPr>
        <w:tab/>
      </w:r>
      <w:r w:rsidRPr="00EF2D2B">
        <w:rPr>
          <w:spacing w:val="6"/>
        </w:rPr>
        <w:t>31</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1" w:after="0"/>
        <w:contextualSpacing w:val="0"/>
        <w:jc w:val="left"/>
      </w:pPr>
      <w:r w:rsidRPr="00EF2D2B">
        <w:rPr>
          <w:spacing w:val="7"/>
        </w:rPr>
        <w:t>WAMPAC</w:t>
      </w:r>
      <w:r w:rsidRPr="00EF2D2B">
        <w:t xml:space="preserve"> үзэгдлийн</w:t>
      </w:r>
      <w:r w:rsidRPr="00EF2D2B">
        <w:rPr>
          <w:spacing w:val="7"/>
        </w:rPr>
        <w:t xml:space="preserve"> таамаглалын төрөл</w:t>
      </w:r>
      <w:r w:rsidRPr="00EF2D2B" w:rsidDel="003F0D23">
        <w:rPr>
          <w:spacing w:val="7"/>
        </w:rPr>
        <w:t xml:space="preserve"> </w:t>
      </w:r>
      <w:r w:rsidRPr="00EF2D2B">
        <w:rPr>
          <w:spacing w:val="7"/>
        </w:rPr>
        <w:tab/>
      </w:r>
      <w:r w:rsidRPr="00EF2D2B">
        <w:rPr>
          <w:spacing w:val="6"/>
        </w:rPr>
        <w:t>33</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0" w:after="0"/>
        <w:contextualSpacing w:val="0"/>
        <w:jc w:val="left"/>
      </w:pPr>
      <w:r w:rsidRPr="00EF2D2B">
        <w:t xml:space="preserve">Фазор өгөгдөл хуримтлуулагч </w:t>
      </w:r>
      <w:r w:rsidRPr="00EF2D2B">
        <w:rPr>
          <w:spacing w:val="6"/>
        </w:rPr>
        <w:t>(PDC)</w:t>
      </w:r>
      <w:r w:rsidRPr="00EF2D2B">
        <w:rPr>
          <w:spacing w:val="6"/>
        </w:rPr>
        <w:tab/>
        <w:t>36</w:t>
      </w:r>
    </w:p>
    <w:p w:rsidR="001C4C31" w:rsidRPr="00EF2D2B" w:rsidRDefault="001C4C31" w:rsidP="00472036">
      <w:pPr>
        <w:pStyle w:val="ListParagraph"/>
        <w:widowControl w:val="0"/>
        <w:numPr>
          <w:ilvl w:val="0"/>
          <w:numId w:val="8"/>
        </w:numPr>
        <w:tabs>
          <w:tab w:val="left" w:pos="954"/>
          <w:tab w:val="left" w:pos="955"/>
          <w:tab w:val="right" w:leader="dot" w:pos="9625"/>
        </w:tabs>
        <w:autoSpaceDE w:val="0"/>
        <w:autoSpaceDN w:val="0"/>
        <w:spacing w:before="58" w:after="0"/>
        <w:ind w:hanging="397"/>
        <w:contextualSpacing w:val="0"/>
        <w:jc w:val="left"/>
      </w:pPr>
      <w:r w:rsidRPr="00EF2D2B">
        <w:rPr>
          <w:spacing w:val="7"/>
        </w:rPr>
        <w:t>Загварчлалд анхаарах зүйлс</w:t>
      </w:r>
      <w:r w:rsidRPr="00EF2D2B">
        <w:rPr>
          <w:spacing w:val="7"/>
        </w:rPr>
        <w:tab/>
      </w:r>
      <w:r w:rsidRPr="00EF2D2B">
        <w:rPr>
          <w:spacing w:val="6"/>
        </w:rPr>
        <w:t>41</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101" w:after="0"/>
        <w:ind w:hanging="570"/>
        <w:contextualSpacing w:val="0"/>
        <w:jc w:val="left"/>
      </w:pPr>
      <w:r w:rsidRPr="00EF2D2B">
        <w:rPr>
          <w:spacing w:val="6"/>
        </w:rPr>
        <w:t>Ерөнхий</w:t>
      </w:r>
      <w:r w:rsidRPr="00EF2D2B">
        <w:rPr>
          <w:spacing w:val="6"/>
        </w:rPr>
        <w:tab/>
        <w:t>41</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1" w:after="0"/>
        <w:ind w:hanging="570"/>
        <w:contextualSpacing w:val="0"/>
        <w:jc w:val="left"/>
      </w:pPr>
      <w:r w:rsidRPr="00EF2D2B">
        <w:t>С</w:t>
      </w:r>
      <w:r w:rsidRPr="00EF2D2B">
        <w:rPr>
          <w:spacing w:val="6"/>
        </w:rPr>
        <w:t>истемийн шатлан удирдах зарчим</w:t>
      </w:r>
      <w:r w:rsidRPr="00EF2D2B">
        <w:rPr>
          <w:spacing w:val="7"/>
        </w:rPr>
        <w:tab/>
      </w:r>
      <w:r w:rsidRPr="00EF2D2B">
        <w:rPr>
          <w:spacing w:val="6"/>
        </w:rPr>
        <w:t>42</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0" w:after="0"/>
        <w:ind w:hanging="570"/>
        <w:contextualSpacing w:val="0"/>
        <w:jc w:val="left"/>
      </w:pPr>
      <w:r w:rsidRPr="00EF2D2B">
        <w:rPr>
          <w:spacing w:val="4"/>
        </w:rPr>
        <w:t>Фазор хэмжилтийн төхөөрөмжийн</w:t>
      </w:r>
      <w:r w:rsidRPr="00EF2D2B">
        <w:rPr>
          <w:spacing w:val="6"/>
        </w:rPr>
        <w:t xml:space="preserve"> загвар</w:t>
      </w:r>
      <w:r w:rsidRPr="00EF2D2B">
        <w:rPr>
          <w:spacing w:val="6"/>
        </w:rPr>
        <w:tab/>
        <w:t>43</w:t>
      </w:r>
    </w:p>
    <w:p w:rsidR="001C4C31" w:rsidRPr="00731F96" w:rsidRDefault="001C4C31" w:rsidP="00472036">
      <w:pPr>
        <w:pStyle w:val="ListParagraph"/>
        <w:widowControl w:val="0"/>
        <w:numPr>
          <w:ilvl w:val="1"/>
          <w:numId w:val="8"/>
        </w:numPr>
        <w:tabs>
          <w:tab w:val="left" w:pos="1523"/>
          <w:tab w:val="left" w:pos="1524"/>
          <w:tab w:val="right" w:leader="dot" w:pos="9625"/>
        </w:tabs>
        <w:autoSpaceDE w:val="0"/>
        <w:autoSpaceDN w:val="0"/>
        <w:spacing w:before="58" w:after="0"/>
        <w:ind w:hanging="570"/>
        <w:contextualSpacing w:val="0"/>
        <w:jc w:val="left"/>
      </w:pPr>
      <w:r w:rsidRPr="00EF2D2B">
        <w:t>Фазор</w:t>
      </w:r>
      <w:r w:rsidRPr="00EF2D2B" w:rsidDel="003F0D23">
        <w:t xml:space="preserve"> </w:t>
      </w:r>
      <w:r w:rsidRPr="00EF2D2B">
        <w:t xml:space="preserve"> өгөгдөл </w:t>
      </w:r>
      <w:r w:rsidRPr="00B50FB6">
        <w:t>хуримтлуулагч</w:t>
      </w:r>
      <w:r w:rsidRPr="00731F96">
        <w:t xml:space="preserve">ууд </w:t>
      </w:r>
      <w:r w:rsidRPr="00731F96">
        <w:rPr>
          <w:spacing w:val="6"/>
        </w:rPr>
        <w:t>(PDCs)</w:t>
      </w:r>
      <w:r w:rsidRPr="00731F96">
        <w:rPr>
          <w:spacing w:val="6"/>
        </w:rPr>
        <w:tab/>
        <w:t>44</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1" w:after="0"/>
        <w:contextualSpacing w:val="0"/>
        <w:jc w:val="left"/>
      </w:pPr>
      <w:r w:rsidRPr="00EF2D2B">
        <w:rPr>
          <w:spacing w:val="6"/>
        </w:rPr>
        <w:t>Ерөнхий</w:t>
      </w:r>
      <w:r w:rsidRPr="00EF2D2B">
        <w:rPr>
          <w:spacing w:val="6"/>
        </w:rPr>
        <w:tab/>
        <w:t>44</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0" w:after="0"/>
        <w:contextualSpacing w:val="0"/>
        <w:jc w:val="left"/>
      </w:pPr>
      <w:r w:rsidRPr="00EF2D2B">
        <w:rPr>
          <w:spacing w:val="7"/>
        </w:rPr>
        <w:t xml:space="preserve">Дэд станцын </w:t>
      </w:r>
      <w:r w:rsidRPr="00EF2D2B">
        <w:rPr>
          <w:spacing w:val="5"/>
        </w:rPr>
        <w:t xml:space="preserve">PDC </w:t>
      </w:r>
      <w:r w:rsidRPr="00EF2D2B">
        <w:rPr>
          <w:spacing w:val="8"/>
        </w:rPr>
        <w:t>загвар</w:t>
      </w:r>
      <w:r w:rsidRPr="00EF2D2B">
        <w:rPr>
          <w:spacing w:val="8"/>
        </w:rPr>
        <w:tab/>
      </w:r>
      <w:r w:rsidRPr="00EF2D2B">
        <w:rPr>
          <w:spacing w:val="6"/>
        </w:rPr>
        <w:t>44</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0" w:after="0"/>
        <w:contextualSpacing w:val="0"/>
        <w:jc w:val="left"/>
      </w:pPr>
      <w:r w:rsidRPr="00EF2D2B">
        <w:rPr>
          <w:spacing w:val="7"/>
        </w:rPr>
        <w:t xml:space="preserve">бүсчилсэн эсвэл  системийн түвшний </w:t>
      </w:r>
      <w:r w:rsidRPr="00EF2D2B">
        <w:rPr>
          <w:spacing w:val="5"/>
        </w:rPr>
        <w:t>PDC</w:t>
      </w:r>
      <w:r w:rsidRPr="00EF2D2B">
        <w:rPr>
          <w:spacing w:val="5"/>
        </w:rPr>
        <w:tab/>
      </w:r>
      <w:r w:rsidRPr="00EF2D2B">
        <w:rPr>
          <w:spacing w:val="6"/>
        </w:rPr>
        <w:t>45</w:t>
      </w:r>
    </w:p>
    <w:p w:rsidR="001C4C31" w:rsidRPr="00EF2D2B" w:rsidRDefault="001C4C31" w:rsidP="00472036">
      <w:pPr>
        <w:pStyle w:val="ListParagraph"/>
        <w:widowControl w:val="0"/>
        <w:numPr>
          <w:ilvl w:val="2"/>
          <w:numId w:val="8"/>
        </w:numPr>
        <w:tabs>
          <w:tab w:val="left" w:pos="2259"/>
          <w:tab w:val="left" w:pos="2260"/>
          <w:tab w:val="right" w:leader="dot" w:pos="9625"/>
        </w:tabs>
        <w:autoSpaceDE w:val="0"/>
        <w:autoSpaceDN w:val="0"/>
        <w:spacing w:before="61" w:after="0"/>
        <w:contextualSpacing w:val="0"/>
        <w:jc w:val="left"/>
      </w:pPr>
      <w:r w:rsidRPr="00EF2D2B">
        <w:rPr>
          <w:spacing w:val="7"/>
        </w:rPr>
        <w:t>Чанар</w:t>
      </w:r>
      <w:r w:rsidRPr="00EF2D2B">
        <w:rPr>
          <w:spacing w:val="7"/>
        </w:rPr>
        <w:tab/>
      </w:r>
      <w:r w:rsidRPr="00EF2D2B">
        <w:rPr>
          <w:spacing w:val="6"/>
        </w:rPr>
        <w:t>45</w:t>
      </w:r>
    </w:p>
    <w:p w:rsidR="001C4C31" w:rsidRPr="00EF2D2B" w:rsidRDefault="001C4C31" w:rsidP="00472036">
      <w:pPr>
        <w:pStyle w:val="ListParagraph"/>
        <w:widowControl w:val="0"/>
        <w:numPr>
          <w:ilvl w:val="0"/>
          <w:numId w:val="8"/>
        </w:numPr>
        <w:tabs>
          <w:tab w:val="left" w:pos="567"/>
          <w:tab w:val="right" w:leader="dot" w:pos="9625"/>
        </w:tabs>
        <w:autoSpaceDE w:val="0"/>
        <w:autoSpaceDN w:val="0"/>
        <w:spacing w:before="58" w:after="0"/>
        <w:ind w:hanging="397"/>
        <w:contextualSpacing w:val="0"/>
        <w:jc w:val="left"/>
      </w:pPr>
      <w:r w:rsidRPr="00EF2D2B">
        <w:rPr>
          <w:spacing w:val="7"/>
        </w:rPr>
        <w:t>Мэдээлэл дамжуулах шаардлага</w:t>
      </w:r>
      <w:r w:rsidRPr="00EF2D2B">
        <w:rPr>
          <w:spacing w:val="7"/>
        </w:rPr>
        <w:tab/>
      </w:r>
      <w:r w:rsidRPr="00EF2D2B">
        <w:rPr>
          <w:spacing w:val="6"/>
        </w:rPr>
        <w:t>46</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101" w:after="0"/>
        <w:ind w:hanging="570"/>
        <w:contextualSpacing w:val="0"/>
        <w:jc w:val="left"/>
      </w:pPr>
      <w:r w:rsidRPr="00EF2D2B">
        <w:rPr>
          <w:spacing w:val="6"/>
        </w:rPr>
        <w:t>Ерөнхий</w:t>
      </w:r>
      <w:r w:rsidRPr="00EF2D2B">
        <w:rPr>
          <w:spacing w:val="6"/>
        </w:rPr>
        <w:tab/>
        <w:t>46</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1" w:after="0"/>
        <w:ind w:hanging="570"/>
        <w:contextualSpacing w:val="0"/>
        <w:jc w:val="left"/>
      </w:pPr>
      <w:r w:rsidRPr="00EF2D2B">
        <w:rPr>
          <w:spacing w:val="6"/>
        </w:rPr>
        <w:t xml:space="preserve">Туннелийн эсвэл R-SV сервисийн шууд холболт </w:t>
      </w:r>
      <w:r w:rsidRPr="00EF2D2B">
        <w:rPr>
          <w:spacing w:val="6"/>
        </w:rPr>
        <w:tab/>
        <w:t>46</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0" w:after="0"/>
        <w:ind w:hanging="570"/>
        <w:contextualSpacing w:val="0"/>
        <w:jc w:val="left"/>
      </w:pPr>
      <w:r w:rsidRPr="00EF2D2B">
        <w:rPr>
          <w:spacing w:val="5"/>
        </w:rPr>
        <w:t>Гейтвэй арга</w:t>
      </w:r>
      <w:r w:rsidRPr="00EF2D2B">
        <w:rPr>
          <w:spacing w:val="7"/>
        </w:rPr>
        <w:tab/>
      </w:r>
      <w:r w:rsidRPr="00EF2D2B">
        <w:rPr>
          <w:spacing w:val="6"/>
        </w:rPr>
        <w:t>48</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58" w:after="0"/>
        <w:ind w:hanging="570"/>
        <w:contextualSpacing w:val="0"/>
        <w:jc w:val="left"/>
      </w:pPr>
      <w:r w:rsidRPr="00EF2D2B">
        <w:rPr>
          <w:spacing w:val="7"/>
        </w:rPr>
        <w:lastRenderedPageBreak/>
        <w:t xml:space="preserve">Шаардлагын хураангуй </w:t>
      </w:r>
      <w:r w:rsidRPr="00EF2D2B">
        <w:rPr>
          <w:spacing w:val="7"/>
        </w:rPr>
        <w:tab/>
      </w:r>
      <w:r w:rsidRPr="00EF2D2B">
        <w:rPr>
          <w:spacing w:val="6"/>
        </w:rPr>
        <w:t>49</w:t>
      </w:r>
    </w:p>
    <w:p w:rsidR="001C4C31" w:rsidRPr="00EF2D2B" w:rsidRDefault="001C4C31" w:rsidP="00472036">
      <w:pPr>
        <w:pStyle w:val="ListParagraph"/>
        <w:widowControl w:val="0"/>
        <w:numPr>
          <w:ilvl w:val="1"/>
          <w:numId w:val="8"/>
        </w:numPr>
        <w:tabs>
          <w:tab w:val="left" w:pos="1523"/>
          <w:tab w:val="left" w:pos="1524"/>
          <w:tab w:val="right" w:leader="dot" w:pos="9625"/>
        </w:tabs>
        <w:autoSpaceDE w:val="0"/>
        <w:autoSpaceDN w:val="0"/>
        <w:spacing w:before="60" w:after="0"/>
        <w:ind w:hanging="570"/>
        <w:contextualSpacing w:val="0"/>
        <w:jc w:val="left"/>
      </w:pPr>
      <w:r w:rsidRPr="00EF2D2B">
        <w:rPr>
          <w:spacing w:val="5"/>
        </w:rPr>
        <w:t>TCP ашиглах</w:t>
      </w:r>
      <w:r w:rsidRPr="00EF2D2B">
        <w:rPr>
          <w:spacing w:val="5"/>
        </w:rPr>
        <w:tab/>
      </w:r>
      <w:r w:rsidRPr="00EF2D2B">
        <w:rPr>
          <w:spacing w:val="6"/>
        </w:rPr>
        <w:t>51</w:t>
      </w:r>
    </w:p>
    <w:p w:rsidR="001C4C31" w:rsidRPr="00EF2D2B" w:rsidRDefault="001C4C31" w:rsidP="00472036">
      <w:pPr>
        <w:pStyle w:val="ListParagraph"/>
        <w:widowControl w:val="0"/>
        <w:numPr>
          <w:ilvl w:val="0"/>
          <w:numId w:val="8"/>
        </w:numPr>
        <w:tabs>
          <w:tab w:val="left" w:pos="0"/>
          <w:tab w:val="left" w:pos="954"/>
          <w:tab w:val="left" w:pos="955"/>
          <w:tab w:val="right" w:leader="dot" w:pos="9625"/>
        </w:tabs>
        <w:autoSpaceDE w:val="0"/>
        <w:autoSpaceDN w:val="0"/>
        <w:spacing w:before="61" w:after="0"/>
        <w:ind w:hanging="397"/>
        <w:contextualSpacing w:val="0"/>
        <w:jc w:val="left"/>
      </w:pPr>
      <w:r w:rsidRPr="00EF2D2B">
        <w:rPr>
          <w:spacing w:val="7"/>
        </w:rPr>
        <w:t>Аюулгүй байдлын загвар</w:t>
      </w:r>
      <w:r w:rsidRPr="00EF2D2B">
        <w:rPr>
          <w:spacing w:val="7"/>
        </w:rPr>
        <w:tab/>
      </w:r>
      <w:r w:rsidRPr="00EF2D2B">
        <w:rPr>
          <w:spacing w:val="6"/>
        </w:rPr>
        <w:t>51</w:t>
      </w:r>
    </w:p>
    <w:p w:rsidR="001C4C31" w:rsidRPr="00EF2D2B" w:rsidRDefault="001C4C31" w:rsidP="00472036">
      <w:pPr>
        <w:pStyle w:val="ListParagraph"/>
        <w:widowControl w:val="0"/>
        <w:numPr>
          <w:ilvl w:val="1"/>
          <w:numId w:val="8"/>
        </w:numPr>
        <w:tabs>
          <w:tab w:val="left" w:pos="0"/>
          <w:tab w:val="left" w:pos="1523"/>
          <w:tab w:val="left" w:pos="1524"/>
          <w:tab w:val="right" w:leader="dot" w:pos="9625"/>
        </w:tabs>
        <w:autoSpaceDE w:val="0"/>
        <w:autoSpaceDN w:val="0"/>
        <w:spacing w:before="101" w:after="0"/>
        <w:ind w:hanging="570"/>
        <w:contextualSpacing w:val="0"/>
        <w:jc w:val="left"/>
      </w:pPr>
      <w:r w:rsidRPr="00EF2D2B">
        <w:rPr>
          <w:spacing w:val="6"/>
        </w:rPr>
        <w:t>Ерөнхий</w:t>
      </w:r>
      <w:r w:rsidRPr="00EF2D2B">
        <w:rPr>
          <w:spacing w:val="6"/>
        </w:rPr>
        <w:tab/>
        <w:t>51</w:t>
      </w:r>
    </w:p>
    <w:p w:rsidR="001C4C31" w:rsidRPr="00EF2D2B" w:rsidRDefault="001C4C31" w:rsidP="00472036">
      <w:pPr>
        <w:pStyle w:val="ListParagraph"/>
        <w:widowControl w:val="0"/>
        <w:numPr>
          <w:ilvl w:val="1"/>
          <w:numId w:val="8"/>
        </w:numPr>
        <w:tabs>
          <w:tab w:val="left" w:pos="0"/>
          <w:tab w:val="left" w:pos="1523"/>
          <w:tab w:val="left" w:pos="1524"/>
          <w:tab w:val="right" w:leader="dot" w:pos="9625"/>
        </w:tabs>
        <w:autoSpaceDE w:val="0"/>
        <w:autoSpaceDN w:val="0"/>
        <w:spacing w:before="58" w:after="0"/>
        <w:ind w:hanging="570"/>
        <w:contextualSpacing w:val="0"/>
        <w:jc w:val="left"/>
      </w:pPr>
      <w:r w:rsidRPr="00EF2D2B">
        <w:rPr>
          <w:spacing w:val="6"/>
        </w:rPr>
        <w:t>Түлхүүрийн менежментийн ба криптографийн дэмжлэг</w:t>
      </w:r>
      <w:r w:rsidRPr="00EF2D2B">
        <w:rPr>
          <w:spacing w:val="6"/>
        </w:rPr>
        <w:tab/>
        <w:t>54</w:t>
      </w:r>
    </w:p>
    <w:p w:rsidR="001C4C31" w:rsidRPr="00EF2D2B" w:rsidRDefault="001C4C31" w:rsidP="00472036">
      <w:pPr>
        <w:pStyle w:val="ListParagraph"/>
        <w:widowControl w:val="0"/>
        <w:numPr>
          <w:ilvl w:val="1"/>
          <w:numId w:val="8"/>
        </w:numPr>
        <w:tabs>
          <w:tab w:val="left" w:pos="0"/>
          <w:tab w:val="left" w:pos="1523"/>
          <w:tab w:val="left" w:pos="1524"/>
          <w:tab w:val="right" w:leader="dot" w:pos="9625"/>
        </w:tabs>
        <w:autoSpaceDE w:val="0"/>
        <w:autoSpaceDN w:val="0"/>
        <w:spacing w:before="61" w:after="0"/>
        <w:ind w:hanging="570"/>
        <w:contextualSpacing w:val="0"/>
        <w:jc w:val="left"/>
      </w:pPr>
      <w:r w:rsidRPr="00EF2D2B">
        <w:rPr>
          <w:spacing w:val="6"/>
        </w:rPr>
        <w:t>Түлхүүр түгээлтийн төв (KDC)</w:t>
      </w:r>
      <w:r w:rsidRPr="00EF2D2B">
        <w:rPr>
          <w:spacing w:val="6"/>
        </w:rPr>
        <w:tab/>
        <w:t>56</w:t>
      </w:r>
    </w:p>
    <w:p w:rsidR="001C4C31" w:rsidRPr="00EF2D2B" w:rsidRDefault="001C4C31" w:rsidP="00472036">
      <w:pPr>
        <w:pStyle w:val="ListParagraph"/>
        <w:widowControl w:val="0"/>
        <w:numPr>
          <w:ilvl w:val="0"/>
          <w:numId w:val="8"/>
        </w:numPr>
        <w:tabs>
          <w:tab w:val="left" w:pos="0"/>
          <w:tab w:val="left" w:pos="954"/>
          <w:tab w:val="left" w:pos="955"/>
          <w:tab w:val="right" w:leader="dot" w:pos="9625"/>
        </w:tabs>
        <w:autoSpaceDE w:val="0"/>
        <w:autoSpaceDN w:val="0"/>
        <w:spacing w:before="60" w:after="0"/>
        <w:ind w:hanging="397"/>
        <w:contextualSpacing w:val="0"/>
        <w:jc w:val="left"/>
      </w:pPr>
      <w:r w:rsidRPr="00EF2D2B">
        <w:rPr>
          <w:spacing w:val="6"/>
        </w:rPr>
        <w:t>Сервисүүд</w:t>
      </w:r>
      <w:r w:rsidRPr="00EF2D2B">
        <w:rPr>
          <w:spacing w:val="7"/>
        </w:rPr>
        <w:tab/>
      </w:r>
      <w:r w:rsidRPr="00EF2D2B">
        <w:rPr>
          <w:spacing w:val="6"/>
        </w:rPr>
        <w:t>56</w:t>
      </w:r>
    </w:p>
    <w:p w:rsidR="001C4C31" w:rsidRPr="00EF2D2B" w:rsidRDefault="001C4C31" w:rsidP="001C4C31">
      <w:pPr>
        <w:tabs>
          <w:tab w:val="left" w:pos="0"/>
          <w:tab w:val="left" w:pos="1523"/>
          <w:tab w:val="right" w:leader="dot" w:pos="9625"/>
        </w:tabs>
        <w:spacing w:before="117"/>
        <w:ind w:left="954"/>
      </w:pPr>
      <w:r w:rsidRPr="00EF2D2B">
        <w:rPr>
          <w:spacing w:val="6"/>
          <w:w w:val="99"/>
        </w:rPr>
        <w:t>9</w:t>
      </w:r>
      <w:r w:rsidRPr="00EF2D2B">
        <w:rPr>
          <w:spacing w:val="9"/>
          <w:w w:val="99"/>
        </w:rPr>
        <w:t>.</w:t>
      </w:r>
      <w:r w:rsidRPr="00EF2D2B">
        <w:rPr>
          <w:w w:val="99"/>
        </w:rPr>
        <w:t>1</w:t>
      </w:r>
      <w:r w:rsidRPr="00EF2D2B">
        <w:tab/>
        <w:t>Ерөнхий</w:t>
      </w:r>
      <w:r w:rsidRPr="00EF2D2B">
        <w:rPr>
          <w:spacing w:val="7"/>
          <w:w w:val="99"/>
        </w:rPr>
        <w:t>.....</w:t>
      </w:r>
      <w:r w:rsidRPr="00EF2D2B">
        <w:rPr>
          <w:spacing w:val="7"/>
        </w:rPr>
        <w:tab/>
      </w:r>
      <w:r w:rsidRPr="00EF2D2B">
        <w:rPr>
          <w:spacing w:val="7"/>
          <w:w w:val="99"/>
        </w:rPr>
        <w:t>...........</w:t>
      </w:r>
      <w:r w:rsidRPr="00EF2D2B">
        <w:rPr>
          <w:spacing w:val="-9"/>
          <w:w w:val="99"/>
        </w:rPr>
        <w:t>.</w:t>
      </w:r>
      <w:r w:rsidRPr="00EF2D2B">
        <w:rPr>
          <w:spacing w:val="6"/>
          <w:w w:val="99"/>
        </w:rPr>
        <w:t>56</w:t>
      </w:r>
    </w:p>
    <w:p w:rsidR="001C4C31" w:rsidRPr="00EF2D2B" w:rsidRDefault="001C4C31" w:rsidP="001C4C31">
      <w:pPr>
        <w:tabs>
          <w:tab w:val="left" w:pos="0"/>
          <w:tab w:val="left" w:pos="1523"/>
          <w:tab w:val="right" w:leader="dot" w:pos="9625"/>
        </w:tabs>
        <w:ind w:left="954"/>
        <w:rPr>
          <w:spacing w:val="6"/>
          <w:w w:val="99"/>
        </w:rPr>
      </w:pPr>
      <w:r w:rsidRPr="00EF2D2B">
        <w:rPr>
          <w:spacing w:val="6"/>
          <w:w w:val="99"/>
        </w:rPr>
        <w:t>9</w:t>
      </w:r>
      <w:r w:rsidRPr="00EF2D2B">
        <w:rPr>
          <w:spacing w:val="9"/>
          <w:w w:val="99"/>
        </w:rPr>
        <w:t>.</w:t>
      </w:r>
      <w:r w:rsidRPr="00EF2D2B">
        <w:rPr>
          <w:w w:val="99"/>
        </w:rPr>
        <w:t>2</w:t>
      </w:r>
      <w:r w:rsidRPr="00EF2D2B">
        <w:tab/>
        <w:t>Команд</w:t>
      </w:r>
      <w:r w:rsidRPr="00EF2D2B">
        <w:rPr>
          <w:spacing w:val="-75"/>
          <w:w w:val="99"/>
          <w:position w:val="5"/>
        </w:rPr>
        <w:t xml:space="preserve">  </w:t>
      </w:r>
      <w:r w:rsidRPr="00EF2D2B">
        <w:rPr>
          <w:spacing w:val="7"/>
        </w:rPr>
        <w:tab/>
      </w:r>
      <w:r w:rsidRPr="00EF2D2B">
        <w:rPr>
          <w:spacing w:val="6"/>
          <w:w w:val="99"/>
        </w:rPr>
        <w:t>57</w:t>
      </w:r>
    </w:p>
    <w:p w:rsidR="001C4C31" w:rsidRPr="00EF2D2B" w:rsidRDefault="00D80958" w:rsidP="00472036">
      <w:pPr>
        <w:pStyle w:val="TOC3"/>
        <w:numPr>
          <w:ilvl w:val="2"/>
          <w:numId w:val="5"/>
        </w:numPr>
        <w:tabs>
          <w:tab w:val="left" w:pos="0"/>
          <w:tab w:val="left" w:pos="2259"/>
          <w:tab w:val="left" w:pos="2260"/>
          <w:tab w:val="right" w:leader="dot" w:pos="9625"/>
        </w:tabs>
        <w:spacing w:before="93" w:line="276" w:lineRule="auto"/>
        <w:rPr>
          <w:sz w:val="24"/>
          <w:szCs w:val="24"/>
          <w:lang w:val="mn-MN"/>
        </w:rPr>
      </w:pPr>
      <w:hyperlink w:anchor="_TOC_250046" w:history="1">
        <w:r w:rsidR="001C4C31" w:rsidRPr="00EF2D2B">
          <w:rPr>
            <w:spacing w:val="6"/>
            <w:sz w:val="24"/>
            <w:szCs w:val="24"/>
            <w:lang w:val="mn-MN"/>
          </w:rPr>
          <w:t>Ерөнхий</w:t>
        </w:r>
        <w:r w:rsidR="001C4C31" w:rsidRPr="00EF2D2B">
          <w:rPr>
            <w:spacing w:val="6"/>
            <w:sz w:val="24"/>
            <w:szCs w:val="24"/>
            <w:lang w:val="mn-MN"/>
          </w:rPr>
          <w:tab/>
          <w:t>57</w:t>
        </w:r>
      </w:hyperlink>
    </w:p>
    <w:p w:rsidR="001C4C31" w:rsidRPr="00EF2D2B" w:rsidRDefault="001C4C31" w:rsidP="00472036">
      <w:pPr>
        <w:pStyle w:val="TOC3"/>
        <w:numPr>
          <w:ilvl w:val="2"/>
          <w:numId w:val="5"/>
        </w:numPr>
        <w:tabs>
          <w:tab w:val="left" w:pos="0"/>
          <w:tab w:val="left" w:pos="2259"/>
          <w:tab w:val="left" w:pos="2260"/>
          <w:tab w:val="right" w:leader="dot" w:pos="9625"/>
        </w:tabs>
        <w:spacing w:before="61" w:line="276" w:lineRule="auto"/>
        <w:ind w:hanging="737"/>
        <w:rPr>
          <w:sz w:val="24"/>
          <w:szCs w:val="24"/>
          <w:lang w:val="mn-MN"/>
        </w:rPr>
      </w:pPr>
      <w:r w:rsidRPr="00EF2D2B">
        <w:rPr>
          <w:sz w:val="24"/>
          <w:szCs w:val="24"/>
          <w:lang w:val="mn-MN"/>
        </w:rPr>
        <w:t>Удирдлагын блокууд</w:t>
      </w:r>
      <w:hyperlink w:anchor="_TOC_250045" w:history="1">
        <w:r w:rsidRPr="00EF2D2B">
          <w:rPr>
            <w:spacing w:val="6"/>
            <w:sz w:val="24"/>
            <w:szCs w:val="24"/>
            <w:lang w:val="mn-MN"/>
          </w:rPr>
          <w:tab/>
          <w:t>57</w:t>
        </w:r>
      </w:hyperlink>
    </w:p>
    <w:p w:rsidR="001C4C31" w:rsidRPr="00EF2D2B" w:rsidRDefault="00D80958" w:rsidP="00472036">
      <w:pPr>
        <w:pStyle w:val="TOC2"/>
        <w:numPr>
          <w:ilvl w:val="1"/>
          <w:numId w:val="4"/>
        </w:numPr>
        <w:tabs>
          <w:tab w:val="left" w:pos="0"/>
          <w:tab w:val="left" w:pos="1523"/>
          <w:tab w:val="left" w:pos="1524"/>
          <w:tab w:val="right" w:leader="dot" w:pos="9625"/>
        </w:tabs>
        <w:spacing w:line="276" w:lineRule="auto"/>
        <w:ind w:hanging="570"/>
        <w:rPr>
          <w:sz w:val="24"/>
          <w:szCs w:val="24"/>
          <w:lang w:val="mn-MN"/>
        </w:rPr>
      </w:pPr>
      <w:hyperlink w:anchor="_TOC_250044" w:history="1">
        <w:r w:rsidR="001C4C31" w:rsidRPr="00EF2D2B">
          <w:rPr>
            <w:spacing w:val="7"/>
            <w:sz w:val="24"/>
            <w:szCs w:val="24"/>
            <w:lang w:val="mn-MN"/>
          </w:rPr>
          <w:t>Тохируулгын хүсэлтийн сервис</w:t>
        </w:r>
        <w:r w:rsidR="001C4C31" w:rsidRPr="00EF2D2B">
          <w:rPr>
            <w:spacing w:val="7"/>
            <w:sz w:val="24"/>
            <w:szCs w:val="24"/>
            <w:lang w:val="mn-MN"/>
          </w:rPr>
          <w:tab/>
        </w:r>
        <w:r w:rsidR="001C4C31" w:rsidRPr="00EF2D2B">
          <w:rPr>
            <w:spacing w:val="6"/>
            <w:sz w:val="24"/>
            <w:szCs w:val="24"/>
            <w:lang w:val="mn-MN"/>
          </w:rPr>
          <w:t>61</w:t>
        </w:r>
      </w:hyperlink>
    </w:p>
    <w:p w:rsidR="001C4C31" w:rsidRPr="00EF2D2B" w:rsidRDefault="00D80958" w:rsidP="00472036">
      <w:pPr>
        <w:pStyle w:val="TOC3"/>
        <w:numPr>
          <w:ilvl w:val="2"/>
          <w:numId w:val="4"/>
        </w:numPr>
        <w:tabs>
          <w:tab w:val="left" w:pos="0"/>
          <w:tab w:val="left" w:pos="2259"/>
          <w:tab w:val="left" w:pos="2260"/>
          <w:tab w:val="right" w:leader="dot" w:pos="9625"/>
        </w:tabs>
        <w:spacing w:line="276" w:lineRule="auto"/>
        <w:rPr>
          <w:sz w:val="24"/>
          <w:szCs w:val="24"/>
          <w:lang w:val="mn-MN"/>
        </w:rPr>
      </w:pPr>
      <w:hyperlink w:anchor="_TOC_250043" w:history="1">
        <w:r w:rsidR="001C4C31" w:rsidRPr="00EF2D2B">
          <w:rPr>
            <w:spacing w:val="6"/>
            <w:sz w:val="24"/>
            <w:szCs w:val="24"/>
            <w:lang w:val="mn-MN"/>
          </w:rPr>
          <w:t>Ерөнхий</w:t>
        </w:r>
        <w:r w:rsidR="001C4C31" w:rsidRPr="00EF2D2B">
          <w:rPr>
            <w:spacing w:val="6"/>
            <w:sz w:val="24"/>
            <w:szCs w:val="24"/>
            <w:lang w:val="mn-MN"/>
          </w:rPr>
          <w:tab/>
          <w:t>61</w:t>
        </w:r>
      </w:hyperlink>
    </w:p>
    <w:p w:rsidR="001C4C31" w:rsidRPr="00EF2D2B" w:rsidRDefault="00D80958" w:rsidP="00472036">
      <w:pPr>
        <w:pStyle w:val="TOC3"/>
        <w:numPr>
          <w:ilvl w:val="2"/>
          <w:numId w:val="4"/>
        </w:numPr>
        <w:tabs>
          <w:tab w:val="left" w:pos="0"/>
          <w:tab w:val="left" w:pos="2259"/>
          <w:tab w:val="left" w:pos="2260"/>
          <w:tab w:val="right" w:leader="dot" w:pos="9625"/>
        </w:tabs>
        <w:spacing w:line="276" w:lineRule="auto"/>
        <w:rPr>
          <w:sz w:val="24"/>
          <w:szCs w:val="24"/>
          <w:lang w:val="mn-MN"/>
        </w:rPr>
      </w:pPr>
      <w:hyperlink w:anchor="_TOC_250042" w:history="1">
        <w:r w:rsidR="001C4C31" w:rsidRPr="00EF2D2B">
          <w:rPr>
            <w:spacing w:val="6"/>
            <w:sz w:val="24"/>
            <w:szCs w:val="24"/>
            <w:lang w:val="mn-MN"/>
          </w:rPr>
          <w:t>Тохируулгын өгөгдлийн төрөл CFG-1 -Боломж</w:t>
        </w:r>
        <w:r w:rsidR="001C4C31" w:rsidRPr="00EF2D2B">
          <w:rPr>
            <w:spacing w:val="7"/>
            <w:sz w:val="24"/>
            <w:szCs w:val="24"/>
            <w:lang w:val="mn-MN"/>
          </w:rPr>
          <w:tab/>
        </w:r>
        <w:r w:rsidR="001C4C31" w:rsidRPr="00EF2D2B">
          <w:rPr>
            <w:spacing w:val="6"/>
            <w:sz w:val="24"/>
            <w:szCs w:val="24"/>
            <w:lang w:val="mn-MN"/>
          </w:rPr>
          <w:t>61</w:t>
        </w:r>
      </w:hyperlink>
    </w:p>
    <w:p w:rsidR="001C4C31" w:rsidRPr="00EF2D2B" w:rsidRDefault="001C4C31" w:rsidP="00472036">
      <w:pPr>
        <w:pStyle w:val="TOC3"/>
        <w:numPr>
          <w:ilvl w:val="2"/>
          <w:numId w:val="4"/>
        </w:numPr>
        <w:tabs>
          <w:tab w:val="left" w:pos="0"/>
          <w:tab w:val="left" w:pos="2259"/>
          <w:tab w:val="left" w:pos="2260"/>
          <w:tab w:val="right" w:leader="dot" w:pos="9625"/>
        </w:tabs>
        <w:spacing w:before="61" w:line="276" w:lineRule="auto"/>
        <w:rPr>
          <w:sz w:val="24"/>
          <w:szCs w:val="24"/>
          <w:lang w:val="mn-MN"/>
        </w:rPr>
      </w:pPr>
      <w:r w:rsidRPr="00EF2D2B">
        <w:rPr>
          <w:sz w:val="24"/>
          <w:szCs w:val="24"/>
          <w:lang w:val="mn-MN"/>
        </w:rPr>
        <w:t xml:space="preserve">Тохируулгын өгөгдлийн төрөл </w:t>
      </w:r>
      <w:r w:rsidRPr="00E90899">
        <w:rPr>
          <w:sz w:val="24"/>
          <w:szCs w:val="24"/>
          <w:lang w:val="mn-MN"/>
        </w:rPr>
        <w:t xml:space="preserve">CFG-2 буюу CFG-3 –Хэмжилтүүд </w:t>
      </w:r>
      <w:hyperlink w:anchor="_TOC_250041" w:history="1"/>
    </w:p>
    <w:p w:rsidR="001C4C31" w:rsidRPr="00EF2D2B" w:rsidRDefault="00D80958" w:rsidP="00472036">
      <w:pPr>
        <w:pStyle w:val="TOC3"/>
        <w:numPr>
          <w:ilvl w:val="2"/>
          <w:numId w:val="4"/>
        </w:numPr>
        <w:tabs>
          <w:tab w:val="left" w:pos="0"/>
          <w:tab w:val="left" w:pos="2259"/>
          <w:tab w:val="left" w:pos="2260"/>
          <w:tab w:val="right" w:leader="dot" w:pos="9625"/>
        </w:tabs>
        <w:spacing w:line="276" w:lineRule="auto"/>
        <w:rPr>
          <w:sz w:val="24"/>
          <w:szCs w:val="24"/>
          <w:lang w:val="mn-MN"/>
        </w:rPr>
      </w:pPr>
      <w:hyperlink w:anchor="_TOC_250040" w:history="1">
        <w:r w:rsidR="001C4C31" w:rsidRPr="00EF2D2B">
          <w:rPr>
            <w:spacing w:val="6"/>
            <w:sz w:val="24"/>
            <w:szCs w:val="24"/>
            <w:lang w:val="mn-MN"/>
          </w:rPr>
          <w:t>CFG-1 тохиргооны мэдээлэл рүү онлайн нэвтрэх</w:t>
        </w:r>
        <w:r w:rsidR="001C4C31" w:rsidRPr="00EF2D2B">
          <w:rPr>
            <w:spacing w:val="7"/>
            <w:sz w:val="24"/>
            <w:szCs w:val="24"/>
            <w:lang w:val="mn-MN"/>
          </w:rPr>
          <w:tab/>
        </w:r>
        <w:r w:rsidR="001C4C31" w:rsidRPr="00EF2D2B">
          <w:rPr>
            <w:spacing w:val="6"/>
            <w:sz w:val="24"/>
            <w:szCs w:val="24"/>
            <w:lang w:val="mn-MN"/>
          </w:rPr>
          <w:t>61</w:t>
        </w:r>
      </w:hyperlink>
    </w:p>
    <w:p w:rsidR="001C4C31" w:rsidRPr="00EF2D2B" w:rsidRDefault="00D80958" w:rsidP="00472036">
      <w:pPr>
        <w:pStyle w:val="TOC3"/>
        <w:numPr>
          <w:ilvl w:val="2"/>
          <w:numId w:val="4"/>
        </w:numPr>
        <w:tabs>
          <w:tab w:val="left" w:pos="0"/>
          <w:tab w:val="left" w:pos="2259"/>
          <w:tab w:val="left" w:pos="2260"/>
          <w:tab w:val="right" w:leader="dot" w:pos="9625"/>
        </w:tabs>
        <w:spacing w:before="61" w:line="276" w:lineRule="auto"/>
        <w:rPr>
          <w:sz w:val="24"/>
          <w:szCs w:val="24"/>
          <w:lang w:val="mn-MN"/>
        </w:rPr>
      </w:pPr>
      <w:hyperlink w:anchor="_TOC_250039" w:history="1">
        <w:r w:rsidR="001C4C31" w:rsidRPr="00EF2D2B">
          <w:rPr>
            <w:spacing w:val="6"/>
            <w:sz w:val="24"/>
            <w:szCs w:val="24"/>
            <w:lang w:val="mn-MN"/>
          </w:rPr>
          <w:t>CFG-2 ба CFG-тохиргооны мэдээлэл рүү офлайн нэвтрэх</w:t>
        </w:r>
        <w:r w:rsidR="001C4C31" w:rsidRPr="00EF2D2B">
          <w:rPr>
            <w:spacing w:val="7"/>
            <w:sz w:val="24"/>
            <w:szCs w:val="24"/>
            <w:lang w:val="mn-MN"/>
          </w:rPr>
          <w:tab/>
        </w:r>
        <w:r w:rsidR="001C4C31" w:rsidRPr="00EF2D2B">
          <w:rPr>
            <w:spacing w:val="6"/>
            <w:sz w:val="24"/>
            <w:szCs w:val="24"/>
            <w:lang w:val="mn-MN"/>
          </w:rPr>
          <w:t>61</w:t>
        </w:r>
      </w:hyperlink>
    </w:p>
    <w:p w:rsidR="001C4C31" w:rsidRPr="00EF2D2B" w:rsidRDefault="00D80958" w:rsidP="00472036">
      <w:pPr>
        <w:pStyle w:val="TOC2"/>
        <w:numPr>
          <w:ilvl w:val="1"/>
          <w:numId w:val="4"/>
        </w:numPr>
        <w:tabs>
          <w:tab w:val="left" w:pos="0"/>
          <w:tab w:val="left" w:pos="1523"/>
          <w:tab w:val="left" w:pos="1524"/>
          <w:tab w:val="right" w:leader="dot" w:pos="9625"/>
        </w:tabs>
        <w:spacing w:line="276" w:lineRule="auto"/>
        <w:ind w:hanging="570"/>
        <w:rPr>
          <w:sz w:val="24"/>
          <w:szCs w:val="24"/>
          <w:lang w:val="mn-MN"/>
        </w:rPr>
      </w:pPr>
      <w:hyperlink w:anchor="_TOC_250038" w:history="1">
        <w:r w:rsidR="001C4C31" w:rsidRPr="00EF2D2B">
          <w:rPr>
            <w:spacing w:val="6"/>
            <w:sz w:val="24"/>
            <w:szCs w:val="24"/>
            <w:lang w:val="mn-MN"/>
          </w:rPr>
          <w:t>Толгой мэдээллийн сервис</w:t>
        </w:r>
        <w:r w:rsidR="001C4C31" w:rsidRPr="00EF2D2B">
          <w:rPr>
            <w:spacing w:val="8"/>
            <w:sz w:val="24"/>
            <w:szCs w:val="24"/>
            <w:lang w:val="mn-MN"/>
          </w:rPr>
          <w:tab/>
        </w:r>
        <w:r w:rsidR="001C4C31" w:rsidRPr="00EF2D2B">
          <w:rPr>
            <w:spacing w:val="6"/>
            <w:sz w:val="24"/>
            <w:szCs w:val="24"/>
            <w:lang w:val="mn-MN"/>
          </w:rPr>
          <w:t>61</w:t>
        </w:r>
      </w:hyperlink>
    </w:p>
    <w:p w:rsidR="001C4C31" w:rsidRPr="00EF2D2B" w:rsidRDefault="00D80958" w:rsidP="00472036">
      <w:pPr>
        <w:pStyle w:val="TOC2"/>
        <w:numPr>
          <w:ilvl w:val="1"/>
          <w:numId w:val="4"/>
        </w:numPr>
        <w:tabs>
          <w:tab w:val="left" w:pos="0"/>
          <w:tab w:val="left" w:pos="1523"/>
          <w:tab w:val="left" w:pos="1524"/>
          <w:tab w:val="right" w:leader="dot" w:pos="9625"/>
        </w:tabs>
        <w:spacing w:before="60" w:line="276" w:lineRule="auto"/>
        <w:ind w:hanging="570"/>
        <w:rPr>
          <w:sz w:val="24"/>
          <w:szCs w:val="24"/>
          <w:lang w:val="mn-MN"/>
        </w:rPr>
      </w:pPr>
      <w:hyperlink w:anchor="_TOC_250037" w:history="1">
        <w:r w:rsidR="001C4C31" w:rsidRPr="00EF2D2B">
          <w:rPr>
            <w:spacing w:val="5"/>
            <w:sz w:val="24"/>
            <w:szCs w:val="24"/>
            <w:lang w:val="mn-MN"/>
          </w:rPr>
          <w:t>Өгөгдөл дамжуулах сервис</w:t>
        </w:r>
        <w:r w:rsidR="001C4C31" w:rsidRPr="00EF2D2B">
          <w:rPr>
            <w:spacing w:val="8"/>
            <w:sz w:val="24"/>
            <w:szCs w:val="24"/>
            <w:lang w:val="mn-MN"/>
          </w:rPr>
          <w:tab/>
        </w:r>
        <w:r w:rsidR="001C4C31" w:rsidRPr="00EF2D2B">
          <w:rPr>
            <w:spacing w:val="6"/>
            <w:sz w:val="24"/>
            <w:szCs w:val="24"/>
            <w:lang w:val="mn-MN"/>
          </w:rPr>
          <w:t>62</w:t>
        </w:r>
      </w:hyperlink>
    </w:p>
    <w:p w:rsidR="001C4C31" w:rsidRPr="00EF2D2B" w:rsidRDefault="00D80958" w:rsidP="00472036">
      <w:pPr>
        <w:pStyle w:val="TOC3"/>
        <w:numPr>
          <w:ilvl w:val="2"/>
          <w:numId w:val="4"/>
        </w:numPr>
        <w:tabs>
          <w:tab w:val="left" w:pos="0"/>
          <w:tab w:val="left" w:pos="2259"/>
          <w:tab w:val="left" w:pos="2260"/>
          <w:tab w:val="right" w:leader="dot" w:pos="9625"/>
        </w:tabs>
        <w:spacing w:before="61" w:line="276" w:lineRule="auto"/>
        <w:rPr>
          <w:sz w:val="24"/>
          <w:szCs w:val="24"/>
          <w:lang w:val="mn-MN"/>
        </w:rPr>
      </w:pPr>
      <w:hyperlink w:anchor="_TOC_250036" w:history="1">
        <w:r w:rsidR="001C4C31" w:rsidRPr="00EF2D2B">
          <w:rPr>
            <w:spacing w:val="6"/>
            <w:sz w:val="24"/>
            <w:szCs w:val="24"/>
            <w:lang w:val="mn-MN"/>
          </w:rPr>
          <w:t>Ерөнхий</w:t>
        </w:r>
        <w:r w:rsidR="001C4C31" w:rsidRPr="00EF2D2B">
          <w:rPr>
            <w:spacing w:val="6"/>
            <w:sz w:val="24"/>
            <w:szCs w:val="24"/>
            <w:lang w:val="mn-MN"/>
          </w:rPr>
          <w:tab/>
          <w:t>62</w:t>
        </w:r>
      </w:hyperlink>
    </w:p>
    <w:p w:rsidR="001C4C31" w:rsidRPr="00EF2D2B" w:rsidRDefault="00D80958" w:rsidP="00472036">
      <w:pPr>
        <w:pStyle w:val="TOC3"/>
        <w:numPr>
          <w:ilvl w:val="2"/>
          <w:numId w:val="4"/>
        </w:numPr>
        <w:tabs>
          <w:tab w:val="left" w:pos="0"/>
          <w:tab w:val="left" w:pos="2259"/>
          <w:tab w:val="left" w:pos="2260"/>
          <w:tab w:val="right" w:leader="dot" w:pos="9625"/>
        </w:tabs>
        <w:spacing w:line="276" w:lineRule="auto"/>
        <w:rPr>
          <w:sz w:val="24"/>
          <w:szCs w:val="24"/>
          <w:lang w:val="mn-MN"/>
        </w:rPr>
      </w:pPr>
      <w:hyperlink w:anchor="_TOC_250035" w:history="1">
        <w:r w:rsidR="001C4C31" w:rsidRPr="00EF2D2B">
          <w:rPr>
            <w:spacing w:val="6"/>
            <w:sz w:val="24"/>
            <w:szCs w:val="24"/>
            <w:lang w:val="mn-MN"/>
          </w:rPr>
          <w:t>Ерөнхий</w:t>
        </w:r>
        <w:r w:rsidR="001C4C31" w:rsidRPr="00EF2D2B">
          <w:rPr>
            <w:spacing w:val="6"/>
            <w:sz w:val="24"/>
            <w:szCs w:val="24"/>
            <w:lang w:val="mn-MN"/>
          </w:rPr>
          <w:tab/>
          <w:t>62</w:t>
        </w:r>
      </w:hyperlink>
    </w:p>
    <w:p w:rsidR="001C4C31" w:rsidRPr="00EF2D2B" w:rsidRDefault="00D80958" w:rsidP="00472036">
      <w:pPr>
        <w:pStyle w:val="TOC3"/>
        <w:numPr>
          <w:ilvl w:val="2"/>
          <w:numId w:val="4"/>
        </w:numPr>
        <w:tabs>
          <w:tab w:val="left" w:pos="0"/>
          <w:tab w:val="left" w:pos="2259"/>
          <w:tab w:val="left" w:pos="2260"/>
          <w:tab w:val="right" w:leader="dot" w:pos="9625"/>
        </w:tabs>
        <w:spacing w:line="276" w:lineRule="auto"/>
        <w:rPr>
          <w:sz w:val="24"/>
          <w:szCs w:val="24"/>
          <w:lang w:val="mn-MN"/>
        </w:rPr>
      </w:pPr>
      <w:hyperlink w:anchor="_TOC_250034" w:history="1">
        <w:r w:rsidR="001C4C31" w:rsidRPr="00EF2D2B">
          <w:rPr>
            <w:spacing w:val="6"/>
            <w:sz w:val="24"/>
            <w:szCs w:val="24"/>
            <w:lang w:val="mn-MN"/>
          </w:rPr>
          <w:t>Синхрофазорын өгөгдлийг кодлох</w:t>
        </w:r>
        <w:r w:rsidR="001C4C31" w:rsidRPr="00EF2D2B">
          <w:rPr>
            <w:spacing w:val="6"/>
            <w:sz w:val="24"/>
            <w:szCs w:val="24"/>
            <w:lang w:val="mn-MN"/>
          </w:rPr>
          <w:tab/>
          <w:t>62</w:t>
        </w:r>
      </w:hyperlink>
    </w:p>
    <w:p w:rsidR="001C4C31" w:rsidRPr="00EF2D2B" w:rsidRDefault="00D80958" w:rsidP="00472036">
      <w:pPr>
        <w:pStyle w:val="TOC2"/>
        <w:numPr>
          <w:ilvl w:val="1"/>
          <w:numId w:val="4"/>
        </w:numPr>
        <w:tabs>
          <w:tab w:val="left" w:pos="0"/>
          <w:tab w:val="left" w:pos="1523"/>
          <w:tab w:val="left" w:pos="1524"/>
          <w:tab w:val="right" w:leader="dot" w:pos="9625"/>
        </w:tabs>
        <w:spacing w:line="276" w:lineRule="auto"/>
        <w:ind w:hanging="570"/>
        <w:rPr>
          <w:sz w:val="24"/>
          <w:szCs w:val="24"/>
          <w:lang w:val="mn-MN"/>
        </w:rPr>
      </w:pPr>
      <w:hyperlink w:anchor="_TOC_250033" w:history="1">
        <w:r w:rsidR="001C4C31" w:rsidRPr="00EF2D2B">
          <w:rPr>
            <w:spacing w:val="6"/>
            <w:sz w:val="24"/>
            <w:szCs w:val="24"/>
            <w:lang w:val="mn-MN"/>
          </w:rPr>
          <w:t>Тодорхой өгөгдлийг</w:t>
        </w:r>
        <w:r w:rsidR="001C4C31" w:rsidRPr="00731F96">
          <w:rPr>
            <w:spacing w:val="6"/>
            <w:sz w:val="24"/>
            <w:szCs w:val="24"/>
            <w:lang w:val="mn-MN"/>
          </w:rPr>
          <w:t xml:space="preserve"> ангилан төлөвлөх</w:t>
        </w:r>
        <w:r w:rsidR="001C4C31" w:rsidRPr="00731F96">
          <w:rPr>
            <w:spacing w:val="8"/>
            <w:sz w:val="24"/>
            <w:szCs w:val="24"/>
            <w:lang w:val="mn-MN"/>
          </w:rPr>
          <w:tab/>
        </w:r>
        <w:r w:rsidR="001C4C31" w:rsidRPr="00731F96">
          <w:rPr>
            <w:spacing w:val="6"/>
            <w:sz w:val="24"/>
            <w:szCs w:val="24"/>
            <w:lang w:val="mn-MN"/>
          </w:rPr>
          <w:t>62</w:t>
        </w:r>
      </w:hyperlink>
    </w:p>
    <w:p w:rsidR="001C4C31" w:rsidRPr="00EF2D2B" w:rsidRDefault="00D80958" w:rsidP="00472036">
      <w:pPr>
        <w:pStyle w:val="TOC2"/>
        <w:numPr>
          <w:ilvl w:val="1"/>
          <w:numId w:val="4"/>
        </w:numPr>
        <w:tabs>
          <w:tab w:val="left" w:pos="0"/>
          <w:tab w:val="left" w:pos="1523"/>
          <w:tab w:val="left" w:pos="1524"/>
          <w:tab w:val="right" w:leader="dot" w:pos="9625"/>
        </w:tabs>
        <w:spacing w:before="61" w:line="276" w:lineRule="auto"/>
        <w:ind w:hanging="570"/>
        <w:rPr>
          <w:sz w:val="24"/>
          <w:szCs w:val="24"/>
          <w:lang w:val="mn-MN"/>
        </w:rPr>
      </w:pPr>
      <w:hyperlink w:anchor="_TOC_250032" w:history="1">
        <w:r w:rsidR="001C4C31" w:rsidRPr="00EF2D2B">
          <w:rPr>
            <w:spacing w:val="6"/>
            <w:sz w:val="24"/>
            <w:szCs w:val="24"/>
            <w:lang w:val="mn-MN"/>
          </w:rPr>
          <w:t>Нийтлэг өгөгдлийн талбарууд</w:t>
        </w:r>
        <w:r w:rsidR="001C4C31" w:rsidRPr="00EF2D2B">
          <w:rPr>
            <w:spacing w:val="7"/>
            <w:sz w:val="24"/>
            <w:szCs w:val="24"/>
            <w:lang w:val="mn-MN"/>
          </w:rPr>
          <w:tab/>
        </w:r>
        <w:r w:rsidR="001C4C31" w:rsidRPr="00EF2D2B">
          <w:rPr>
            <w:spacing w:val="6"/>
            <w:sz w:val="24"/>
            <w:szCs w:val="24"/>
            <w:lang w:val="mn-MN"/>
          </w:rPr>
          <w:t>62</w:t>
        </w:r>
      </w:hyperlink>
    </w:p>
    <w:p w:rsidR="001C4C31" w:rsidRPr="00EF2D2B" w:rsidRDefault="00D80958" w:rsidP="00472036">
      <w:pPr>
        <w:pStyle w:val="TOC2"/>
        <w:numPr>
          <w:ilvl w:val="1"/>
          <w:numId w:val="4"/>
        </w:numPr>
        <w:tabs>
          <w:tab w:val="left" w:pos="0"/>
          <w:tab w:val="left" w:pos="1523"/>
          <w:tab w:val="left" w:pos="1524"/>
          <w:tab w:val="right" w:leader="dot" w:pos="9625"/>
        </w:tabs>
        <w:spacing w:before="60" w:line="276" w:lineRule="auto"/>
        <w:ind w:hanging="570"/>
        <w:rPr>
          <w:sz w:val="24"/>
          <w:szCs w:val="24"/>
          <w:lang w:val="mn-MN"/>
        </w:rPr>
      </w:pPr>
      <w:hyperlink w:anchor="_TOC_250031" w:history="1">
        <w:r w:rsidR="001C4C31" w:rsidRPr="00EF2D2B">
          <w:rPr>
            <w:spacing w:val="6"/>
            <w:sz w:val="24"/>
            <w:szCs w:val="24"/>
            <w:lang w:val="mn-MN"/>
          </w:rPr>
          <w:t>Хугацааны синхрончлол</w:t>
        </w:r>
        <w:r w:rsidR="001C4C31" w:rsidRPr="00EF2D2B">
          <w:rPr>
            <w:spacing w:val="7"/>
            <w:sz w:val="24"/>
            <w:szCs w:val="24"/>
            <w:lang w:val="mn-MN"/>
          </w:rPr>
          <w:tab/>
        </w:r>
        <w:r w:rsidR="001C4C31" w:rsidRPr="00EF2D2B">
          <w:rPr>
            <w:spacing w:val="6"/>
            <w:sz w:val="24"/>
            <w:szCs w:val="24"/>
            <w:lang w:val="mn-MN"/>
          </w:rPr>
          <w:t>63</w:t>
        </w:r>
      </w:hyperlink>
    </w:p>
    <w:p w:rsidR="001C4C31" w:rsidRPr="00EF2D2B" w:rsidRDefault="00D80958" w:rsidP="00472036">
      <w:pPr>
        <w:pStyle w:val="TOC2"/>
        <w:numPr>
          <w:ilvl w:val="1"/>
          <w:numId w:val="4"/>
        </w:numPr>
        <w:tabs>
          <w:tab w:val="left" w:pos="0"/>
          <w:tab w:val="left" w:pos="1523"/>
          <w:tab w:val="left" w:pos="1524"/>
          <w:tab w:val="right" w:leader="dot" w:pos="9625"/>
        </w:tabs>
        <w:spacing w:before="61" w:line="276" w:lineRule="auto"/>
        <w:ind w:hanging="570"/>
        <w:rPr>
          <w:sz w:val="24"/>
          <w:szCs w:val="24"/>
          <w:lang w:val="mn-MN"/>
        </w:rPr>
      </w:pPr>
      <w:hyperlink w:anchor="_TOC_250030" w:history="1">
        <w:r w:rsidR="001C4C31" w:rsidRPr="00EF2D2B">
          <w:rPr>
            <w:spacing w:val="7"/>
            <w:sz w:val="24"/>
            <w:szCs w:val="24"/>
            <w:lang w:val="mn-MN"/>
          </w:rPr>
          <w:t>Нөөцлөлт</w:t>
        </w:r>
        <w:r w:rsidR="001C4C31" w:rsidRPr="00EF2D2B">
          <w:rPr>
            <w:spacing w:val="7"/>
            <w:sz w:val="24"/>
            <w:szCs w:val="24"/>
            <w:lang w:val="mn-MN"/>
          </w:rPr>
          <w:tab/>
        </w:r>
        <w:r w:rsidR="001C4C31" w:rsidRPr="00EF2D2B">
          <w:rPr>
            <w:spacing w:val="6"/>
            <w:sz w:val="24"/>
            <w:szCs w:val="24"/>
            <w:lang w:val="mn-MN"/>
          </w:rPr>
          <w:t>63</w:t>
        </w:r>
      </w:hyperlink>
    </w:p>
    <w:p w:rsidR="001C4C31" w:rsidRPr="00EF2D2B" w:rsidRDefault="00D80958" w:rsidP="00472036">
      <w:pPr>
        <w:pStyle w:val="TOC1"/>
        <w:numPr>
          <w:ilvl w:val="0"/>
          <w:numId w:val="8"/>
        </w:numPr>
        <w:tabs>
          <w:tab w:val="left" w:pos="0"/>
          <w:tab w:val="left" w:pos="955"/>
          <w:tab w:val="right" w:leader="dot" w:pos="9625"/>
        </w:tabs>
        <w:spacing w:line="276" w:lineRule="auto"/>
        <w:ind w:hanging="397"/>
        <w:rPr>
          <w:sz w:val="24"/>
          <w:szCs w:val="24"/>
          <w:lang w:val="mn-MN"/>
        </w:rPr>
      </w:pPr>
      <w:hyperlink w:anchor="_TOC_250029" w:history="1">
        <w:r w:rsidR="001C4C31" w:rsidRPr="00EF2D2B">
          <w:rPr>
            <w:spacing w:val="5"/>
            <w:sz w:val="24"/>
            <w:szCs w:val="24"/>
            <w:lang w:val="mn-MN"/>
          </w:rPr>
          <w:t>Синхрофазорын хэмжилт хийх IEC логик зангилааны загварчлал</w:t>
        </w:r>
        <w:r w:rsidR="001C4C31" w:rsidRPr="00EF2D2B">
          <w:rPr>
            <w:spacing w:val="7"/>
            <w:sz w:val="24"/>
            <w:szCs w:val="24"/>
            <w:lang w:val="mn-MN"/>
          </w:rPr>
          <w:tab/>
        </w:r>
        <w:r w:rsidR="001C4C31" w:rsidRPr="00EF2D2B">
          <w:rPr>
            <w:spacing w:val="6"/>
            <w:sz w:val="24"/>
            <w:szCs w:val="24"/>
            <w:lang w:val="mn-MN"/>
          </w:rPr>
          <w:t>64</w:t>
        </w:r>
      </w:hyperlink>
    </w:p>
    <w:p w:rsidR="001C4C31" w:rsidRPr="00EF2D2B" w:rsidRDefault="00D80958" w:rsidP="00472036">
      <w:pPr>
        <w:pStyle w:val="TOC1"/>
        <w:numPr>
          <w:ilvl w:val="0"/>
          <w:numId w:val="8"/>
        </w:numPr>
        <w:tabs>
          <w:tab w:val="left" w:pos="0"/>
          <w:tab w:val="left" w:pos="955"/>
          <w:tab w:val="right" w:leader="dot" w:pos="9625"/>
        </w:tabs>
        <w:spacing w:before="99" w:line="276" w:lineRule="auto"/>
        <w:ind w:hanging="397"/>
        <w:rPr>
          <w:sz w:val="24"/>
          <w:szCs w:val="24"/>
          <w:lang w:val="mn-MN"/>
        </w:rPr>
      </w:pPr>
      <w:hyperlink w:anchor="_TOC_250028" w:history="1">
        <w:r w:rsidR="001C4C31" w:rsidRPr="00EF2D2B">
          <w:rPr>
            <w:spacing w:val="7"/>
            <w:sz w:val="24"/>
            <w:szCs w:val="24"/>
            <w:lang w:val="mn-MN"/>
          </w:rPr>
          <w:t>Синхрофазорын профайл зураглалууд</w:t>
        </w:r>
        <w:r w:rsidR="001C4C31" w:rsidRPr="00EF2D2B">
          <w:rPr>
            <w:spacing w:val="7"/>
            <w:sz w:val="24"/>
            <w:szCs w:val="24"/>
            <w:lang w:val="mn-MN"/>
          </w:rPr>
          <w:tab/>
        </w:r>
        <w:r w:rsidR="001C4C31" w:rsidRPr="00EF2D2B">
          <w:rPr>
            <w:spacing w:val="6"/>
            <w:sz w:val="24"/>
            <w:szCs w:val="24"/>
            <w:lang w:val="mn-MN"/>
          </w:rPr>
          <w:t>66</w:t>
        </w:r>
      </w:hyperlink>
    </w:p>
    <w:p w:rsidR="001C4C31" w:rsidRPr="00EF2D2B" w:rsidRDefault="00D80958" w:rsidP="00472036">
      <w:pPr>
        <w:pStyle w:val="TOC2"/>
        <w:numPr>
          <w:ilvl w:val="1"/>
          <w:numId w:val="8"/>
        </w:numPr>
        <w:tabs>
          <w:tab w:val="left" w:pos="0"/>
          <w:tab w:val="left" w:pos="1524"/>
          <w:tab w:val="right" w:leader="dot" w:pos="9625"/>
        </w:tabs>
        <w:spacing w:before="101" w:line="276" w:lineRule="auto"/>
        <w:ind w:hanging="570"/>
        <w:rPr>
          <w:sz w:val="24"/>
          <w:szCs w:val="24"/>
          <w:lang w:val="mn-MN"/>
        </w:rPr>
      </w:pPr>
      <w:hyperlink w:anchor="_TOC_250027" w:history="1">
        <w:r w:rsidR="001C4C31" w:rsidRPr="00EF2D2B">
          <w:rPr>
            <w:spacing w:val="6"/>
            <w:sz w:val="24"/>
            <w:szCs w:val="24"/>
            <w:lang w:val="mn-MN"/>
          </w:rPr>
          <w:t>Ерөнхий тойм</w:t>
        </w:r>
        <w:r w:rsidR="001C4C31" w:rsidRPr="00EF2D2B">
          <w:rPr>
            <w:spacing w:val="8"/>
            <w:sz w:val="24"/>
            <w:szCs w:val="24"/>
            <w:lang w:val="mn-MN"/>
          </w:rPr>
          <w:tab/>
        </w:r>
        <w:r w:rsidR="001C4C31" w:rsidRPr="00EF2D2B">
          <w:rPr>
            <w:spacing w:val="6"/>
            <w:sz w:val="24"/>
            <w:szCs w:val="24"/>
            <w:lang w:val="mn-MN"/>
          </w:rPr>
          <w:t>66</w:t>
        </w:r>
      </w:hyperlink>
    </w:p>
    <w:p w:rsidR="001C4C31" w:rsidRPr="00EF2D2B" w:rsidRDefault="00D80958" w:rsidP="00472036">
      <w:pPr>
        <w:pStyle w:val="TOC2"/>
        <w:numPr>
          <w:ilvl w:val="1"/>
          <w:numId w:val="8"/>
        </w:numPr>
        <w:tabs>
          <w:tab w:val="left" w:pos="0"/>
          <w:tab w:val="left" w:pos="1524"/>
          <w:tab w:val="right" w:leader="dot" w:pos="9625"/>
        </w:tabs>
        <w:spacing w:before="61" w:line="276" w:lineRule="auto"/>
        <w:rPr>
          <w:sz w:val="24"/>
          <w:szCs w:val="24"/>
          <w:lang w:val="mn-MN"/>
        </w:rPr>
      </w:pPr>
      <w:hyperlink w:anchor="_TOC_250026" w:history="1">
        <w:r w:rsidR="001C4C31" w:rsidRPr="00EF2D2B">
          <w:rPr>
            <w:lang w:val="mn-MN"/>
          </w:rPr>
          <w:t xml:space="preserve"> </w:t>
        </w:r>
        <w:r w:rsidR="001C4C31" w:rsidRPr="00D33687">
          <w:rPr>
            <w:sz w:val="24"/>
            <w:szCs w:val="24"/>
            <w:lang w:val="mn-MN"/>
          </w:rPr>
          <w:t>А-</w:t>
        </w:r>
        <w:r w:rsidR="001C4C31" w:rsidRPr="00EF2D2B">
          <w:rPr>
            <w:spacing w:val="7"/>
            <w:sz w:val="24"/>
            <w:szCs w:val="24"/>
            <w:lang w:val="mn-MN"/>
          </w:rPr>
          <w:t>Профайлууд</w:t>
        </w:r>
        <w:r w:rsidR="001C4C31" w:rsidRPr="00EF2D2B">
          <w:rPr>
            <w:spacing w:val="7"/>
            <w:sz w:val="24"/>
            <w:szCs w:val="24"/>
            <w:lang w:val="mn-MN"/>
          </w:rPr>
          <w:tab/>
        </w:r>
        <w:r w:rsidR="001C4C31" w:rsidRPr="00731F96">
          <w:rPr>
            <w:spacing w:val="6"/>
            <w:sz w:val="24"/>
            <w:szCs w:val="24"/>
            <w:lang w:val="mn-MN"/>
          </w:rPr>
          <w:t>66</w:t>
        </w:r>
      </w:hyperlink>
    </w:p>
    <w:p w:rsidR="001C4C31" w:rsidRPr="00EF2D2B" w:rsidRDefault="00D80958" w:rsidP="00472036">
      <w:pPr>
        <w:pStyle w:val="TOC2"/>
        <w:numPr>
          <w:ilvl w:val="1"/>
          <w:numId w:val="8"/>
        </w:numPr>
        <w:tabs>
          <w:tab w:val="left" w:pos="0"/>
          <w:tab w:val="left" w:pos="1524"/>
          <w:tab w:val="right" w:leader="dot" w:pos="9625"/>
        </w:tabs>
        <w:spacing w:line="276" w:lineRule="auto"/>
        <w:rPr>
          <w:sz w:val="24"/>
          <w:szCs w:val="24"/>
          <w:lang w:val="mn-MN"/>
        </w:rPr>
      </w:pPr>
      <w:hyperlink w:anchor="_TOC_250025" w:history="1">
        <w:r w:rsidR="001C4C31" w:rsidRPr="00EF2D2B">
          <w:rPr>
            <w:spacing w:val="7"/>
            <w:sz w:val="24"/>
            <w:szCs w:val="24"/>
            <w:lang w:val="mn-MN"/>
          </w:rPr>
          <w:t>A-Профайл GOOSE, SV ба менежментийн A-Профайл</w:t>
        </w:r>
        <w:r w:rsidR="001C4C31" w:rsidRPr="00EF2D2B">
          <w:rPr>
            <w:spacing w:val="8"/>
            <w:sz w:val="24"/>
            <w:szCs w:val="24"/>
            <w:lang w:val="mn-MN"/>
          </w:rPr>
          <w:tab/>
        </w:r>
        <w:r w:rsidR="001C4C31" w:rsidRPr="00EF2D2B">
          <w:rPr>
            <w:spacing w:val="6"/>
            <w:sz w:val="24"/>
            <w:szCs w:val="24"/>
            <w:lang w:val="mn-MN"/>
          </w:rPr>
          <w:t>67</w:t>
        </w:r>
      </w:hyperlink>
    </w:p>
    <w:p w:rsidR="001C4C31" w:rsidRPr="00EF2D2B" w:rsidRDefault="00D80958" w:rsidP="00472036">
      <w:pPr>
        <w:pStyle w:val="TOC3"/>
        <w:numPr>
          <w:ilvl w:val="2"/>
          <w:numId w:val="8"/>
        </w:numPr>
        <w:tabs>
          <w:tab w:val="left" w:pos="0"/>
          <w:tab w:val="left" w:pos="2260"/>
          <w:tab w:val="right" w:leader="dot" w:pos="9625"/>
        </w:tabs>
        <w:spacing w:line="276" w:lineRule="auto"/>
        <w:rPr>
          <w:sz w:val="24"/>
          <w:szCs w:val="24"/>
          <w:lang w:val="mn-MN"/>
        </w:rPr>
      </w:pPr>
      <w:hyperlink w:anchor="_TOC_250024" w:history="1">
        <w:r w:rsidR="001C4C31" w:rsidRPr="00EF2D2B">
          <w:rPr>
            <w:spacing w:val="6"/>
            <w:sz w:val="24"/>
            <w:szCs w:val="24"/>
            <w:lang w:val="mn-MN"/>
          </w:rPr>
          <w:t>Хэрэглээний давхарга</w:t>
        </w:r>
        <w:r w:rsidR="001C4C31" w:rsidRPr="00EF2D2B">
          <w:rPr>
            <w:spacing w:val="5"/>
            <w:sz w:val="24"/>
            <w:szCs w:val="24"/>
            <w:lang w:val="mn-MN"/>
          </w:rPr>
          <w:tab/>
        </w:r>
        <w:r w:rsidR="001C4C31" w:rsidRPr="00EF2D2B">
          <w:rPr>
            <w:spacing w:val="6"/>
            <w:sz w:val="24"/>
            <w:szCs w:val="24"/>
            <w:lang w:val="mn-MN"/>
          </w:rPr>
          <w:t>67</w:t>
        </w:r>
      </w:hyperlink>
    </w:p>
    <w:p w:rsidR="001C4C31" w:rsidRPr="00EF2D2B" w:rsidRDefault="00D80958" w:rsidP="00472036">
      <w:pPr>
        <w:pStyle w:val="TOC3"/>
        <w:numPr>
          <w:ilvl w:val="2"/>
          <w:numId w:val="8"/>
        </w:numPr>
        <w:tabs>
          <w:tab w:val="left" w:pos="0"/>
          <w:tab w:val="left" w:pos="2260"/>
          <w:tab w:val="right" w:leader="dot" w:pos="9625"/>
        </w:tabs>
        <w:spacing w:line="276" w:lineRule="auto"/>
        <w:rPr>
          <w:sz w:val="24"/>
          <w:szCs w:val="24"/>
          <w:lang w:val="mn-MN"/>
        </w:rPr>
      </w:pPr>
      <w:hyperlink w:anchor="_TOC_250023" w:history="1">
        <w:r w:rsidR="001C4C31" w:rsidRPr="00D33687">
          <w:rPr>
            <w:spacing w:val="6"/>
            <w:sz w:val="24"/>
            <w:szCs w:val="24"/>
            <w:lang w:val="mn-MN"/>
          </w:rPr>
          <w:t>C</w:t>
        </w:r>
        <w:r w:rsidR="001C4C31" w:rsidRPr="00D33687">
          <w:rPr>
            <w:rFonts w:hint="eastAsia"/>
            <w:spacing w:val="6"/>
            <w:sz w:val="24"/>
            <w:szCs w:val="24"/>
            <w:lang w:val="mn-MN"/>
          </w:rPr>
          <w:t>ейшн</w:t>
        </w:r>
        <w:r w:rsidR="001C4C31" w:rsidRPr="00EF2D2B">
          <w:rPr>
            <w:spacing w:val="6"/>
            <w:sz w:val="24"/>
            <w:szCs w:val="24"/>
            <w:lang w:val="mn-MN"/>
          </w:rPr>
          <w:t xml:space="preserve"> давхарга</w:t>
        </w:r>
        <w:r w:rsidR="001C4C31" w:rsidRPr="00EF2D2B">
          <w:rPr>
            <w:spacing w:val="6"/>
            <w:sz w:val="24"/>
            <w:szCs w:val="24"/>
            <w:lang w:val="mn-MN"/>
          </w:rPr>
          <w:tab/>
          <w:t>71</w:t>
        </w:r>
      </w:hyperlink>
    </w:p>
    <w:p w:rsidR="001C4C31" w:rsidRPr="00EF2D2B" w:rsidRDefault="001C4C31" w:rsidP="00472036">
      <w:pPr>
        <w:pStyle w:val="TOC3"/>
        <w:numPr>
          <w:ilvl w:val="2"/>
          <w:numId w:val="8"/>
        </w:numPr>
        <w:tabs>
          <w:tab w:val="left" w:pos="0"/>
          <w:tab w:val="left" w:pos="2260"/>
          <w:tab w:val="right" w:leader="dot" w:pos="9625"/>
        </w:tabs>
        <w:spacing w:before="61" w:line="276" w:lineRule="auto"/>
        <w:rPr>
          <w:sz w:val="24"/>
          <w:szCs w:val="24"/>
          <w:lang w:val="mn-MN"/>
        </w:rPr>
      </w:pPr>
      <w:r w:rsidRPr="00EF2D2B">
        <w:rPr>
          <w:sz w:val="24"/>
          <w:szCs w:val="24"/>
          <w:lang w:val="mn-MN"/>
        </w:rPr>
        <w:t xml:space="preserve">Бодит </w:t>
      </w:r>
      <w:hyperlink w:anchor="_TOC_250022" w:history="1">
        <w:r w:rsidRPr="00EF2D2B">
          <w:rPr>
            <w:spacing w:val="8"/>
            <w:sz w:val="24"/>
            <w:szCs w:val="24"/>
            <w:lang w:val="mn-MN"/>
          </w:rPr>
          <w:t>ачаалал</w:t>
        </w:r>
        <w:r w:rsidRPr="00EF2D2B">
          <w:rPr>
            <w:spacing w:val="8"/>
            <w:sz w:val="24"/>
            <w:szCs w:val="24"/>
            <w:lang w:val="mn-MN"/>
          </w:rPr>
          <w:tab/>
        </w:r>
        <w:r w:rsidRPr="00EF2D2B">
          <w:rPr>
            <w:spacing w:val="6"/>
            <w:sz w:val="24"/>
            <w:szCs w:val="24"/>
            <w:lang w:val="mn-MN"/>
          </w:rPr>
          <w:t>76</w:t>
        </w:r>
      </w:hyperlink>
    </w:p>
    <w:p w:rsidR="001C4C31" w:rsidRPr="00EF2D2B" w:rsidRDefault="00D80958" w:rsidP="00472036">
      <w:pPr>
        <w:pStyle w:val="TOC3"/>
        <w:numPr>
          <w:ilvl w:val="2"/>
          <w:numId w:val="8"/>
        </w:numPr>
        <w:tabs>
          <w:tab w:val="left" w:pos="0"/>
          <w:tab w:val="left" w:pos="2260"/>
          <w:tab w:val="right" w:leader="dot" w:pos="9625"/>
        </w:tabs>
        <w:spacing w:line="276" w:lineRule="auto"/>
        <w:rPr>
          <w:sz w:val="24"/>
          <w:szCs w:val="24"/>
          <w:lang w:val="mn-MN"/>
        </w:rPr>
      </w:pPr>
      <w:hyperlink w:anchor="_TOC_250021" w:history="1">
        <w:r w:rsidR="001C4C31" w:rsidRPr="00EF2D2B">
          <w:rPr>
            <w:spacing w:val="7"/>
            <w:sz w:val="24"/>
            <w:szCs w:val="24"/>
            <w:lang w:val="mn-MN"/>
          </w:rPr>
          <w:t>Батлах</w:t>
        </w:r>
        <w:r w:rsidR="001C4C31" w:rsidRPr="00EF2D2B">
          <w:rPr>
            <w:spacing w:val="7"/>
            <w:sz w:val="24"/>
            <w:szCs w:val="24"/>
            <w:lang w:val="mn-MN"/>
          </w:rPr>
          <w:tab/>
        </w:r>
        <w:r w:rsidR="001C4C31" w:rsidRPr="00EF2D2B">
          <w:rPr>
            <w:spacing w:val="6"/>
            <w:sz w:val="24"/>
            <w:szCs w:val="24"/>
            <w:lang w:val="mn-MN"/>
          </w:rPr>
          <w:t>83</w:t>
        </w:r>
      </w:hyperlink>
    </w:p>
    <w:p w:rsidR="001C4C31" w:rsidRPr="00EF2D2B" w:rsidRDefault="00D80958" w:rsidP="00472036">
      <w:pPr>
        <w:pStyle w:val="TOC3"/>
        <w:numPr>
          <w:ilvl w:val="2"/>
          <w:numId w:val="8"/>
        </w:numPr>
        <w:tabs>
          <w:tab w:val="left" w:pos="0"/>
          <w:tab w:val="left" w:pos="2260"/>
          <w:tab w:val="right" w:leader="dot" w:pos="9625"/>
        </w:tabs>
        <w:spacing w:before="61" w:line="276" w:lineRule="auto"/>
        <w:rPr>
          <w:sz w:val="24"/>
          <w:szCs w:val="24"/>
          <w:lang w:val="mn-MN"/>
        </w:rPr>
      </w:pPr>
      <w:hyperlink w:anchor="_TOC_250020" w:history="1">
        <w:r w:rsidR="001C4C31" w:rsidRPr="00EF2D2B">
          <w:rPr>
            <w:spacing w:val="5"/>
            <w:sz w:val="24"/>
            <w:szCs w:val="24"/>
            <w:lang w:val="mn-MN"/>
          </w:rPr>
          <w:t>ITU X.234 A-Профайл сонголтууд</w:t>
        </w:r>
        <w:r w:rsidR="001C4C31" w:rsidRPr="00EF2D2B">
          <w:rPr>
            <w:spacing w:val="6"/>
            <w:sz w:val="24"/>
            <w:szCs w:val="24"/>
            <w:lang w:val="mn-MN"/>
          </w:rPr>
          <w:tab/>
          <w:t>84</w:t>
        </w:r>
      </w:hyperlink>
    </w:p>
    <w:p w:rsidR="001C4C31" w:rsidRPr="00EF2D2B" w:rsidRDefault="00D80958" w:rsidP="00472036">
      <w:pPr>
        <w:pStyle w:val="TOC2"/>
        <w:numPr>
          <w:ilvl w:val="1"/>
          <w:numId w:val="8"/>
        </w:numPr>
        <w:tabs>
          <w:tab w:val="left" w:pos="0"/>
          <w:tab w:val="left" w:pos="1524"/>
          <w:tab w:val="right" w:leader="dot" w:pos="9625"/>
        </w:tabs>
        <w:spacing w:line="276" w:lineRule="auto"/>
        <w:rPr>
          <w:sz w:val="24"/>
          <w:szCs w:val="24"/>
          <w:lang w:val="mn-MN"/>
        </w:rPr>
      </w:pPr>
      <w:hyperlink w:anchor="_TOC_250019" w:history="1">
        <w:r w:rsidR="001C4C31" w:rsidRPr="00EF2D2B">
          <w:rPr>
            <w:spacing w:val="5"/>
            <w:sz w:val="24"/>
            <w:szCs w:val="24"/>
            <w:lang w:val="mn-MN"/>
          </w:rPr>
          <w:t>KDC Профайл</w:t>
        </w:r>
        <w:r w:rsidR="001C4C31" w:rsidRPr="00EF2D2B">
          <w:rPr>
            <w:spacing w:val="6"/>
            <w:sz w:val="24"/>
            <w:szCs w:val="24"/>
            <w:lang w:val="mn-MN"/>
          </w:rPr>
          <w:tab/>
          <w:t>85</w:t>
        </w:r>
      </w:hyperlink>
    </w:p>
    <w:p w:rsidR="001C4C31" w:rsidRPr="00EF2D2B" w:rsidRDefault="00D80958" w:rsidP="00472036">
      <w:pPr>
        <w:pStyle w:val="TOC3"/>
        <w:numPr>
          <w:ilvl w:val="2"/>
          <w:numId w:val="8"/>
        </w:numPr>
        <w:tabs>
          <w:tab w:val="left" w:pos="0"/>
          <w:tab w:val="left" w:pos="2260"/>
          <w:tab w:val="right" w:leader="dot" w:pos="9625"/>
        </w:tabs>
        <w:spacing w:line="276" w:lineRule="auto"/>
        <w:rPr>
          <w:sz w:val="24"/>
          <w:szCs w:val="24"/>
          <w:lang w:val="mn-MN"/>
        </w:rPr>
      </w:pPr>
      <w:hyperlink w:anchor="_TOC_250018" w:history="1">
        <w:r w:rsidR="001C4C31" w:rsidRPr="00EF2D2B">
          <w:rPr>
            <w:spacing w:val="7"/>
            <w:sz w:val="24"/>
            <w:szCs w:val="24"/>
            <w:lang w:val="mn-MN"/>
          </w:rPr>
          <w:t>Батлах Хэш алгоритм</w:t>
        </w:r>
        <w:r w:rsidR="001C4C31" w:rsidRPr="00EF2D2B">
          <w:rPr>
            <w:spacing w:val="7"/>
            <w:sz w:val="24"/>
            <w:szCs w:val="24"/>
            <w:lang w:val="mn-MN"/>
          </w:rPr>
          <w:tab/>
        </w:r>
        <w:r w:rsidR="001C4C31" w:rsidRPr="00EF2D2B">
          <w:rPr>
            <w:spacing w:val="6"/>
            <w:sz w:val="24"/>
            <w:szCs w:val="24"/>
            <w:lang w:val="mn-MN"/>
          </w:rPr>
          <w:t>85</w:t>
        </w:r>
      </w:hyperlink>
    </w:p>
    <w:p w:rsidR="001C4C31" w:rsidRPr="00EF2D2B" w:rsidRDefault="001C4C31" w:rsidP="00472036">
      <w:pPr>
        <w:pStyle w:val="TOC3"/>
        <w:numPr>
          <w:ilvl w:val="2"/>
          <w:numId w:val="8"/>
        </w:numPr>
        <w:tabs>
          <w:tab w:val="left" w:pos="0"/>
          <w:tab w:val="left" w:pos="2260"/>
          <w:tab w:val="right" w:leader="dot" w:pos="9625"/>
        </w:tabs>
        <w:spacing w:before="61" w:line="276" w:lineRule="auto"/>
        <w:rPr>
          <w:sz w:val="24"/>
          <w:szCs w:val="24"/>
          <w:lang w:val="mn-MN"/>
        </w:rPr>
      </w:pPr>
      <w:r w:rsidRPr="00EF2D2B">
        <w:rPr>
          <w:sz w:val="24"/>
          <w:szCs w:val="24"/>
          <w:lang w:val="mn-MN"/>
        </w:rPr>
        <w:t>Тодорхойлох</w:t>
      </w:r>
      <w:r w:rsidRPr="00731F96">
        <w:rPr>
          <w:sz w:val="24"/>
          <w:szCs w:val="24"/>
          <w:lang w:val="mn-MN"/>
        </w:rPr>
        <w:t xml:space="preserve"> ачаалал</w:t>
      </w:r>
      <w:hyperlink w:anchor="_TOC_250017" w:history="1">
        <w:r w:rsidRPr="00EF2D2B">
          <w:rPr>
            <w:spacing w:val="7"/>
            <w:sz w:val="24"/>
            <w:szCs w:val="24"/>
            <w:lang w:val="mn-MN"/>
          </w:rPr>
          <w:tab/>
        </w:r>
        <w:r w:rsidRPr="00EF2D2B">
          <w:rPr>
            <w:spacing w:val="6"/>
            <w:sz w:val="24"/>
            <w:szCs w:val="24"/>
            <w:lang w:val="mn-MN"/>
          </w:rPr>
          <w:t>86</w:t>
        </w:r>
      </w:hyperlink>
    </w:p>
    <w:p w:rsidR="001C4C31" w:rsidRPr="00EF2D2B" w:rsidRDefault="001C4C31" w:rsidP="00472036">
      <w:pPr>
        <w:pStyle w:val="TOC3"/>
        <w:numPr>
          <w:ilvl w:val="2"/>
          <w:numId w:val="8"/>
        </w:numPr>
        <w:tabs>
          <w:tab w:val="left" w:pos="0"/>
          <w:tab w:val="left" w:pos="2260"/>
          <w:tab w:val="right" w:leader="dot" w:pos="9625"/>
        </w:tabs>
        <w:spacing w:line="276" w:lineRule="auto"/>
        <w:rPr>
          <w:sz w:val="24"/>
          <w:szCs w:val="24"/>
          <w:lang w:val="mn-MN"/>
        </w:rPr>
      </w:pPr>
      <w:r w:rsidRPr="00EF2D2B">
        <w:rPr>
          <w:sz w:val="24"/>
          <w:szCs w:val="24"/>
          <w:lang w:val="mn-MN"/>
        </w:rPr>
        <w:t>Ачааллын тодорхойлогч</w:t>
      </w:r>
      <w:hyperlink w:anchor="_TOC_250016" w:history="1">
        <w:r w:rsidRPr="00EF2D2B">
          <w:rPr>
            <w:spacing w:val="7"/>
            <w:sz w:val="24"/>
            <w:szCs w:val="24"/>
            <w:lang w:val="mn-MN"/>
          </w:rPr>
          <w:tab/>
        </w:r>
        <w:r w:rsidRPr="00EF2D2B">
          <w:rPr>
            <w:spacing w:val="6"/>
            <w:sz w:val="24"/>
            <w:szCs w:val="24"/>
            <w:lang w:val="mn-MN"/>
          </w:rPr>
          <w:t>88</w:t>
        </w:r>
      </w:hyperlink>
    </w:p>
    <w:p w:rsidR="001C4C31" w:rsidRPr="00EF2D2B" w:rsidRDefault="00D80958" w:rsidP="00472036">
      <w:pPr>
        <w:pStyle w:val="TOC3"/>
        <w:numPr>
          <w:ilvl w:val="2"/>
          <w:numId w:val="8"/>
        </w:numPr>
        <w:tabs>
          <w:tab w:val="left" w:pos="0"/>
          <w:tab w:val="left" w:pos="2260"/>
          <w:tab w:val="right" w:leader="dot" w:pos="9625"/>
        </w:tabs>
        <w:spacing w:line="276" w:lineRule="auto"/>
        <w:rPr>
          <w:sz w:val="24"/>
          <w:szCs w:val="24"/>
          <w:lang w:val="mn-MN"/>
        </w:rPr>
      </w:pPr>
      <w:hyperlink w:anchor="_TOC_250015" w:history="1">
        <w:r w:rsidR="001C4C31" w:rsidRPr="00EF2D2B">
          <w:rPr>
            <w:spacing w:val="6"/>
            <w:sz w:val="24"/>
            <w:szCs w:val="24"/>
            <w:lang w:val="mn-MN"/>
          </w:rPr>
          <w:t>Бодлогын хариу</w:t>
        </w:r>
        <w:r w:rsidR="001C4C31" w:rsidRPr="00EF2D2B">
          <w:rPr>
            <w:spacing w:val="7"/>
            <w:sz w:val="24"/>
            <w:szCs w:val="24"/>
            <w:lang w:val="mn-MN"/>
          </w:rPr>
          <w:tab/>
        </w:r>
        <w:r w:rsidR="001C4C31" w:rsidRPr="00EF2D2B">
          <w:rPr>
            <w:spacing w:val="6"/>
            <w:sz w:val="24"/>
            <w:szCs w:val="24"/>
            <w:lang w:val="mn-MN"/>
          </w:rPr>
          <w:t>91</w:t>
        </w:r>
      </w:hyperlink>
    </w:p>
    <w:p w:rsidR="001C4C31" w:rsidRPr="00EF2D2B" w:rsidRDefault="00D80958" w:rsidP="00472036">
      <w:pPr>
        <w:pStyle w:val="TOC3"/>
        <w:numPr>
          <w:ilvl w:val="2"/>
          <w:numId w:val="8"/>
        </w:numPr>
        <w:tabs>
          <w:tab w:val="left" w:pos="0"/>
          <w:tab w:val="left" w:pos="2260"/>
          <w:tab w:val="right" w:leader="dot" w:pos="9625"/>
        </w:tabs>
        <w:spacing w:before="58" w:line="276" w:lineRule="auto"/>
        <w:rPr>
          <w:sz w:val="24"/>
          <w:szCs w:val="24"/>
          <w:lang w:val="mn-MN"/>
        </w:rPr>
      </w:pPr>
      <w:hyperlink w:anchor="_TOC_250014" w:history="1">
        <w:r w:rsidR="001C4C31" w:rsidRPr="00EF2D2B">
          <w:rPr>
            <w:spacing w:val="6"/>
            <w:sz w:val="24"/>
            <w:szCs w:val="24"/>
            <w:lang w:val="mn-MN"/>
          </w:rPr>
          <w:t>Ачаалал татаж авах түлхүүр</w:t>
        </w:r>
        <w:r w:rsidR="001C4C31" w:rsidRPr="00EF2D2B">
          <w:rPr>
            <w:spacing w:val="7"/>
            <w:sz w:val="24"/>
            <w:szCs w:val="24"/>
            <w:lang w:val="mn-MN"/>
          </w:rPr>
          <w:tab/>
        </w:r>
        <w:r w:rsidR="001C4C31" w:rsidRPr="00EF2D2B">
          <w:rPr>
            <w:spacing w:val="6"/>
            <w:sz w:val="24"/>
            <w:szCs w:val="24"/>
            <w:lang w:val="mn-MN"/>
          </w:rPr>
          <w:t>92</w:t>
        </w:r>
      </w:hyperlink>
    </w:p>
    <w:p w:rsidR="001C4C31" w:rsidRPr="00EF2D2B" w:rsidRDefault="00D80958" w:rsidP="00472036">
      <w:pPr>
        <w:pStyle w:val="TOC2"/>
        <w:numPr>
          <w:ilvl w:val="1"/>
          <w:numId w:val="8"/>
        </w:numPr>
        <w:tabs>
          <w:tab w:val="left" w:pos="0"/>
          <w:tab w:val="left" w:pos="1524"/>
          <w:tab w:val="right" w:leader="dot" w:pos="9625"/>
        </w:tabs>
        <w:spacing w:before="61" w:line="276" w:lineRule="auto"/>
        <w:rPr>
          <w:sz w:val="24"/>
          <w:szCs w:val="24"/>
          <w:lang w:val="mn-MN"/>
        </w:rPr>
      </w:pPr>
      <w:hyperlink w:anchor="_TOC_250013" w:history="1">
        <w:r w:rsidR="001C4C31" w:rsidRPr="00EF2D2B">
          <w:rPr>
            <w:spacing w:val="6"/>
            <w:sz w:val="24"/>
            <w:szCs w:val="24"/>
            <w:lang w:val="mn-MN"/>
          </w:rPr>
          <w:t>Интернэт бүлгийн удирдлагын протоколын хувилбар 3 A-</w:t>
        </w:r>
        <w:r w:rsidR="001C4C31" w:rsidRPr="00D33687">
          <w:rPr>
            <w:lang w:val="mn-MN"/>
          </w:rPr>
          <w:t xml:space="preserve"> </w:t>
        </w:r>
        <w:r w:rsidR="001C4C31" w:rsidRPr="00EF2D2B">
          <w:rPr>
            <w:spacing w:val="6"/>
            <w:sz w:val="24"/>
            <w:szCs w:val="24"/>
            <w:lang w:val="mn-MN"/>
          </w:rPr>
          <w:t>Профайл</w:t>
        </w:r>
      </w:hyperlink>
    </w:p>
    <w:p w:rsidR="001C4C31" w:rsidRPr="00EF2D2B" w:rsidRDefault="00D80958" w:rsidP="00472036">
      <w:pPr>
        <w:pStyle w:val="TOC2"/>
        <w:numPr>
          <w:ilvl w:val="1"/>
          <w:numId w:val="8"/>
        </w:numPr>
        <w:tabs>
          <w:tab w:val="left" w:pos="0"/>
          <w:tab w:val="left" w:pos="1524"/>
          <w:tab w:val="right" w:leader="dot" w:pos="9625"/>
        </w:tabs>
        <w:spacing w:before="60" w:line="276" w:lineRule="auto"/>
        <w:rPr>
          <w:sz w:val="24"/>
          <w:szCs w:val="24"/>
          <w:lang w:val="mn-MN"/>
        </w:rPr>
      </w:pPr>
      <w:hyperlink w:anchor="_TOC_250012" w:history="1">
        <w:r w:rsidR="001C4C31" w:rsidRPr="00EF2D2B">
          <w:rPr>
            <w:spacing w:val="7"/>
            <w:sz w:val="24"/>
            <w:szCs w:val="24"/>
            <w:lang w:val="mn-MN"/>
          </w:rPr>
          <w:t>T-Профайл</w:t>
        </w:r>
        <w:r w:rsidR="001C4C31" w:rsidRPr="00EF2D2B">
          <w:rPr>
            <w:spacing w:val="7"/>
            <w:sz w:val="24"/>
            <w:szCs w:val="24"/>
            <w:lang w:val="mn-MN"/>
          </w:rPr>
          <w:tab/>
        </w:r>
        <w:r w:rsidR="001C4C31" w:rsidRPr="00EF2D2B">
          <w:rPr>
            <w:spacing w:val="6"/>
            <w:sz w:val="24"/>
            <w:szCs w:val="24"/>
            <w:lang w:val="mn-MN"/>
          </w:rPr>
          <w:t>94</w:t>
        </w:r>
      </w:hyperlink>
    </w:p>
    <w:p w:rsidR="001C4C31" w:rsidRPr="00EF2D2B" w:rsidRDefault="00D80958" w:rsidP="00472036">
      <w:pPr>
        <w:pStyle w:val="TOC3"/>
        <w:numPr>
          <w:ilvl w:val="2"/>
          <w:numId w:val="8"/>
        </w:numPr>
        <w:tabs>
          <w:tab w:val="left" w:pos="0"/>
          <w:tab w:val="left" w:pos="2260"/>
          <w:tab w:val="right" w:leader="dot" w:pos="9625"/>
        </w:tabs>
        <w:spacing w:before="61" w:line="276" w:lineRule="auto"/>
        <w:rPr>
          <w:sz w:val="24"/>
          <w:szCs w:val="24"/>
          <w:lang w:val="mn-MN"/>
        </w:rPr>
      </w:pPr>
      <w:hyperlink w:anchor="_TOC_250011" w:history="1">
        <w:r w:rsidR="001C4C31" w:rsidRPr="00EF2D2B">
          <w:rPr>
            <w:spacing w:val="6"/>
            <w:sz w:val="24"/>
            <w:szCs w:val="24"/>
            <w:lang w:val="mn-MN"/>
          </w:rPr>
          <w:t>Ерөнхий</w:t>
        </w:r>
        <w:r w:rsidR="001C4C31" w:rsidRPr="00EF2D2B">
          <w:rPr>
            <w:spacing w:val="6"/>
            <w:sz w:val="24"/>
            <w:szCs w:val="24"/>
            <w:lang w:val="mn-MN"/>
          </w:rPr>
          <w:tab/>
          <w:t>94</w:t>
        </w:r>
      </w:hyperlink>
    </w:p>
    <w:p w:rsidR="001C4C31" w:rsidRPr="00EF2D2B" w:rsidRDefault="00D80958" w:rsidP="00472036">
      <w:pPr>
        <w:pStyle w:val="TOC3"/>
        <w:numPr>
          <w:ilvl w:val="2"/>
          <w:numId w:val="8"/>
        </w:numPr>
        <w:tabs>
          <w:tab w:val="left" w:pos="0"/>
          <w:tab w:val="left" w:pos="2260"/>
          <w:tab w:val="right" w:leader="dot" w:pos="9625"/>
        </w:tabs>
        <w:spacing w:line="276" w:lineRule="auto"/>
        <w:rPr>
          <w:sz w:val="24"/>
          <w:szCs w:val="24"/>
          <w:lang w:val="mn-MN"/>
        </w:rPr>
      </w:pPr>
      <w:hyperlink w:anchor="_TOC_250010" w:history="1">
        <w:r w:rsidR="001C4C31" w:rsidRPr="00EF2D2B">
          <w:rPr>
            <w:spacing w:val="6"/>
            <w:sz w:val="24"/>
            <w:szCs w:val="24"/>
            <w:lang w:val="mn-MN"/>
          </w:rPr>
          <w:t>Интернэт дээр GOOSE ба SV A-Профайл-ийг дэмжих T-Профайл</w:t>
        </w:r>
        <w:r w:rsidR="001C4C31" w:rsidRPr="00EF2D2B">
          <w:rPr>
            <w:spacing w:val="7"/>
            <w:sz w:val="24"/>
            <w:szCs w:val="24"/>
            <w:lang w:val="mn-MN"/>
          </w:rPr>
          <w:tab/>
        </w:r>
        <w:r w:rsidR="001C4C31" w:rsidRPr="00EF2D2B">
          <w:rPr>
            <w:spacing w:val="6"/>
            <w:sz w:val="24"/>
            <w:szCs w:val="24"/>
            <w:lang w:val="mn-MN"/>
          </w:rPr>
          <w:t>95</w:t>
        </w:r>
      </w:hyperlink>
    </w:p>
    <w:p w:rsidR="001C4C31" w:rsidRPr="00EF2D2B" w:rsidRDefault="00D80958" w:rsidP="00472036">
      <w:pPr>
        <w:pStyle w:val="TOC3"/>
        <w:numPr>
          <w:ilvl w:val="2"/>
          <w:numId w:val="8"/>
        </w:numPr>
        <w:tabs>
          <w:tab w:val="left" w:pos="0"/>
          <w:tab w:val="left" w:pos="2260"/>
          <w:tab w:val="right" w:leader="dot" w:pos="9625"/>
        </w:tabs>
        <w:spacing w:before="61" w:line="276" w:lineRule="auto"/>
        <w:rPr>
          <w:sz w:val="24"/>
          <w:szCs w:val="24"/>
          <w:lang w:val="mn-MN"/>
        </w:rPr>
      </w:pPr>
      <w:hyperlink w:anchor="_TOC_250009" w:history="1">
        <w:r w:rsidR="001C4C31" w:rsidRPr="00EF2D2B">
          <w:rPr>
            <w:spacing w:val="6"/>
            <w:sz w:val="24"/>
            <w:szCs w:val="24"/>
            <w:lang w:val="mn-MN"/>
          </w:rPr>
          <w:t>KDC-ийг дэмжих T-Профайл (TCP ба UDP)</w:t>
        </w:r>
        <w:r w:rsidR="001C4C31" w:rsidRPr="00EF2D2B">
          <w:rPr>
            <w:spacing w:val="6"/>
            <w:sz w:val="24"/>
            <w:szCs w:val="24"/>
            <w:lang w:val="mn-MN"/>
          </w:rPr>
          <w:tab/>
          <w:t>97</w:t>
        </w:r>
      </w:hyperlink>
    </w:p>
    <w:p w:rsidR="001C4C31" w:rsidRPr="00EF2D2B" w:rsidRDefault="00D80958" w:rsidP="00472036">
      <w:pPr>
        <w:pStyle w:val="TOC3"/>
        <w:numPr>
          <w:ilvl w:val="2"/>
          <w:numId w:val="8"/>
        </w:numPr>
        <w:tabs>
          <w:tab w:val="left" w:pos="0"/>
          <w:tab w:val="left" w:pos="2260"/>
          <w:tab w:val="right" w:leader="dot" w:pos="9625"/>
        </w:tabs>
        <w:spacing w:before="58" w:line="276" w:lineRule="auto"/>
        <w:rPr>
          <w:sz w:val="24"/>
          <w:szCs w:val="24"/>
          <w:lang w:val="mn-MN"/>
        </w:rPr>
      </w:pPr>
      <w:hyperlink w:anchor="_TOC_250008" w:history="1">
        <w:r w:rsidR="001C4C31" w:rsidRPr="00EF2D2B">
          <w:rPr>
            <w:spacing w:val="6"/>
            <w:sz w:val="24"/>
            <w:szCs w:val="24"/>
            <w:lang w:val="mn-MN"/>
          </w:rPr>
          <w:t>IGMPv3-ийг дэмжих T-Профайл</w:t>
        </w:r>
        <w:r w:rsidR="001C4C31" w:rsidRPr="00EF2D2B">
          <w:rPr>
            <w:spacing w:val="7"/>
            <w:sz w:val="24"/>
            <w:szCs w:val="24"/>
            <w:lang w:val="mn-MN"/>
          </w:rPr>
          <w:tab/>
        </w:r>
        <w:r w:rsidR="001C4C31" w:rsidRPr="00EF2D2B">
          <w:rPr>
            <w:spacing w:val="6"/>
            <w:sz w:val="24"/>
            <w:szCs w:val="24"/>
            <w:lang w:val="mn-MN"/>
          </w:rPr>
          <w:t>97</w:t>
        </w:r>
      </w:hyperlink>
    </w:p>
    <w:p w:rsidR="001C4C31" w:rsidRPr="00EF2D2B" w:rsidRDefault="00D80958" w:rsidP="00472036">
      <w:pPr>
        <w:pStyle w:val="TOC3"/>
        <w:numPr>
          <w:ilvl w:val="2"/>
          <w:numId w:val="8"/>
        </w:numPr>
        <w:tabs>
          <w:tab w:val="left" w:pos="0"/>
          <w:tab w:val="left" w:pos="2260"/>
          <w:tab w:val="right" w:leader="dot" w:pos="9625"/>
        </w:tabs>
        <w:spacing w:line="276" w:lineRule="auto"/>
        <w:rPr>
          <w:sz w:val="24"/>
          <w:szCs w:val="24"/>
          <w:lang w:val="mn-MN"/>
        </w:rPr>
      </w:pPr>
      <w:hyperlink w:anchor="_TOC_250007" w:history="1">
        <w:r w:rsidR="001C4C31" w:rsidRPr="00EF2D2B">
          <w:rPr>
            <w:spacing w:val="6"/>
            <w:sz w:val="24"/>
            <w:szCs w:val="24"/>
            <w:lang w:val="mn-MN"/>
          </w:rPr>
          <w:t>T-Профайл-ийн нийтлэг стандартууд</w:t>
        </w:r>
        <w:r w:rsidR="001C4C31" w:rsidRPr="00EF2D2B">
          <w:rPr>
            <w:spacing w:val="7"/>
            <w:sz w:val="24"/>
            <w:szCs w:val="24"/>
            <w:lang w:val="mn-MN"/>
          </w:rPr>
          <w:tab/>
        </w:r>
        <w:r w:rsidR="001C4C31" w:rsidRPr="00EF2D2B">
          <w:rPr>
            <w:spacing w:val="6"/>
            <w:sz w:val="24"/>
            <w:szCs w:val="24"/>
            <w:lang w:val="mn-MN"/>
          </w:rPr>
          <w:t>97</w:t>
        </w:r>
      </w:hyperlink>
    </w:p>
    <w:p w:rsidR="001C4C31" w:rsidRPr="00EF2D2B" w:rsidRDefault="00D80958" w:rsidP="00472036">
      <w:pPr>
        <w:pStyle w:val="TOC1"/>
        <w:numPr>
          <w:ilvl w:val="0"/>
          <w:numId w:val="8"/>
        </w:numPr>
        <w:tabs>
          <w:tab w:val="left" w:pos="0"/>
          <w:tab w:val="left" w:pos="955"/>
          <w:tab w:val="right" w:leader="dot" w:pos="9625"/>
        </w:tabs>
        <w:spacing w:line="276" w:lineRule="auto"/>
        <w:ind w:hanging="397"/>
        <w:rPr>
          <w:sz w:val="24"/>
          <w:szCs w:val="24"/>
          <w:lang w:val="mn-MN"/>
        </w:rPr>
      </w:pPr>
      <w:hyperlink w:anchor="_TOC_250006" w:history="1">
        <w:r w:rsidR="001C4C31" w:rsidRPr="00EF2D2B">
          <w:rPr>
            <w:spacing w:val="6"/>
            <w:sz w:val="24"/>
            <w:szCs w:val="24"/>
            <w:lang w:val="mn-MN"/>
          </w:rPr>
          <w:t>IEC 61850-5-д үзүүлэх нөлөө</w:t>
        </w:r>
        <w:r w:rsidR="001C4C31" w:rsidRPr="00EF2D2B">
          <w:rPr>
            <w:spacing w:val="6"/>
            <w:sz w:val="24"/>
            <w:szCs w:val="24"/>
            <w:lang w:val="mn-MN"/>
          </w:rPr>
          <w:tab/>
          <w:t>99</w:t>
        </w:r>
      </w:hyperlink>
    </w:p>
    <w:p w:rsidR="001C4C31" w:rsidRPr="00EF2D2B" w:rsidRDefault="00D80958" w:rsidP="00472036">
      <w:pPr>
        <w:pStyle w:val="TOC1"/>
        <w:numPr>
          <w:ilvl w:val="0"/>
          <w:numId w:val="8"/>
        </w:numPr>
        <w:tabs>
          <w:tab w:val="left" w:pos="0"/>
          <w:tab w:val="left" w:pos="955"/>
          <w:tab w:val="right" w:leader="dot" w:pos="9618"/>
        </w:tabs>
        <w:spacing w:before="102" w:line="276" w:lineRule="auto"/>
        <w:ind w:hanging="397"/>
        <w:rPr>
          <w:sz w:val="24"/>
          <w:szCs w:val="24"/>
          <w:lang w:val="mn-MN"/>
        </w:rPr>
      </w:pPr>
      <w:hyperlink w:anchor="_TOC_250005" w:history="1">
        <w:r w:rsidR="001C4C31" w:rsidRPr="00EF2D2B">
          <w:rPr>
            <w:spacing w:val="6"/>
            <w:sz w:val="24"/>
            <w:szCs w:val="24"/>
            <w:lang w:val="mn-MN"/>
          </w:rPr>
          <w:t>IEC61850-6 (SCL)-д үзүүлэх нөлөө</w:t>
        </w:r>
        <w:r w:rsidR="001C4C31" w:rsidRPr="00EF2D2B">
          <w:rPr>
            <w:spacing w:val="6"/>
            <w:sz w:val="24"/>
            <w:szCs w:val="24"/>
            <w:lang w:val="mn-MN"/>
          </w:rPr>
          <w:tab/>
        </w:r>
        <w:r w:rsidR="001C4C31" w:rsidRPr="00EF2D2B">
          <w:rPr>
            <w:spacing w:val="5"/>
            <w:sz w:val="24"/>
            <w:szCs w:val="24"/>
            <w:lang w:val="mn-MN"/>
          </w:rPr>
          <w:t>100</w:t>
        </w:r>
      </w:hyperlink>
    </w:p>
    <w:sdt>
      <w:sdtPr>
        <w:rPr>
          <w:rFonts w:eastAsiaTheme="minorHAnsi"/>
          <w:b/>
          <w:bCs w:val="0"/>
          <w:i/>
          <w:spacing w:val="8"/>
          <w:w w:val="99"/>
          <w:sz w:val="24"/>
          <w:szCs w:val="24"/>
          <w:lang w:val="mn-MN"/>
        </w:rPr>
        <w:id w:val="-2079191227"/>
        <w:docPartObj>
          <w:docPartGallery w:val="Table of Contents"/>
          <w:docPartUnique/>
        </w:docPartObj>
      </w:sdtPr>
      <w:sdtEndPr>
        <w:rPr>
          <w:b w:val="0"/>
          <w:bCs/>
          <w:i w:val="0"/>
        </w:rPr>
      </w:sdtEndPr>
      <w:sdtContent>
        <w:p w:rsidR="001C4C31" w:rsidRPr="00EF2D2B" w:rsidRDefault="00D80958" w:rsidP="00472036">
          <w:pPr>
            <w:pStyle w:val="TOC2"/>
            <w:numPr>
              <w:ilvl w:val="1"/>
              <w:numId w:val="8"/>
            </w:numPr>
            <w:tabs>
              <w:tab w:val="left" w:pos="0"/>
              <w:tab w:val="left" w:pos="1524"/>
              <w:tab w:val="right" w:leader="dot" w:pos="9618"/>
            </w:tabs>
            <w:spacing w:before="98" w:line="276" w:lineRule="auto"/>
            <w:ind w:hanging="570"/>
            <w:rPr>
              <w:sz w:val="24"/>
              <w:szCs w:val="24"/>
              <w:lang w:val="mn-MN"/>
            </w:rPr>
          </w:pPr>
          <w:hyperlink w:anchor="_TOC_250004" w:history="1">
            <w:r w:rsidR="001C4C31" w:rsidRPr="00EF2D2B">
              <w:rPr>
                <w:spacing w:val="6"/>
                <w:sz w:val="24"/>
                <w:szCs w:val="24"/>
                <w:lang w:val="mn-MN"/>
              </w:rPr>
              <w:t>Ерөнхий</w:t>
            </w:r>
            <w:r w:rsidR="001C4C31" w:rsidRPr="00EF2D2B">
              <w:rPr>
                <w:spacing w:val="6"/>
                <w:sz w:val="24"/>
                <w:szCs w:val="24"/>
                <w:lang w:val="mn-MN"/>
              </w:rPr>
              <w:tab/>
            </w:r>
            <w:r w:rsidR="001C4C31" w:rsidRPr="00EF2D2B">
              <w:rPr>
                <w:spacing w:val="5"/>
                <w:sz w:val="24"/>
                <w:szCs w:val="24"/>
                <w:lang w:val="mn-MN"/>
              </w:rPr>
              <w:t>100</w:t>
            </w:r>
          </w:hyperlink>
        </w:p>
        <w:p w:rsidR="001C4C31" w:rsidRPr="00EF2D2B" w:rsidRDefault="001C4C31" w:rsidP="00472036">
          <w:pPr>
            <w:pStyle w:val="TOC2"/>
            <w:numPr>
              <w:ilvl w:val="1"/>
              <w:numId w:val="8"/>
            </w:numPr>
            <w:tabs>
              <w:tab w:val="left" w:pos="0"/>
              <w:tab w:val="left" w:pos="1524"/>
              <w:tab w:val="right" w:leader="dot" w:pos="9618"/>
            </w:tabs>
            <w:spacing w:before="61" w:line="276" w:lineRule="auto"/>
            <w:rPr>
              <w:sz w:val="24"/>
              <w:szCs w:val="24"/>
              <w:lang w:val="mn-MN"/>
            </w:rPr>
          </w:pPr>
          <w:r w:rsidRPr="00EF2D2B">
            <w:rPr>
              <w:sz w:val="24"/>
              <w:szCs w:val="24"/>
              <w:lang w:val="mn-MN"/>
            </w:rPr>
            <w:t>I</w:t>
          </w:r>
          <w:hyperlink w:anchor="_TOC_250003" w:history="1">
            <w:r w:rsidRPr="00EF2D2B">
              <w:rPr>
                <w:spacing w:val="5"/>
                <w:sz w:val="24"/>
                <w:szCs w:val="24"/>
                <w:lang w:val="mn-MN"/>
              </w:rPr>
              <w:t>EC/TR 61850-90-5 тодорхойлсон Профайл-ийг дэмжих SCL өргөтгөлүүд</w:t>
            </w:r>
            <w:r w:rsidRPr="00EF2D2B">
              <w:rPr>
                <w:spacing w:val="7"/>
                <w:sz w:val="24"/>
                <w:szCs w:val="24"/>
                <w:lang w:val="mn-MN"/>
              </w:rPr>
              <w:tab/>
            </w:r>
            <w:r w:rsidRPr="00EF2D2B">
              <w:rPr>
                <w:spacing w:val="5"/>
                <w:sz w:val="24"/>
                <w:szCs w:val="24"/>
                <w:lang w:val="mn-MN"/>
              </w:rPr>
              <w:t>100</w:t>
            </w:r>
          </w:hyperlink>
        </w:p>
        <w:p w:rsidR="001C4C31" w:rsidRPr="00EF2D2B" w:rsidRDefault="00D80958" w:rsidP="00472036">
          <w:pPr>
            <w:pStyle w:val="TOC3"/>
            <w:numPr>
              <w:ilvl w:val="2"/>
              <w:numId w:val="8"/>
            </w:numPr>
            <w:tabs>
              <w:tab w:val="left" w:pos="0"/>
              <w:tab w:val="left" w:pos="2260"/>
              <w:tab w:val="right" w:leader="dot" w:pos="9627"/>
            </w:tabs>
            <w:spacing w:line="276" w:lineRule="auto"/>
            <w:rPr>
              <w:sz w:val="24"/>
              <w:szCs w:val="24"/>
              <w:lang w:val="mn-MN"/>
            </w:rPr>
          </w:pPr>
          <w:hyperlink w:anchor="_TOC_250002" w:history="1">
            <w:r w:rsidR="001C4C31" w:rsidRPr="00EF2D2B">
              <w:rPr>
                <w:spacing w:val="6"/>
                <w:sz w:val="24"/>
                <w:szCs w:val="24"/>
                <w:lang w:val="mn-MN"/>
              </w:rPr>
              <w:t>Ерөнхий инженерчлэлийн процесс</w:t>
            </w:r>
            <w:r w:rsidR="001C4C31" w:rsidRPr="00EF2D2B">
              <w:rPr>
                <w:spacing w:val="6"/>
                <w:sz w:val="24"/>
                <w:szCs w:val="24"/>
                <w:lang w:val="mn-MN"/>
              </w:rPr>
              <w:tab/>
            </w:r>
            <w:r w:rsidR="001C4C31" w:rsidRPr="00EF2D2B">
              <w:rPr>
                <w:spacing w:val="8"/>
                <w:sz w:val="24"/>
                <w:szCs w:val="24"/>
                <w:lang w:val="mn-MN"/>
              </w:rPr>
              <w:t>101</w:t>
            </w:r>
          </w:hyperlink>
        </w:p>
        <w:p w:rsidR="001C4C31" w:rsidRPr="00EF2D2B" w:rsidRDefault="00D80958" w:rsidP="00472036">
          <w:pPr>
            <w:pStyle w:val="TOC3"/>
            <w:numPr>
              <w:ilvl w:val="2"/>
              <w:numId w:val="8"/>
            </w:numPr>
            <w:tabs>
              <w:tab w:val="left" w:pos="0"/>
              <w:tab w:val="left" w:pos="2260"/>
              <w:tab w:val="right" w:leader="dot" w:pos="9618"/>
            </w:tabs>
            <w:spacing w:before="61" w:line="276" w:lineRule="auto"/>
            <w:rPr>
              <w:sz w:val="24"/>
              <w:szCs w:val="24"/>
              <w:lang w:val="mn-MN"/>
            </w:rPr>
          </w:pPr>
          <w:hyperlink w:anchor="_TOC_250001" w:history="1">
            <w:r w:rsidR="001C4C31" w:rsidRPr="00EF2D2B">
              <w:rPr>
                <w:spacing w:val="6"/>
                <w:sz w:val="24"/>
                <w:szCs w:val="24"/>
                <w:lang w:val="mn-MN"/>
              </w:rPr>
              <w:t>Хяналтын блок өргөтгөлүүд</w:t>
            </w:r>
            <w:r w:rsidR="001C4C31" w:rsidRPr="00EF2D2B">
              <w:rPr>
                <w:spacing w:val="7"/>
                <w:sz w:val="24"/>
                <w:szCs w:val="24"/>
                <w:lang w:val="mn-MN"/>
              </w:rPr>
              <w:tab/>
            </w:r>
            <w:r w:rsidR="001C4C31" w:rsidRPr="00EF2D2B">
              <w:rPr>
                <w:spacing w:val="5"/>
                <w:sz w:val="24"/>
                <w:szCs w:val="24"/>
                <w:lang w:val="mn-MN"/>
              </w:rPr>
              <w:t>101</w:t>
            </w:r>
          </w:hyperlink>
        </w:p>
        <w:p w:rsidR="001C4C31" w:rsidRPr="00EF2D2B" w:rsidRDefault="00D80958" w:rsidP="00472036">
          <w:pPr>
            <w:pStyle w:val="TOC3"/>
            <w:numPr>
              <w:ilvl w:val="2"/>
              <w:numId w:val="8"/>
            </w:numPr>
            <w:tabs>
              <w:tab w:val="left" w:pos="0"/>
              <w:tab w:val="left" w:pos="2260"/>
              <w:tab w:val="right" w:leader="dot" w:pos="9618"/>
            </w:tabs>
            <w:spacing w:before="58" w:line="276" w:lineRule="auto"/>
            <w:rPr>
              <w:sz w:val="24"/>
              <w:szCs w:val="24"/>
              <w:lang w:val="mn-MN"/>
            </w:rPr>
          </w:pPr>
          <w:hyperlink w:anchor="_TOC_250000" w:history="1">
            <w:r w:rsidR="001C4C31" w:rsidRPr="00EF2D2B">
              <w:rPr>
                <w:spacing w:val="5"/>
                <w:sz w:val="24"/>
                <w:szCs w:val="24"/>
                <w:lang w:val="mn-MN"/>
              </w:rPr>
              <w:t>KDC нэвтрэх цэг</w:t>
            </w:r>
            <w:r w:rsidR="001C4C31" w:rsidRPr="00EF2D2B">
              <w:rPr>
                <w:spacing w:val="6"/>
                <w:sz w:val="24"/>
                <w:szCs w:val="24"/>
                <w:lang w:val="mn-MN"/>
              </w:rPr>
              <w:tab/>
            </w:r>
            <w:r w:rsidR="001C4C31" w:rsidRPr="00EF2D2B">
              <w:rPr>
                <w:spacing w:val="5"/>
                <w:sz w:val="24"/>
                <w:szCs w:val="24"/>
                <w:lang w:val="mn-MN"/>
              </w:rPr>
              <w:t>104</w:t>
            </w:r>
          </w:hyperlink>
        </w:p>
        <w:p w:rsidR="001C4C31" w:rsidRPr="00D33687" w:rsidRDefault="001C4C31" w:rsidP="00472036">
          <w:pPr>
            <w:pStyle w:val="TOC4"/>
            <w:numPr>
              <w:ilvl w:val="2"/>
              <w:numId w:val="8"/>
            </w:numPr>
            <w:spacing w:line="276" w:lineRule="auto"/>
            <w:rPr>
              <w:lang w:val="mn-MN"/>
            </w:rPr>
          </w:pPr>
          <w:r w:rsidRPr="00EF2D2B">
            <w:rPr>
              <w:lang w:val="mn-MN"/>
            </w:rPr>
            <w:t>Өргөтгөлийн хаяглалт</w:t>
          </w:r>
          <w:r w:rsidRPr="00EF2D2B">
            <w:rPr>
              <w:position w:val="-1"/>
              <w:lang w:val="mn-MN"/>
            </w:rPr>
            <w:tab/>
          </w:r>
          <w:r w:rsidRPr="00EF2D2B">
            <w:rPr>
              <w:spacing w:val="6"/>
              <w:lang w:val="mn-MN"/>
            </w:rPr>
            <w:t>1</w:t>
          </w:r>
          <w:r w:rsidRPr="00EF2D2B">
            <w:rPr>
              <w:spacing w:val="9"/>
              <w:lang w:val="mn-MN"/>
            </w:rPr>
            <w:t>0</w:t>
          </w:r>
          <w:r w:rsidRPr="00EF2D2B">
            <w:rPr>
              <w:lang w:val="mn-MN"/>
            </w:rPr>
            <w:t>5</w:t>
          </w:r>
        </w:p>
      </w:sdtContent>
    </w:sdt>
    <w:p w:rsidR="001C4C31" w:rsidRPr="00EF2D2B" w:rsidRDefault="001C4C31" w:rsidP="00472036">
      <w:pPr>
        <w:pStyle w:val="ListParagraph"/>
        <w:widowControl w:val="0"/>
        <w:numPr>
          <w:ilvl w:val="1"/>
          <w:numId w:val="8"/>
        </w:numPr>
        <w:tabs>
          <w:tab w:val="left" w:pos="0"/>
          <w:tab w:val="left" w:pos="1524"/>
          <w:tab w:val="right" w:leader="dot" w:pos="9618"/>
        </w:tabs>
        <w:autoSpaceDE w:val="0"/>
        <w:autoSpaceDN w:val="0"/>
        <w:spacing w:before="93" w:after="0"/>
        <w:ind w:hanging="570"/>
        <w:contextualSpacing w:val="0"/>
        <w:jc w:val="left"/>
      </w:pPr>
      <w:r w:rsidRPr="00731F96">
        <w:rPr>
          <w:spacing w:val="5"/>
        </w:rPr>
        <w:t>IEEE C37.118.2-ийн тохиргоог дэмжих SCL өргөтгөлүүд</w:t>
      </w:r>
      <w:r w:rsidRPr="00EF2D2B">
        <w:rPr>
          <w:spacing w:val="7"/>
        </w:rPr>
        <w:tab/>
      </w:r>
      <w:r w:rsidRPr="00EF2D2B">
        <w:rPr>
          <w:spacing w:val="5"/>
        </w:rPr>
        <w:t>107</w:t>
      </w:r>
    </w:p>
    <w:p w:rsidR="001C4C31" w:rsidRPr="00EF2D2B" w:rsidRDefault="001C4C31" w:rsidP="00472036">
      <w:pPr>
        <w:pStyle w:val="ListParagraph"/>
        <w:widowControl w:val="0"/>
        <w:numPr>
          <w:ilvl w:val="2"/>
          <w:numId w:val="8"/>
        </w:numPr>
        <w:tabs>
          <w:tab w:val="left" w:pos="0"/>
          <w:tab w:val="left" w:pos="2260"/>
          <w:tab w:val="right" w:leader="dot" w:pos="9618"/>
        </w:tabs>
        <w:autoSpaceDE w:val="0"/>
        <w:autoSpaceDN w:val="0"/>
        <w:spacing w:before="61" w:after="0"/>
        <w:contextualSpacing w:val="0"/>
        <w:jc w:val="left"/>
      </w:pPr>
      <w:r w:rsidRPr="00EF2D2B">
        <w:rPr>
          <w:spacing w:val="5"/>
        </w:rPr>
        <w:t>Үндсэн суурь протокол</w:t>
      </w:r>
      <w:r w:rsidRPr="00EF2D2B">
        <w:rPr>
          <w:spacing w:val="8"/>
        </w:rPr>
        <w:tab/>
      </w:r>
      <w:r w:rsidRPr="00EF2D2B">
        <w:rPr>
          <w:spacing w:val="5"/>
        </w:rPr>
        <w:t>108</w:t>
      </w:r>
    </w:p>
    <w:p w:rsidR="001C4C31" w:rsidRPr="00EF2D2B" w:rsidRDefault="001C4C31" w:rsidP="00472036">
      <w:pPr>
        <w:pStyle w:val="ListParagraph"/>
        <w:widowControl w:val="0"/>
        <w:numPr>
          <w:ilvl w:val="2"/>
          <w:numId w:val="8"/>
        </w:numPr>
        <w:tabs>
          <w:tab w:val="left" w:pos="0"/>
          <w:tab w:val="left" w:pos="2260"/>
          <w:tab w:val="right" w:leader="dot" w:pos="9618"/>
        </w:tabs>
        <w:autoSpaceDE w:val="0"/>
        <w:autoSpaceDN w:val="0"/>
        <w:spacing w:before="58" w:after="0"/>
        <w:contextualSpacing w:val="0"/>
        <w:jc w:val="left"/>
      </w:pPr>
      <w:r w:rsidRPr="00EF2D2B">
        <w:rPr>
          <w:spacing w:val="5"/>
        </w:rPr>
        <w:t>Өгөгдлийн утгууд</w:t>
      </w:r>
      <w:r w:rsidRPr="00EF2D2B">
        <w:rPr>
          <w:spacing w:val="7"/>
        </w:rPr>
        <w:tab/>
      </w:r>
      <w:r w:rsidRPr="00EF2D2B">
        <w:rPr>
          <w:spacing w:val="5"/>
        </w:rPr>
        <w:t>108</w:t>
      </w:r>
    </w:p>
    <w:p w:rsidR="001C4C31" w:rsidRPr="00EF2D2B" w:rsidRDefault="001C4C31" w:rsidP="00472036">
      <w:pPr>
        <w:pStyle w:val="ListParagraph"/>
        <w:widowControl w:val="0"/>
        <w:numPr>
          <w:ilvl w:val="2"/>
          <w:numId w:val="8"/>
        </w:numPr>
        <w:tabs>
          <w:tab w:val="left" w:pos="0"/>
          <w:tab w:val="left" w:pos="2260"/>
          <w:tab w:val="right" w:leader="dot" w:pos="9618"/>
        </w:tabs>
        <w:autoSpaceDE w:val="0"/>
        <w:autoSpaceDN w:val="0"/>
        <w:spacing w:before="60" w:after="0"/>
        <w:contextualSpacing w:val="0"/>
        <w:jc w:val="left"/>
      </w:pPr>
      <w:r w:rsidRPr="00EF2D2B">
        <w:rPr>
          <w:spacing w:val="5"/>
        </w:rPr>
        <w:t xml:space="preserve">SCL </w:t>
      </w:r>
      <w:r w:rsidRPr="00EF2D2B">
        <w:rPr>
          <w:spacing w:val="6"/>
        </w:rPr>
        <w:t>жишээ</w:t>
      </w:r>
      <w:r w:rsidRPr="00EF2D2B">
        <w:rPr>
          <w:spacing w:val="6"/>
        </w:rPr>
        <w:tab/>
      </w:r>
      <w:r w:rsidRPr="00EF2D2B">
        <w:rPr>
          <w:spacing w:val="5"/>
        </w:rPr>
        <w:t>110</w:t>
      </w:r>
    </w:p>
    <w:p w:rsidR="001C4C31" w:rsidRPr="00EF2D2B" w:rsidRDefault="001C4C31" w:rsidP="001C4C31">
      <w:pPr>
        <w:pStyle w:val="BodyText"/>
        <w:tabs>
          <w:tab w:val="left" w:pos="0"/>
          <w:tab w:val="right" w:leader="dot" w:pos="9618"/>
        </w:tabs>
        <w:spacing w:before="60" w:line="276" w:lineRule="auto"/>
        <w:ind w:left="558"/>
        <w:rPr>
          <w:sz w:val="24"/>
          <w:szCs w:val="24"/>
          <w:lang w:val="mn-MN"/>
        </w:rPr>
      </w:pPr>
      <w:r w:rsidRPr="00EF2D2B">
        <w:rPr>
          <w:spacing w:val="3"/>
          <w:sz w:val="24"/>
          <w:szCs w:val="24"/>
          <w:lang w:val="mn-MN"/>
        </w:rPr>
        <w:t xml:space="preserve">14   </w:t>
      </w:r>
      <w:r w:rsidRPr="00EF2D2B">
        <w:rPr>
          <w:spacing w:val="6"/>
          <w:sz w:val="24"/>
          <w:szCs w:val="24"/>
          <w:lang w:val="mn-MN"/>
        </w:rPr>
        <w:t>IEC 61850-7-2-д үзүүлэх нөлөө</w:t>
      </w:r>
      <w:r w:rsidRPr="00EF2D2B">
        <w:rPr>
          <w:spacing w:val="6"/>
          <w:sz w:val="24"/>
          <w:szCs w:val="24"/>
          <w:lang w:val="mn-MN"/>
        </w:rPr>
        <w:tab/>
      </w:r>
      <w:r w:rsidRPr="00EF2D2B">
        <w:rPr>
          <w:spacing w:val="5"/>
          <w:sz w:val="24"/>
          <w:szCs w:val="24"/>
          <w:lang w:val="mn-MN"/>
        </w:rPr>
        <w:t>110</w:t>
      </w:r>
    </w:p>
    <w:p w:rsidR="001C4C31" w:rsidRPr="00EF2D2B" w:rsidRDefault="001C4C31" w:rsidP="001C4C31">
      <w:pPr>
        <w:pStyle w:val="BodyText"/>
        <w:tabs>
          <w:tab w:val="left" w:pos="0"/>
          <w:tab w:val="right" w:leader="dot" w:pos="9618"/>
        </w:tabs>
        <w:spacing w:before="102" w:line="276" w:lineRule="auto"/>
        <w:ind w:left="558"/>
        <w:rPr>
          <w:sz w:val="24"/>
          <w:szCs w:val="24"/>
          <w:lang w:val="mn-MN"/>
        </w:rPr>
      </w:pPr>
      <w:r w:rsidRPr="00EF2D2B">
        <w:rPr>
          <w:spacing w:val="3"/>
          <w:sz w:val="24"/>
          <w:szCs w:val="24"/>
          <w:lang w:val="mn-MN"/>
        </w:rPr>
        <w:t xml:space="preserve">15   </w:t>
      </w:r>
      <w:r w:rsidRPr="00EF2D2B">
        <w:rPr>
          <w:spacing w:val="5"/>
          <w:sz w:val="24"/>
          <w:szCs w:val="24"/>
          <w:lang w:val="mn-MN"/>
        </w:rPr>
        <w:t>IEC</w:t>
      </w:r>
      <w:r w:rsidRPr="00EF2D2B">
        <w:rPr>
          <w:spacing w:val="6"/>
          <w:sz w:val="24"/>
          <w:szCs w:val="24"/>
          <w:lang w:val="mn-MN"/>
        </w:rPr>
        <w:t>61850-7-4-д үзүүлэх нөлөө</w:t>
      </w:r>
      <w:r w:rsidRPr="00EF2D2B">
        <w:rPr>
          <w:spacing w:val="6"/>
          <w:sz w:val="24"/>
          <w:szCs w:val="24"/>
          <w:lang w:val="mn-MN"/>
        </w:rPr>
        <w:tab/>
      </w:r>
      <w:r w:rsidRPr="00EF2D2B">
        <w:rPr>
          <w:spacing w:val="5"/>
          <w:sz w:val="24"/>
          <w:szCs w:val="24"/>
          <w:lang w:val="mn-MN"/>
        </w:rPr>
        <w:t>110</w:t>
      </w:r>
    </w:p>
    <w:p w:rsidR="001C4C31" w:rsidRPr="00EF2D2B" w:rsidRDefault="001C4C31" w:rsidP="00472036">
      <w:pPr>
        <w:pStyle w:val="ListParagraph"/>
        <w:widowControl w:val="0"/>
        <w:numPr>
          <w:ilvl w:val="1"/>
          <w:numId w:val="6"/>
        </w:numPr>
        <w:tabs>
          <w:tab w:val="left" w:pos="0"/>
          <w:tab w:val="left" w:pos="1524"/>
          <w:tab w:val="right" w:leader="dot" w:pos="9618"/>
        </w:tabs>
        <w:autoSpaceDE w:val="0"/>
        <w:autoSpaceDN w:val="0"/>
        <w:spacing w:before="99" w:after="0"/>
        <w:ind w:hanging="570"/>
        <w:contextualSpacing w:val="0"/>
        <w:jc w:val="left"/>
      </w:pPr>
      <w:r w:rsidRPr="00EF2D2B">
        <w:rPr>
          <w:spacing w:val="6"/>
        </w:rPr>
        <w:t>Ерөнхий</w:t>
      </w:r>
      <w:r w:rsidRPr="00EF2D2B">
        <w:rPr>
          <w:spacing w:val="6"/>
        </w:rPr>
        <w:tab/>
      </w:r>
      <w:r w:rsidRPr="00EF2D2B">
        <w:rPr>
          <w:spacing w:val="5"/>
        </w:rPr>
        <w:t>110</w:t>
      </w:r>
    </w:p>
    <w:p w:rsidR="001C4C31" w:rsidRPr="00EF2D2B" w:rsidRDefault="001C4C31" w:rsidP="00472036">
      <w:pPr>
        <w:pStyle w:val="ListParagraph"/>
        <w:widowControl w:val="0"/>
        <w:numPr>
          <w:ilvl w:val="1"/>
          <w:numId w:val="6"/>
        </w:numPr>
        <w:tabs>
          <w:tab w:val="left" w:pos="0"/>
          <w:tab w:val="left" w:pos="1524"/>
          <w:tab w:val="right" w:leader="dot" w:pos="9618"/>
        </w:tabs>
        <w:autoSpaceDE w:val="0"/>
        <w:autoSpaceDN w:val="0"/>
        <w:spacing w:before="60" w:after="0"/>
        <w:ind w:hanging="570"/>
        <w:contextualSpacing w:val="0"/>
        <w:jc w:val="left"/>
      </w:pPr>
      <w:r w:rsidRPr="00EF2D2B">
        <w:rPr>
          <w:spacing w:val="7"/>
        </w:rPr>
        <w:t>Нэрний талбарын тодорхойлолт</w:t>
      </w:r>
      <w:r w:rsidRPr="00EF2D2B">
        <w:rPr>
          <w:spacing w:val="7"/>
        </w:rPr>
        <w:tab/>
      </w:r>
      <w:r w:rsidRPr="00EF2D2B">
        <w:rPr>
          <w:spacing w:val="5"/>
        </w:rPr>
        <w:t>110</w:t>
      </w:r>
    </w:p>
    <w:p w:rsidR="001C4C31" w:rsidRPr="00EF2D2B" w:rsidRDefault="001C4C31" w:rsidP="00472036">
      <w:pPr>
        <w:pStyle w:val="ListParagraph"/>
        <w:widowControl w:val="0"/>
        <w:numPr>
          <w:ilvl w:val="1"/>
          <w:numId w:val="6"/>
        </w:numPr>
        <w:tabs>
          <w:tab w:val="left" w:pos="0"/>
          <w:tab w:val="left" w:pos="1524"/>
          <w:tab w:val="right" w:leader="dot" w:pos="9618"/>
        </w:tabs>
        <w:autoSpaceDE w:val="0"/>
        <w:autoSpaceDN w:val="0"/>
        <w:spacing w:before="60" w:after="0"/>
        <w:ind w:hanging="570"/>
        <w:contextualSpacing w:val="0"/>
        <w:jc w:val="left"/>
      </w:pPr>
      <w:r w:rsidRPr="00EF2D2B">
        <w:rPr>
          <w:spacing w:val="7"/>
        </w:rPr>
        <w:t>ClcMth өргөтгөл</w:t>
      </w:r>
      <w:r w:rsidRPr="00EF2D2B">
        <w:rPr>
          <w:spacing w:val="6"/>
        </w:rPr>
        <w:tab/>
      </w:r>
      <w:r w:rsidRPr="00EF2D2B">
        <w:rPr>
          <w:spacing w:val="5"/>
        </w:rPr>
        <w:t>111</w:t>
      </w:r>
    </w:p>
    <w:p w:rsidR="001C4C31" w:rsidRPr="00EF2D2B" w:rsidRDefault="001C4C31" w:rsidP="00472036">
      <w:pPr>
        <w:pStyle w:val="ListParagraph"/>
        <w:widowControl w:val="0"/>
        <w:numPr>
          <w:ilvl w:val="1"/>
          <w:numId w:val="6"/>
        </w:numPr>
        <w:tabs>
          <w:tab w:val="left" w:pos="0"/>
          <w:tab w:val="left" w:pos="1524"/>
          <w:tab w:val="right" w:leader="dot" w:pos="9618"/>
        </w:tabs>
        <w:autoSpaceDE w:val="0"/>
        <w:autoSpaceDN w:val="0"/>
        <w:spacing w:before="61" w:after="0"/>
        <w:ind w:hanging="570"/>
        <w:contextualSpacing w:val="0"/>
        <w:jc w:val="left"/>
      </w:pPr>
      <w:r w:rsidRPr="00EF2D2B">
        <w:rPr>
          <w:spacing w:val="6"/>
        </w:rPr>
        <w:t>Өгөгдлийн объектын давтамжийн өөрчлөлтийн хурд(ROCOF)-ыг нэмэх</w:t>
      </w:r>
      <w:r w:rsidRPr="00EF2D2B">
        <w:rPr>
          <w:spacing w:val="7"/>
        </w:rPr>
        <w:tab/>
      </w:r>
      <w:r w:rsidRPr="00EF2D2B">
        <w:rPr>
          <w:spacing w:val="5"/>
        </w:rPr>
        <w:t>111</w:t>
      </w:r>
    </w:p>
    <w:p w:rsidR="001C4C31" w:rsidRPr="00EF2D2B" w:rsidRDefault="001C4C31" w:rsidP="00472036">
      <w:pPr>
        <w:pStyle w:val="ListParagraph"/>
        <w:widowControl w:val="0"/>
        <w:numPr>
          <w:ilvl w:val="1"/>
          <w:numId w:val="6"/>
        </w:numPr>
        <w:tabs>
          <w:tab w:val="left" w:pos="0"/>
          <w:tab w:val="left" w:pos="1524"/>
          <w:tab w:val="right" w:leader="dot" w:pos="9618"/>
        </w:tabs>
        <w:autoSpaceDE w:val="0"/>
        <w:autoSpaceDN w:val="0"/>
        <w:spacing w:before="58" w:after="0"/>
        <w:ind w:hanging="570"/>
        <w:contextualSpacing w:val="0"/>
        <w:jc w:val="left"/>
      </w:pPr>
      <w:r w:rsidRPr="00EF2D2B">
        <w:rPr>
          <w:spacing w:val="7"/>
        </w:rPr>
        <w:t>LTIM логик зангилааны ангийн өөрчлөлт</w:t>
      </w:r>
      <w:r w:rsidRPr="00EF2D2B">
        <w:rPr>
          <w:spacing w:val="6"/>
        </w:rPr>
        <w:tab/>
      </w:r>
      <w:r w:rsidRPr="00EF2D2B">
        <w:rPr>
          <w:spacing w:val="5"/>
        </w:rPr>
        <w:t>111</w:t>
      </w:r>
    </w:p>
    <w:p w:rsidR="001C4C31" w:rsidRPr="00D33687" w:rsidRDefault="001C4C31" w:rsidP="00472036">
      <w:pPr>
        <w:pStyle w:val="ListParagraph"/>
        <w:widowControl w:val="0"/>
        <w:numPr>
          <w:ilvl w:val="1"/>
          <w:numId w:val="6"/>
        </w:numPr>
        <w:tabs>
          <w:tab w:val="left" w:pos="0"/>
          <w:tab w:val="left" w:pos="1524"/>
          <w:tab w:val="right" w:leader="dot" w:pos="9618"/>
        </w:tabs>
        <w:autoSpaceDE w:val="0"/>
        <w:autoSpaceDN w:val="0"/>
        <w:spacing w:before="60" w:after="0"/>
        <w:ind w:hanging="570"/>
        <w:contextualSpacing w:val="0"/>
        <w:jc w:val="left"/>
      </w:pPr>
      <w:r w:rsidRPr="00EF2D2B">
        <w:rPr>
          <w:spacing w:val="7"/>
        </w:rPr>
        <w:t>LTMS логик зангилааны ангийн өөрчлөлт</w:t>
      </w:r>
      <w:r w:rsidRPr="00EF2D2B">
        <w:rPr>
          <w:spacing w:val="6"/>
        </w:rPr>
        <w:tab/>
      </w:r>
      <w:r w:rsidRPr="00EF2D2B">
        <w:rPr>
          <w:spacing w:val="5"/>
        </w:rPr>
        <w:t>112</w:t>
      </w:r>
    </w:p>
    <w:p w:rsidR="001C4C31" w:rsidRPr="00B43894" w:rsidRDefault="001C4C31" w:rsidP="001C4C31">
      <w:pPr>
        <w:spacing w:after="120"/>
        <w:ind w:left="0" w:firstLine="0"/>
      </w:pPr>
      <w:r w:rsidRPr="00B43894">
        <w:t>Хавсралт А (мэдээллийн)C37.118.2 тохиргооны бүрэн SCL жишээ</w:t>
      </w:r>
      <w:r w:rsidRPr="00B43894">
        <w:tab/>
        <w:t>114</w:t>
      </w:r>
    </w:p>
    <w:p w:rsidR="001C4C31" w:rsidRPr="00EF2D2B" w:rsidRDefault="001C4C31" w:rsidP="001C4C31">
      <w:pPr>
        <w:spacing w:after="120"/>
        <w:ind w:left="0" w:firstLine="0"/>
      </w:pPr>
      <w:r w:rsidRPr="00EF2D2B">
        <w:lastRenderedPageBreak/>
        <w:t>Хавсралт B (мэдээллийн)Шууд PMU ба PDC чиглэсэн мэдээлэл дамжуулах SCL жишээ</w:t>
      </w:r>
      <w:r w:rsidRPr="00B43894">
        <w:tab/>
        <w:t>122</w:t>
      </w:r>
    </w:p>
    <w:p w:rsidR="001C4C31" w:rsidRPr="00EF2D2B" w:rsidRDefault="001C4C31" w:rsidP="001C4C31">
      <w:pPr>
        <w:spacing w:after="120"/>
        <w:ind w:left="0" w:firstLine="0"/>
      </w:pPr>
      <w:r w:rsidRPr="00EF2D2B">
        <w:t>Хавсралт C (мэдээллийн)</w:t>
      </w:r>
      <w:r w:rsidRPr="00B43894">
        <w:t>IEEE C37.118-ээс IEC 61850 руу шилжих</w:t>
      </w:r>
      <w:r w:rsidRPr="00B43894">
        <w:tab/>
        <w:t>135</w:t>
      </w:r>
    </w:p>
    <w:p w:rsidR="001C4C31" w:rsidRPr="00EF2D2B" w:rsidRDefault="001C4C31" w:rsidP="001C4C31">
      <w:pPr>
        <w:spacing w:after="120"/>
        <w:ind w:left="0" w:firstLine="0"/>
      </w:pPr>
      <w:r w:rsidRPr="00EF2D2B">
        <w:t>Хавсралт D (мэдээллийн)</w:t>
      </w:r>
      <w:r w:rsidRPr="00B43894">
        <w:t>Нээлттэй системийн холболт (OSI) загвар</w:t>
      </w:r>
      <w:r w:rsidRPr="00B43894">
        <w:tab/>
        <w:t>138</w:t>
      </w:r>
    </w:p>
    <w:p w:rsidR="001C4C31" w:rsidRPr="00EF2D2B" w:rsidRDefault="001C4C31" w:rsidP="001C4C31">
      <w:pPr>
        <w:spacing w:after="120"/>
        <w:ind w:left="0" w:firstLine="0"/>
      </w:pPr>
      <w:r w:rsidRPr="00EF2D2B">
        <w:t>Хавсралт E (мэдээллийн)</w:t>
      </w:r>
      <w:r w:rsidRPr="00B43894">
        <w:t>IPv6</w:t>
      </w:r>
      <w:r w:rsidRPr="00B43894">
        <w:tab/>
        <w:t>142</w:t>
      </w:r>
    </w:p>
    <w:p w:rsidR="001C4C31" w:rsidRPr="00EF2D2B" w:rsidRDefault="001C4C31" w:rsidP="001C4C31">
      <w:pPr>
        <w:spacing w:after="120"/>
        <w:ind w:left="0" w:firstLine="0"/>
      </w:pPr>
      <w:r w:rsidRPr="00EF2D2B">
        <w:t xml:space="preserve">Хавсралт F (мэдээллийн) Сүлжээний </w:t>
      </w:r>
      <w:r w:rsidRPr="00B43894">
        <w:t>ирмэг баталгаажуулалт</w:t>
      </w:r>
      <w:r w:rsidRPr="00B43894">
        <w:tab/>
        <w:t>144</w:t>
      </w:r>
    </w:p>
    <w:p w:rsidR="001C4C31" w:rsidRPr="00EF2D2B" w:rsidRDefault="001C4C31" w:rsidP="001C4C31">
      <w:pPr>
        <w:spacing w:after="120"/>
        <w:ind w:left="0" w:firstLine="0"/>
      </w:pPr>
      <w:r w:rsidRPr="00EF2D2B">
        <w:t>Хавсралт G (мэдээллийн)</w:t>
      </w:r>
      <w:r w:rsidRPr="00B43894">
        <w:t>A-Профайл кодчиллын жишээ</w:t>
      </w:r>
      <w:r w:rsidRPr="00B43894">
        <w:tab/>
        <w:t>145</w:t>
      </w:r>
    </w:p>
    <w:p w:rsidR="001C4C31" w:rsidRPr="00EF2D2B" w:rsidRDefault="001C4C31" w:rsidP="001C4C31">
      <w:pPr>
        <w:spacing w:after="120"/>
        <w:ind w:left="0" w:firstLine="0"/>
      </w:pPr>
      <w:r w:rsidRPr="00EF2D2B">
        <w:t>Хавсралт H (мэдээллийн)</w:t>
      </w:r>
      <w:r w:rsidRPr="00B43894">
        <w:t>R-SV дамжуулалтын найдваржилтыг дээшлүүлэх</w:t>
      </w:r>
      <w:r w:rsidRPr="00B43894">
        <w:tab/>
        <w:t>146</w:t>
      </w:r>
    </w:p>
    <w:p w:rsidR="001C4C31" w:rsidRPr="00EF2D2B" w:rsidRDefault="001C4C31" w:rsidP="001C4C31">
      <w:pPr>
        <w:spacing w:after="120"/>
        <w:ind w:left="0" w:firstLine="0"/>
      </w:pPr>
      <w:r w:rsidRPr="00EF2D2B">
        <w:t>Хавсралт I (мэдээллийн)</w:t>
      </w:r>
      <w:r w:rsidRPr="00B43894">
        <w:t>HMAC ба таслалтын талаарх удирдамж</w:t>
      </w:r>
      <w:r w:rsidRPr="00B43894">
        <w:tab/>
        <w:t>147</w:t>
      </w:r>
    </w:p>
    <w:p w:rsidR="001C4C31" w:rsidRPr="00B43894" w:rsidRDefault="001C4C31" w:rsidP="001C4C31">
      <w:pPr>
        <w:spacing w:after="120"/>
        <w:ind w:left="0" w:firstLine="0"/>
      </w:pPr>
      <w:r w:rsidRPr="00B43894">
        <w:t>Ном зүй</w:t>
      </w:r>
      <w:r w:rsidRPr="00B43894">
        <w:tab/>
        <w:t>148</w:t>
      </w:r>
    </w:p>
    <w:p w:rsidR="001C4C31" w:rsidRPr="00B43894" w:rsidRDefault="001C4C31" w:rsidP="001C4C31">
      <w:pPr>
        <w:spacing w:after="120"/>
        <w:ind w:left="0" w:firstLine="0"/>
      </w:pPr>
      <w:r w:rsidRPr="00B43894">
        <w:t>1-р зураг – Синхрон хяналт хийхэд ашиглах схем</w:t>
      </w:r>
      <w:r w:rsidRPr="00B43894">
        <w:tab/>
        <w:t>16</w:t>
      </w:r>
    </w:p>
    <w:p w:rsidR="001C4C31" w:rsidRPr="00B43894" w:rsidRDefault="001C4C31" w:rsidP="001C4C31">
      <w:pPr>
        <w:spacing w:after="120"/>
        <w:ind w:left="0" w:firstLine="0"/>
      </w:pPr>
      <w:r w:rsidRPr="00B43894">
        <w:t>2-р зураг – Дасан зохицох тохируулгатай реленд ашиглах схем....................19</w:t>
      </w:r>
    </w:p>
    <w:p w:rsidR="001C4C31" w:rsidRPr="00EF2D2B" w:rsidRDefault="001C4C31" w:rsidP="001C4C31">
      <w:pPr>
        <w:spacing w:after="120"/>
        <w:ind w:left="0" w:firstLine="0"/>
      </w:pPr>
      <w:r w:rsidRPr="00EF2D2B">
        <w:t>3</w:t>
      </w:r>
      <w:r w:rsidRPr="00B43894">
        <w:t>-р зураг</w:t>
      </w:r>
      <w:r w:rsidRPr="00EF2D2B">
        <w:t xml:space="preserve"> – Хязгаараас хэтрэх (OOS) үеийн хамгаалалтад ашиглах схем</w:t>
      </w:r>
      <w:r w:rsidRPr="00B43894">
        <w:tab/>
        <w:t>19</w:t>
      </w:r>
    </w:p>
    <w:p w:rsidR="001C4C31" w:rsidRPr="00EF2D2B" w:rsidRDefault="001C4C31" w:rsidP="001C4C31">
      <w:pPr>
        <w:spacing w:after="120"/>
        <w:ind w:left="0" w:firstLine="0"/>
      </w:pPr>
      <w:r w:rsidRPr="00EF2D2B">
        <w:t>4</w:t>
      </w:r>
      <w:r w:rsidRPr="00B43894">
        <w:t>-р зураг</w:t>
      </w:r>
      <w:r w:rsidRPr="00EF2D2B">
        <w:t xml:space="preserve"> – Нөхцөл байдлын талаарх ойлголтыг авахад ашиглах схем</w:t>
      </w:r>
      <w:r w:rsidRPr="00B43894">
        <w:tab/>
        <w:t>21</w:t>
      </w:r>
    </w:p>
    <w:p w:rsidR="001C4C31" w:rsidRPr="00EF2D2B" w:rsidRDefault="001C4C31" w:rsidP="001C4C31">
      <w:pPr>
        <w:spacing w:after="120"/>
        <w:ind w:left="0" w:firstLine="0"/>
      </w:pPr>
      <w:r w:rsidRPr="00EF2D2B">
        <w:t>5</w:t>
      </w:r>
      <w:r w:rsidRPr="00B43894">
        <w:t>-р зураг</w:t>
      </w:r>
      <w:r w:rsidRPr="00EF2D2B">
        <w:t xml:space="preserve"> – Төлөвийн тооцоололд ашиглах схем</w:t>
      </w:r>
      <w:r w:rsidRPr="00B43894">
        <w:tab/>
        <w:t>23</w:t>
      </w:r>
    </w:p>
    <w:p w:rsidR="001C4C31" w:rsidRPr="00EF2D2B" w:rsidRDefault="001C4C31" w:rsidP="001C4C31">
      <w:pPr>
        <w:spacing w:after="120"/>
        <w:ind w:left="0" w:firstLine="0"/>
      </w:pPr>
      <w:r w:rsidRPr="00EF2D2B">
        <w:t>6</w:t>
      </w:r>
      <w:r w:rsidRPr="00B43894">
        <w:t>-р зураг</w:t>
      </w:r>
      <w:r w:rsidRPr="00EF2D2B">
        <w:t xml:space="preserve"> – Өгөгдөл архивлахад ашиглах схем</w:t>
      </w:r>
      <w:r w:rsidRPr="00B43894">
        <w:tab/>
        <w:t>25</w:t>
      </w:r>
    </w:p>
    <w:p w:rsidR="001C4C31" w:rsidRPr="00EF2D2B" w:rsidRDefault="001C4C31" w:rsidP="001C4C31">
      <w:pPr>
        <w:spacing w:after="120"/>
        <w:ind w:left="0" w:firstLine="0"/>
      </w:pPr>
      <w:r w:rsidRPr="00EF2D2B">
        <w:t>7</w:t>
      </w:r>
      <w:r w:rsidRPr="00B43894">
        <w:t xml:space="preserve">-р зураг </w:t>
      </w:r>
      <w:r w:rsidRPr="00EF2D2B">
        <w:t>–  Өргөн зурвасын хяналт удирдлагуудад ашиглах схем</w:t>
      </w:r>
      <w:r w:rsidRPr="00B43894">
        <w:tab/>
        <w:t>28</w:t>
      </w:r>
    </w:p>
    <w:p w:rsidR="001C4C31" w:rsidRPr="00EF2D2B" w:rsidRDefault="001C4C31" w:rsidP="001C4C31">
      <w:pPr>
        <w:spacing w:after="120"/>
        <w:ind w:left="0" w:firstLine="0"/>
      </w:pPr>
      <w:r w:rsidRPr="00EF2D2B">
        <w:t>8</w:t>
      </w:r>
      <w:r w:rsidRPr="00B43894">
        <w:t>-р зураг</w:t>
      </w:r>
      <w:r w:rsidRPr="00EF2D2B">
        <w:t xml:space="preserve"> – Динамик тогтворжилтыг урьдчилан тооцоход ашиглах схем</w:t>
      </w:r>
      <w:r w:rsidRPr="00B43894">
        <w:tab/>
        <w:t>30</w:t>
      </w:r>
    </w:p>
    <w:p w:rsidR="001C4C31" w:rsidRPr="00EF2D2B" w:rsidRDefault="001C4C31" w:rsidP="001C4C31">
      <w:pPr>
        <w:spacing w:after="120"/>
        <w:ind w:left="0" w:firstLine="0"/>
      </w:pPr>
      <w:r w:rsidRPr="00EF2D2B">
        <w:t>9</w:t>
      </w:r>
      <w:r w:rsidRPr="00B43894">
        <w:t xml:space="preserve">-р зураг </w:t>
      </w:r>
      <w:r w:rsidRPr="00EF2D2B">
        <w:t>–  Хүчдэлийн уналтаар ачаалал хязгаарлахад ашиглах схем</w:t>
      </w:r>
      <w:r w:rsidRPr="00B43894">
        <w:tab/>
        <w:t>32</w:t>
      </w:r>
    </w:p>
    <w:p w:rsidR="001C4C31" w:rsidRPr="00EF2D2B" w:rsidRDefault="001C4C31" w:rsidP="001C4C31">
      <w:pPr>
        <w:spacing w:after="120"/>
        <w:ind w:left="0" w:firstLine="0"/>
      </w:pPr>
      <w:r w:rsidRPr="00B43894">
        <w:t xml:space="preserve">10-р зураг </w:t>
      </w:r>
      <w:r w:rsidRPr="00EF2D2B">
        <w:t>– WAMPAC-д ашиглах схем</w:t>
      </w:r>
      <w:r w:rsidRPr="00B43894">
        <w:tab/>
        <w:t>34</w:t>
      </w:r>
    </w:p>
    <w:p w:rsidR="001C4C31" w:rsidRPr="00EF2D2B" w:rsidRDefault="001C4C31" w:rsidP="001C4C31">
      <w:pPr>
        <w:spacing w:after="120"/>
        <w:ind w:left="0" w:firstLine="0"/>
      </w:pPr>
      <w:r w:rsidRPr="00B43894">
        <w:t xml:space="preserve">11-р зураг </w:t>
      </w:r>
      <w:r w:rsidRPr="00EF2D2B">
        <w:t>–</w:t>
      </w:r>
      <w:r w:rsidRPr="00B43894">
        <w:t xml:space="preserve"> Фазор өгөгдлийн хуримтлуулагч ашиглах схем</w:t>
      </w:r>
      <w:r w:rsidRPr="00B43894">
        <w:tab/>
        <w:t>37</w:t>
      </w:r>
    </w:p>
    <w:p w:rsidR="001C4C31" w:rsidRPr="00EF2D2B" w:rsidRDefault="001C4C31" w:rsidP="001C4C31">
      <w:pPr>
        <w:spacing w:after="120"/>
        <w:ind w:left="0" w:firstLine="0"/>
      </w:pPr>
      <w:r w:rsidRPr="00B43894">
        <w:t xml:space="preserve">12-р зураг </w:t>
      </w:r>
      <w:r w:rsidRPr="00EF2D2B">
        <w:t>– WAMPAC функцийн үндсэн IEC 61850 загвар</w:t>
      </w:r>
      <w:r w:rsidRPr="00B43894">
        <w:tab/>
        <w:t>42</w:t>
      </w:r>
    </w:p>
    <w:p w:rsidR="001C4C31" w:rsidRPr="00EF2D2B" w:rsidRDefault="001C4C31" w:rsidP="001C4C31">
      <w:pPr>
        <w:spacing w:after="120"/>
        <w:ind w:left="0" w:firstLine="0"/>
      </w:pPr>
      <w:r w:rsidRPr="00B43894">
        <w:t xml:space="preserve">13-р зураг </w:t>
      </w:r>
      <w:r w:rsidRPr="00EF2D2B">
        <w:t xml:space="preserve">– Системийн шатлал </w:t>
      </w:r>
      <w:r w:rsidRPr="00B43894">
        <w:tab/>
        <w:t>43</w:t>
      </w:r>
    </w:p>
    <w:p w:rsidR="001C4C31" w:rsidRPr="00EF2D2B" w:rsidRDefault="001C4C31" w:rsidP="001C4C31">
      <w:pPr>
        <w:spacing w:after="120"/>
        <w:ind w:left="0" w:firstLine="0"/>
      </w:pPr>
      <w:r w:rsidRPr="00B43894">
        <w:t xml:space="preserve">14-р зураг </w:t>
      </w:r>
      <w:r w:rsidRPr="00EF2D2B">
        <w:t>– PMU объектын загвар</w:t>
      </w:r>
      <w:r w:rsidRPr="00B43894">
        <w:tab/>
        <w:t>44</w:t>
      </w:r>
    </w:p>
    <w:p w:rsidR="001C4C31" w:rsidRPr="00EF2D2B" w:rsidRDefault="001C4C31" w:rsidP="001C4C31">
      <w:pPr>
        <w:spacing w:after="120"/>
        <w:ind w:left="0" w:firstLine="0"/>
      </w:pPr>
      <w:r w:rsidRPr="00B43894">
        <w:t xml:space="preserve">15-р зураг </w:t>
      </w:r>
      <w:r w:rsidRPr="00EF2D2B">
        <w:t>– Хуучин PMU-уудтай дэд станцын PDC загвар</w:t>
      </w:r>
      <w:r w:rsidRPr="00B43894">
        <w:tab/>
        <w:t>44</w:t>
      </w:r>
    </w:p>
    <w:p w:rsidR="001C4C31" w:rsidRPr="00EF2D2B" w:rsidRDefault="001C4C31" w:rsidP="001C4C31">
      <w:pPr>
        <w:spacing w:after="120"/>
        <w:ind w:left="0" w:firstLine="0"/>
      </w:pPr>
      <w:r w:rsidRPr="00B43894">
        <w:t xml:space="preserve">16-р зураг </w:t>
      </w:r>
      <w:r w:rsidRPr="00EF2D2B">
        <w:t>– Бүсчилсэн PDC объектын загвар</w:t>
      </w:r>
      <w:r w:rsidRPr="00B43894">
        <w:tab/>
        <w:t>45</w:t>
      </w:r>
    </w:p>
    <w:p w:rsidR="001C4C31" w:rsidRPr="00EF2D2B" w:rsidRDefault="001C4C31" w:rsidP="001C4C31">
      <w:pPr>
        <w:spacing w:after="120"/>
        <w:ind w:left="0" w:firstLine="0"/>
      </w:pPr>
      <w:r w:rsidRPr="00B43894">
        <w:t xml:space="preserve">17-р зураг </w:t>
      </w:r>
      <w:r w:rsidRPr="00EF2D2B">
        <w:t>– Шууд холболтын синхрофазорын мэдээлэл дамжуулах загварчлал</w:t>
      </w:r>
    </w:p>
    <w:p w:rsidR="001C4C31" w:rsidRPr="00EF2D2B" w:rsidRDefault="001C4C31" w:rsidP="001C4C31">
      <w:pPr>
        <w:spacing w:after="120"/>
        <w:ind w:left="0" w:firstLine="0"/>
      </w:pPr>
      <w:r w:rsidRPr="00B43894">
        <w:t xml:space="preserve">18-р зураг </w:t>
      </w:r>
      <w:r w:rsidRPr="00EF2D2B">
        <w:t xml:space="preserve">– (Прокси) гарц ба фазор </w:t>
      </w:r>
      <w:r w:rsidRPr="00B43894">
        <w:t>хуримтлуулагч</w:t>
      </w:r>
      <w:r w:rsidRPr="00EF2D2B">
        <w:t xml:space="preserve"> PDC</w:t>
      </w:r>
      <w:r w:rsidRPr="00B43894">
        <w:tab/>
        <w:t>48</w:t>
      </w:r>
    </w:p>
    <w:p w:rsidR="001C4C31" w:rsidRPr="00EF2D2B" w:rsidRDefault="001C4C31" w:rsidP="001C4C31">
      <w:pPr>
        <w:spacing w:after="120"/>
        <w:ind w:left="0" w:firstLine="0"/>
      </w:pPr>
      <w:r w:rsidRPr="00B43894">
        <w:t xml:space="preserve">19-р зураг </w:t>
      </w:r>
      <w:r w:rsidRPr="00EF2D2B">
        <w:t>– Хэрэглээний байршил ба хугацааны хувиар</w:t>
      </w:r>
      <w:r w:rsidRPr="00B43894">
        <w:tab/>
        <w:t>51</w:t>
      </w:r>
    </w:p>
    <w:p w:rsidR="001C4C31" w:rsidRPr="00B43894" w:rsidRDefault="001C4C31" w:rsidP="001C4C31">
      <w:pPr>
        <w:spacing w:after="120"/>
        <w:ind w:left="0" w:firstLine="0"/>
      </w:pPr>
      <w:r w:rsidRPr="00B43894">
        <w:t>20-р зураг – IEC 61850-9-2-ийн хэрэгжилтийн төгсгөлөөс төгсгөлд криптографийн нэгтгэл байдал</w:t>
      </w:r>
      <w:r w:rsidRPr="00B43894">
        <w:tab/>
        <w:t>53</w:t>
      </w:r>
    </w:p>
    <w:p w:rsidR="001C4C31" w:rsidRPr="00EF2D2B" w:rsidRDefault="001C4C31" w:rsidP="001C4C31">
      <w:pPr>
        <w:spacing w:after="120"/>
        <w:ind w:left="0" w:firstLine="0"/>
      </w:pPr>
      <w:r w:rsidRPr="00D33687">
        <w:t>21</w:t>
      </w:r>
      <w:r w:rsidRPr="00B43894">
        <w:t xml:space="preserve">-р зураг </w:t>
      </w:r>
      <w:r w:rsidRPr="00D33687">
        <w:t>–</w:t>
      </w:r>
      <w:r w:rsidRPr="00EF2D2B">
        <w:t xml:space="preserve"> Түлхүүр ашиглалтын төлөв шилжилт </w:t>
      </w:r>
      <w:r w:rsidRPr="00EF2D2B">
        <w:tab/>
        <w:t>55</w:t>
      </w:r>
    </w:p>
    <w:p w:rsidR="001C4C31" w:rsidRPr="00B43894" w:rsidRDefault="001C4C31" w:rsidP="001C4C31">
      <w:pPr>
        <w:spacing w:after="120"/>
        <w:ind w:left="0" w:firstLine="0"/>
      </w:pPr>
      <w:r w:rsidRPr="00B43894">
        <w:t>22-р зураг – Ерөнхий сервисийн зураглал</w:t>
      </w:r>
      <w:r w:rsidRPr="00B43894">
        <w:tab/>
        <w:t>66</w:t>
      </w:r>
    </w:p>
    <w:p w:rsidR="001C4C31" w:rsidRPr="00B43894" w:rsidRDefault="001C4C31" w:rsidP="001C4C31">
      <w:pPr>
        <w:spacing w:after="120"/>
        <w:ind w:left="0" w:firstLine="0"/>
      </w:pPr>
      <w:r w:rsidRPr="00B43894">
        <w:lastRenderedPageBreak/>
        <w:t>23-р зураг – IEC/TR 61850-90-5 A-Профайлууд</w:t>
      </w:r>
      <w:r w:rsidRPr="00B43894">
        <w:tab/>
        <w:t>67</w:t>
      </w:r>
    </w:p>
    <w:p w:rsidR="001C4C31" w:rsidRPr="00B43894" w:rsidRDefault="001C4C31" w:rsidP="001C4C31">
      <w:pPr>
        <w:spacing w:after="120"/>
        <w:ind w:left="0" w:firstLine="0"/>
      </w:pPr>
      <w:r w:rsidRPr="00B43894">
        <w:t>24-р зураг –  C</w:t>
      </w:r>
      <w:r w:rsidRPr="00B43894">
        <w:rPr>
          <w:rFonts w:hint="eastAsia"/>
        </w:rPr>
        <w:t>ейшн</w:t>
      </w:r>
      <w:r w:rsidRPr="00B43894">
        <w:t xml:space="preserve">  протоколын үндсэн байтын дараалал</w:t>
      </w:r>
      <w:r w:rsidRPr="00B43894">
        <w:tab/>
        <w:t>71</w:t>
      </w:r>
    </w:p>
    <w:p w:rsidR="001C4C31" w:rsidRPr="00B43894" w:rsidRDefault="001C4C31" w:rsidP="001C4C31">
      <w:pPr>
        <w:spacing w:after="120"/>
        <w:ind w:left="0" w:firstLine="0"/>
      </w:pPr>
      <w:r w:rsidRPr="00B43894">
        <w:t xml:space="preserve">25-р зураг –  IEC / TR 61850-90-5 </w:t>
      </w:r>
      <w:r w:rsidRPr="00B43894">
        <w:rPr>
          <w:rFonts w:hint="eastAsia"/>
        </w:rPr>
        <w:t>сейшн</w:t>
      </w:r>
      <w:r w:rsidRPr="00B43894">
        <w:t xml:space="preserve"> протоколын бүтэц</w:t>
      </w:r>
      <w:r w:rsidRPr="00B43894">
        <w:tab/>
        <w:t>72</w:t>
      </w:r>
    </w:p>
    <w:p w:rsidR="001C4C31" w:rsidRPr="00B43894" w:rsidRDefault="001C4C31" w:rsidP="001C4C31">
      <w:pPr>
        <w:spacing w:after="120"/>
        <w:ind w:left="0" w:firstLine="0"/>
      </w:pPr>
      <w:r w:rsidRPr="00B43894">
        <w:t>26-р зураг – TimetoNextKey-ийн кодчилол</w:t>
      </w:r>
      <w:r w:rsidRPr="00B43894">
        <w:tab/>
        <w:t>75</w:t>
      </w:r>
    </w:p>
    <w:p w:rsidR="001C4C31" w:rsidRPr="00EF2D2B" w:rsidRDefault="001C4C31" w:rsidP="001C4C31">
      <w:pPr>
        <w:spacing w:after="120"/>
        <w:ind w:left="0" w:firstLine="0"/>
      </w:pPr>
      <w:r w:rsidRPr="00B43894">
        <w:t xml:space="preserve">27-р зураг </w:t>
      </w:r>
      <w:r w:rsidRPr="00EF2D2B">
        <w:t>– SV ба GOOSE-ийн IEEE 802.3 багцын формат</w:t>
      </w:r>
      <w:r w:rsidRPr="00B43894">
        <w:tab/>
        <w:t>82</w:t>
      </w:r>
    </w:p>
    <w:p w:rsidR="001C4C31" w:rsidRPr="00EF2D2B" w:rsidRDefault="001C4C31" w:rsidP="001C4C31">
      <w:pPr>
        <w:spacing w:after="120"/>
        <w:ind w:left="0" w:firstLine="0"/>
      </w:pPr>
      <w:r w:rsidRPr="00B43894">
        <w:t xml:space="preserve">28-р зураг </w:t>
      </w:r>
      <w:r w:rsidRPr="00EF2D2B">
        <w:t>– Виртуал LAN шошго</w:t>
      </w:r>
      <w:r w:rsidRPr="00B43894">
        <w:tab/>
        <w:t>83</w:t>
      </w:r>
    </w:p>
    <w:p w:rsidR="001C4C31" w:rsidRPr="00EF2D2B" w:rsidRDefault="001C4C31" w:rsidP="001C4C31">
      <w:pPr>
        <w:spacing w:after="120"/>
        <w:ind w:left="0" w:firstLine="0"/>
      </w:pPr>
      <w:r w:rsidRPr="00B43894">
        <w:t xml:space="preserve">29-р зураг </w:t>
      </w:r>
      <w:r w:rsidRPr="00EF2D2B">
        <w:t>– IEC / TR 61850-90-5 ачааллын өргөтгөлүүдийн ерөнхий формат</w:t>
      </w:r>
      <w:r w:rsidRPr="00B43894">
        <w:tab/>
        <w:t>87</w:t>
      </w:r>
    </w:p>
    <w:p w:rsidR="001C4C31" w:rsidRPr="00EF2D2B" w:rsidRDefault="001C4C31" w:rsidP="001C4C31">
      <w:pPr>
        <w:spacing w:after="120"/>
        <w:ind w:left="0" w:firstLine="0"/>
      </w:pPr>
      <w:r w:rsidRPr="00B43894">
        <w:t xml:space="preserve">30-р зураг </w:t>
      </w:r>
      <w:r w:rsidRPr="00EF2D2B">
        <w:t xml:space="preserve">– </w:t>
      </w:r>
      <w:r w:rsidRPr="00B43894">
        <w:t>Удирдамжийн хариу багц</w:t>
      </w:r>
      <w:r w:rsidRPr="00B43894">
        <w:tab/>
        <w:t>91</w:t>
      </w:r>
    </w:p>
    <w:p w:rsidR="001C4C31" w:rsidRPr="00EF2D2B" w:rsidRDefault="001C4C31" w:rsidP="001C4C31">
      <w:pPr>
        <w:spacing w:after="120"/>
        <w:ind w:left="0" w:firstLine="0"/>
      </w:pPr>
      <w:r w:rsidRPr="00B43894">
        <w:t xml:space="preserve">31-р зураг </w:t>
      </w:r>
      <w:r w:rsidRPr="00EF2D2B">
        <w:t>– Түлхүүр татах хариу ачааллын тодорхойлолт</w:t>
      </w:r>
      <w:r w:rsidRPr="00B43894">
        <w:tab/>
        <w:t>93</w:t>
      </w:r>
    </w:p>
    <w:p w:rsidR="001C4C31" w:rsidRPr="00EF2D2B" w:rsidRDefault="001C4C31" w:rsidP="001C4C31">
      <w:pPr>
        <w:spacing w:after="120"/>
        <w:ind w:left="0" w:firstLine="0"/>
      </w:pPr>
      <w:r w:rsidRPr="00B43894">
        <w:t xml:space="preserve">32-р зураг </w:t>
      </w:r>
      <w:r w:rsidRPr="00EF2D2B">
        <w:t>– Төрөл бүрийн T-</w:t>
      </w:r>
      <w:r w:rsidRPr="00B43894">
        <w:t>Профайл</w:t>
      </w:r>
      <w:r w:rsidRPr="00EF2D2B">
        <w:t>уудад зориулсан A-</w:t>
      </w:r>
      <w:r w:rsidRPr="00D33687">
        <w:t xml:space="preserve"> </w:t>
      </w:r>
      <w:r w:rsidRPr="00EF2D2B">
        <w:t>Профайл холбоо</w:t>
      </w:r>
      <w:r w:rsidRPr="00B43894">
        <w:tab/>
        <w:t>95</w:t>
      </w:r>
    </w:p>
    <w:p w:rsidR="001C4C31" w:rsidRPr="00EF2D2B" w:rsidRDefault="001C4C31" w:rsidP="001C4C31">
      <w:pPr>
        <w:spacing w:after="120"/>
        <w:ind w:left="0" w:firstLine="0"/>
      </w:pPr>
      <w:r w:rsidRPr="00B43894">
        <w:t xml:space="preserve">33-р зураг </w:t>
      </w:r>
      <w:r w:rsidRPr="00EF2D2B">
        <w:t xml:space="preserve">– </w:t>
      </w:r>
      <w:r w:rsidRPr="00B43894">
        <w:t>RFC768-аас</w:t>
      </w:r>
      <w:r w:rsidRPr="00B43894">
        <w:tab/>
        <w:t>96</w:t>
      </w:r>
    </w:p>
    <w:p w:rsidR="001C4C31" w:rsidRPr="00EF2D2B" w:rsidRDefault="001C4C31" w:rsidP="001C4C31">
      <w:pPr>
        <w:spacing w:after="120"/>
        <w:ind w:left="0" w:firstLine="0"/>
      </w:pPr>
      <w:r w:rsidRPr="00B43894">
        <w:t xml:space="preserve">34-р зураг </w:t>
      </w:r>
      <w:r w:rsidRPr="00EF2D2B">
        <w:t>– IP гарчгийн формат</w:t>
      </w:r>
      <w:r w:rsidRPr="00B43894">
        <w:tab/>
        <w:t>98</w:t>
      </w:r>
    </w:p>
    <w:p w:rsidR="001C4C31" w:rsidRPr="00B43894" w:rsidRDefault="001C4C31" w:rsidP="001C4C31">
      <w:pPr>
        <w:spacing w:after="120"/>
        <w:ind w:left="0" w:firstLine="0"/>
      </w:pPr>
      <w:r w:rsidRPr="00B43894">
        <w:t>35-р зураг – ToS байтын талбарын тодорхойлолт RFC-2474 ба RFC-3168....</w:t>
      </w:r>
    </w:p>
    <w:p w:rsidR="001C4C31" w:rsidRPr="00EF2D2B" w:rsidRDefault="001C4C31" w:rsidP="001C4C31">
      <w:pPr>
        <w:spacing w:after="120"/>
        <w:ind w:left="0" w:firstLine="0"/>
      </w:pPr>
      <w:r w:rsidRPr="00B43894">
        <w:t xml:space="preserve">36-р зураг </w:t>
      </w:r>
      <w:r w:rsidRPr="00EF2D2B">
        <w:t>– RFC 1108-ээс Аюулгүй байдлын талбарын тодорхойлолт</w:t>
      </w:r>
      <w:r w:rsidRPr="00B43894">
        <w:tab/>
        <w:t>99</w:t>
      </w:r>
    </w:p>
    <w:p w:rsidR="001C4C31" w:rsidRPr="00EF2D2B" w:rsidRDefault="001C4C31" w:rsidP="001C4C31">
      <w:pPr>
        <w:spacing w:after="120"/>
        <w:ind w:left="0" w:firstLine="0"/>
      </w:pPr>
      <w:r w:rsidRPr="00B43894">
        <w:t xml:space="preserve">37-р зураг </w:t>
      </w:r>
      <w:r w:rsidRPr="00EF2D2B">
        <w:t xml:space="preserve">– </w:t>
      </w:r>
      <w:r w:rsidRPr="00B43894">
        <w:t>tSampledValueControl руу өргөтгөл</w:t>
      </w:r>
      <w:r w:rsidRPr="00B43894">
        <w:tab/>
        <w:t>102</w:t>
      </w:r>
    </w:p>
    <w:p w:rsidR="001C4C31" w:rsidRPr="00EF2D2B" w:rsidRDefault="001C4C31" w:rsidP="001C4C31">
      <w:pPr>
        <w:spacing w:after="120"/>
        <w:ind w:left="0" w:firstLine="0"/>
      </w:pPr>
      <w:r w:rsidRPr="00B43894">
        <w:t xml:space="preserve">38-р зураг </w:t>
      </w:r>
      <w:r w:rsidRPr="00EF2D2B">
        <w:t xml:space="preserve">– </w:t>
      </w:r>
      <w:r w:rsidRPr="00B43894">
        <w:t>agSmvOpts руу өргөтгөх</w:t>
      </w:r>
      <w:r w:rsidRPr="00B43894">
        <w:tab/>
        <w:t>102</w:t>
      </w:r>
    </w:p>
    <w:p w:rsidR="001C4C31" w:rsidRPr="00EF2D2B" w:rsidRDefault="001C4C31" w:rsidP="001C4C31">
      <w:pPr>
        <w:spacing w:after="120"/>
        <w:ind w:left="0" w:firstLine="0"/>
      </w:pPr>
      <w:r w:rsidRPr="00B43894">
        <w:t xml:space="preserve">39-р зураг </w:t>
      </w:r>
      <w:r w:rsidRPr="00EF2D2B">
        <w:t xml:space="preserve">– </w:t>
      </w:r>
      <w:r w:rsidRPr="00B43894">
        <w:t>tGSEControl-ын өргөтгөл</w:t>
      </w:r>
      <w:r w:rsidRPr="00B43894">
        <w:tab/>
        <w:t>103</w:t>
      </w:r>
    </w:p>
    <w:p w:rsidR="001C4C31" w:rsidRPr="00EF2D2B" w:rsidRDefault="001C4C31" w:rsidP="001C4C31">
      <w:pPr>
        <w:spacing w:after="120"/>
        <w:ind w:left="0" w:firstLine="0"/>
      </w:pPr>
      <w:r w:rsidRPr="00B43894">
        <w:t xml:space="preserve">40-р зураг </w:t>
      </w:r>
      <w:r w:rsidRPr="00EF2D2B">
        <w:t xml:space="preserve">– </w:t>
      </w:r>
      <w:r w:rsidRPr="00B43894">
        <w:t>TPredefinedTypeOfSecurityEnum-ийн тодорхойлолт</w:t>
      </w:r>
      <w:r w:rsidRPr="00B43894">
        <w:tab/>
        <w:t>103</w:t>
      </w:r>
    </w:p>
    <w:p w:rsidR="001C4C31" w:rsidRPr="00EF2D2B" w:rsidRDefault="001C4C31" w:rsidP="001C4C31">
      <w:pPr>
        <w:spacing w:after="120"/>
        <w:ind w:left="0" w:firstLine="0"/>
      </w:pPr>
      <w:r w:rsidRPr="00B43894">
        <w:t xml:space="preserve">41-р зураг </w:t>
      </w:r>
      <w:r w:rsidRPr="00EF2D2B">
        <w:t>– KDC функцийг илэрхийлэх AccessPoint SCL боловсруулалт</w:t>
      </w:r>
      <w:r w:rsidRPr="00B43894">
        <w:tab/>
        <w:t>104</w:t>
      </w:r>
    </w:p>
    <w:p w:rsidR="001C4C31" w:rsidRPr="00B43894" w:rsidRDefault="001C4C31" w:rsidP="001C4C31">
      <w:pPr>
        <w:spacing w:after="120"/>
        <w:ind w:left="0" w:firstLine="0"/>
      </w:pPr>
      <w:r w:rsidRPr="00B43894">
        <w:t>42-р зураг – IED SCL XSD нь ашиглагдах KDC (ууд) -ыг заана</w:t>
      </w:r>
      <w:r w:rsidRPr="00B43894">
        <w:tab/>
        <w:t>105</w:t>
      </w:r>
    </w:p>
    <w:p w:rsidR="001C4C31" w:rsidRPr="00EF2D2B" w:rsidRDefault="001C4C31" w:rsidP="001C4C31">
      <w:pPr>
        <w:spacing w:after="120"/>
        <w:ind w:left="0" w:firstLine="0"/>
      </w:pPr>
      <w:r w:rsidRPr="00B43894">
        <w:t xml:space="preserve">43-р зураг </w:t>
      </w:r>
      <w:r w:rsidRPr="00EF2D2B">
        <w:t xml:space="preserve">– </w:t>
      </w:r>
      <w:r w:rsidRPr="00B43894">
        <w:t>SCL tKDC төрөл</w:t>
      </w:r>
      <w:r w:rsidRPr="00B43894">
        <w:tab/>
        <w:t>105</w:t>
      </w:r>
    </w:p>
    <w:p w:rsidR="001C4C31" w:rsidRPr="00EF2D2B" w:rsidRDefault="001C4C31" w:rsidP="001C4C31">
      <w:pPr>
        <w:spacing w:after="120"/>
        <w:ind w:left="0" w:firstLine="0"/>
      </w:pPr>
      <w:r w:rsidRPr="00B43894">
        <w:t xml:space="preserve">44-р зураг </w:t>
      </w:r>
      <w:r w:rsidRPr="00EF2D2B">
        <w:t xml:space="preserve">– </w:t>
      </w:r>
      <w:r w:rsidRPr="00B43894">
        <w:t>tPredefinedPTypeEnum руу өргөтгөл</w:t>
      </w:r>
      <w:r w:rsidRPr="00B43894">
        <w:tab/>
        <w:t>106</w:t>
      </w:r>
    </w:p>
    <w:p w:rsidR="001C4C31" w:rsidRPr="00EF2D2B" w:rsidRDefault="001C4C31" w:rsidP="001C4C31">
      <w:pPr>
        <w:spacing w:after="120"/>
        <w:ind w:left="0" w:firstLine="0"/>
      </w:pPr>
      <w:r w:rsidRPr="00B43894">
        <w:t xml:space="preserve">45-р зураг </w:t>
      </w:r>
      <w:r w:rsidRPr="00EF2D2B">
        <w:t>– IPv6 хаягуудын tP_IPbase өргөтгөл</w:t>
      </w:r>
      <w:r w:rsidRPr="00B43894">
        <w:tab/>
        <w:t>106</w:t>
      </w:r>
    </w:p>
    <w:p w:rsidR="001C4C31" w:rsidRPr="00EF2D2B" w:rsidRDefault="001C4C31" w:rsidP="001C4C31">
      <w:pPr>
        <w:spacing w:after="120"/>
        <w:ind w:left="0" w:firstLine="0"/>
      </w:pPr>
      <w:r w:rsidRPr="00B43894">
        <w:t xml:space="preserve">46-р зураг </w:t>
      </w:r>
      <w:r w:rsidRPr="00EF2D2B">
        <w:t xml:space="preserve">– </w:t>
      </w:r>
      <w:r w:rsidRPr="00B43894">
        <w:t>TP_DNSName-ийн тодорхойлолт</w:t>
      </w:r>
      <w:r w:rsidRPr="00B43894">
        <w:tab/>
        <w:t>107</w:t>
      </w:r>
    </w:p>
    <w:p w:rsidR="001C4C31" w:rsidRPr="00EF2D2B" w:rsidRDefault="001C4C31" w:rsidP="001C4C31">
      <w:pPr>
        <w:spacing w:after="120"/>
        <w:ind w:left="0" w:firstLine="0"/>
      </w:pPr>
      <w:r w:rsidRPr="00B43894">
        <w:t xml:space="preserve">47-р зураг </w:t>
      </w:r>
      <w:r w:rsidRPr="00EF2D2B">
        <w:t xml:space="preserve">– </w:t>
      </w:r>
      <w:r w:rsidRPr="00B43894">
        <w:t>tp_ C37-118-IP-Portтодорхойлолт</w:t>
      </w:r>
      <w:r w:rsidRPr="00B43894">
        <w:tab/>
        <w:t>107</w:t>
      </w:r>
    </w:p>
    <w:p w:rsidR="001C4C31" w:rsidRPr="00EF2D2B" w:rsidRDefault="001C4C31" w:rsidP="001C4C31">
      <w:pPr>
        <w:spacing w:after="120"/>
        <w:ind w:left="0" w:firstLine="0"/>
      </w:pPr>
      <w:r w:rsidRPr="00B43894">
        <w:t xml:space="preserve">A.1-р зураг </w:t>
      </w:r>
      <w:r w:rsidRPr="00EF2D2B">
        <w:t>– Нэг шугамын SCL жишээ</w:t>
      </w:r>
      <w:r w:rsidRPr="00B43894">
        <w:tab/>
        <w:t>114</w:t>
      </w:r>
    </w:p>
    <w:p w:rsidR="001C4C31" w:rsidRPr="00B43894" w:rsidRDefault="001C4C31" w:rsidP="001C4C31">
      <w:pPr>
        <w:spacing w:after="120"/>
        <w:ind w:left="0" w:firstLine="0"/>
      </w:pPr>
      <w:r w:rsidRPr="00B43894">
        <w:t xml:space="preserve">D.1-р зураг </w:t>
      </w:r>
      <w:r w:rsidRPr="00EF2D2B">
        <w:t>– OSI загварын давхаргуудын үүрэг</w:t>
      </w:r>
      <w:r w:rsidRPr="00B43894">
        <w:tab/>
        <w:t>138</w:t>
      </w:r>
    </w:p>
    <w:p w:rsidR="001C4C31" w:rsidRPr="00B43894" w:rsidRDefault="001C4C31" w:rsidP="001C4C31">
      <w:pPr>
        <w:spacing w:after="120"/>
        <w:ind w:left="0" w:firstLine="0"/>
      </w:pPr>
      <w:r w:rsidRPr="00B43894">
        <w:t>D.2-р зураг – OSI загвар ба Интернэт загваруудын харьцуулалт</w:t>
      </w:r>
      <w:r w:rsidRPr="00B43894">
        <w:tab/>
        <w:t>138</w:t>
      </w:r>
    </w:p>
    <w:p w:rsidR="001C4C31" w:rsidRPr="00B43894" w:rsidRDefault="001C4C31" w:rsidP="001C4C31">
      <w:pPr>
        <w:spacing w:after="120"/>
        <w:ind w:left="0" w:firstLine="0"/>
      </w:pPr>
      <w:r w:rsidRPr="00B43894">
        <w:t>D.3-р зураг – Давхаргын гарчиг нэмэхийг дүрслэн харуулах</w:t>
      </w:r>
      <w:r w:rsidRPr="00B43894">
        <w:tab/>
        <w:t>139</w:t>
      </w:r>
    </w:p>
    <w:p w:rsidR="001C4C31" w:rsidRPr="00B43894" w:rsidRDefault="001C4C31" w:rsidP="001C4C31">
      <w:pPr>
        <w:spacing w:after="120"/>
        <w:ind w:left="0" w:firstLine="0"/>
      </w:pPr>
      <w:r w:rsidRPr="00B43894">
        <w:t>D.4-р зураг – OSI загварт эрх тэгш байдлаар (Peer-to-peer)өгөгдөл солилцох</w:t>
      </w:r>
    </w:p>
    <w:p w:rsidR="001C4C31" w:rsidRPr="00B43894" w:rsidRDefault="001C4C31" w:rsidP="001C4C31">
      <w:pPr>
        <w:spacing w:after="120"/>
        <w:ind w:left="0" w:firstLine="0"/>
      </w:pPr>
      <w:r w:rsidRPr="00B43894">
        <w:t xml:space="preserve">D.5-р зураг – Протоколын Өгөгдлийн Нэгж (PDU) -үүдтэй OSI сервисүүдийн харилцан уялдаа </w:t>
      </w:r>
    </w:p>
    <w:p w:rsidR="001C4C31" w:rsidRPr="00B43894" w:rsidRDefault="001C4C31" w:rsidP="001C4C31">
      <w:pPr>
        <w:spacing w:after="120"/>
        <w:ind w:left="0" w:firstLine="0"/>
      </w:pPr>
      <w:r w:rsidRPr="00B43894">
        <w:lastRenderedPageBreak/>
        <w:t>D.6-р зураг – OSI загвар хаяглалт</w:t>
      </w:r>
      <w:r w:rsidRPr="00B43894">
        <w:tab/>
        <w:t>141</w:t>
      </w:r>
    </w:p>
    <w:p w:rsidR="001C4C31" w:rsidRPr="00B43894" w:rsidRDefault="001C4C31" w:rsidP="001C4C31">
      <w:pPr>
        <w:spacing w:after="120"/>
        <w:ind w:left="0" w:firstLine="0"/>
      </w:pPr>
      <w:r w:rsidRPr="00B43894">
        <w:t>G.1-р зураг – GOOSE A- Профайл</w:t>
      </w:r>
      <w:r w:rsidRPr="00B43894" w:rsidDel="004B5E1C">
        <w:t xml:space="preserve"> </w:t>
      </w:r>
      <w:r w:rsidRPr="00B43894">
        <w:t>-ын кодчиллын жишээ</w:t>
      </w:r>
      <w:r w:rsidRPr="00B43894">
        <w:tab/>
        <w:t>145</w:t>
      </w:r>
    </w:p>
    <w:p w:rsidR="001C4C31" w:rsidRPr="00B43894" w:rsidRDefault="001C4C31" w:rsidP="001C4C31">
      <w:pPr>
        <w:spacing w:after="120"/>
        <w:ind w:left="0" w:firstLine="0"/>
      </w:pPr>
      <w:r w:rsidRPr="00B43894">
        <w:t>1-р хүснэгт –Эквивалент командууд</w:t>
      </w:r>
      <w:r w:rsidRPr="00B43894">
        <w:tab/>
        <w:t>57</w:t>
      </w:r>
    </w:p>
    <w:p w:rsidR="001C4C31" w:rsidRPr="00EF2D2B" w:rsidRDefault="001C4C31" w:rsidP="001C4C31">
      <w:pPr>
        <w:spacing w:after="120"/>
        <w:ind w:left="0" w:firstLine="0"/>
      </w:pPr>
      <w:r w:rsidRPr="00EF2D2B">
        <w:t>2</w:t>
      </w:r>
      <w:r w:rsidRPr="00B43894">
        <w:t>-р хүснэгт</w:t>
      </w:r>
      <w:r w:rsidRPr="00EF2D2B">
        <w:t xml:space="preserve"> – R-MSVCB ангиллын тодорхойлолт</w:t>
      </w:r>
      <w:r w:rsidRPr="00B43894">
        <w:tab/>
        <w:t>58</w:t>
      </w:r>
    </w:p>
    <w:p w:rsidR="001C4C31" w:rsidRPr="00B43894" w:rsidRDefault="001C4C31" w:rsidP="001C4C31">
      <w:pPr>
        <w:spacing w:after="120"/>
        <w:ind w:left="0" w:firstLine="0"/>
      </w:pPr>
      <w:r w:rsidRPr="00B43894">
        <w:t>3-р хүснэгт – R-GoCB-ийн тодорхойлолт</w:t>
      </w:r>
      <w:r w:rsidRPr="00B43894">
        <w:tab/>
        <w:t>59</w:t>
      </w:r>
    </w:p>
    <w:p w:rsidR="001C4C31" w:rsidRPr="00EF2D2B" w:rsidRDefault="001C4C31" w:rsidP="001C4C31">
      <w:pPr>
        <w:spacing w:after="120"/>
        <w:ind w:left="0" w:firstLine="0"/>
      </w:pPr>
      <w:r w:rsidRPr="00EF2D2B">
        <w:t>4</w:t>
      </w:r>
      <w:r w:rsidRPr="00B43894">
        <w:t>-р хүснэгт</w:t>
      </w:r>
      <w:r w:rsidRPr="00EF2D2B">
        <w:t xml:space="preserve"> – Одоогийн PHYCOMADDR бүтэц</w:t>
      </w:r>
      <w:r w:rsidRPr="00B43894">
        <w:tab/>
        <w:t>60</w:t>
      </w:r>
    </w:p>
    <w:p w:rsidR="001C4C31" w:rsidRPr="00EF2D2B" w:rsidRDefault="001C4C31" w:rsidP="001C4C31">
      <w:pPr>
        <w:spacing w:after="120"/>
        <w:ind w:left="0" w:firstLine="0"/>
      </w:pPr>
      <w:r w:rsidRPr="00EF2D2B">
        <w:t>5</w:t>
      </w:r>
      <w:r w:rsidRPr="00B43894">
        <w:t>-р хүснэгт</w:t>
      </w:r>
      <w:r w:rsidRPr="00EF2D2B">
        <w:t xml:space="preserve"> –</w:t>
      </w:r>
      <w:r w:rsidRPr="00B43894">
        <w:t xml:space="preserve"> UDPCOMADDR </w:t>
      </w:r>
      <w:r w:rsidRPr="00EF2D2B">
        <w:t>бүтэц</w:t>
      </w:r>
      <w:r w:rsidRPr="00B43894">
        <w:tab/>
        <w:t>60</w:t>
      </w:r>
    </w:p>
    <w:p w:rsidR="001C4C31" w:rsidRPr="00EF2D2B" w:rsidRDefault="001C4C31" w:rsidP="001C4C31">
      <w:pPr>
        <w:spacing w:after="120"/>
        <w:ind w:left="0" w:firstLine="0"/>
      </w:pPr>
      <w:r w:rsidRPr="00EF2D2B">
        <w:t>6</w:t>
      </w:r>
      <w:r w:rsidRPr="00B43894">
        <w:t xml:space="preserve">-р хүснэгт </w:t>
      </w:r>
      <w:r w:rsidRPr="00EF2D2B">
        <w:t>–</w:t>
      </w:r>
      <w:r w:rsidRPr="00B43894">
        <w:t xml:space="preserve"> P-Ангилал ба M-Ангилалд </w:t>
      </w:r>
      <w:r w:rsidRPr="00EF2D2B">
        <w:t>зөвшөөрөгддөг ClcMth өргөтгөл</w:t>
      </w:r>
      <w:r w:rsidRPr="00B43894">
        <w:tab/>
        <w:t>65</w:t>
      </w:r>
    </w:p>
    <w:p w:rsidR="001C4C31" w:rsidRPr="00B43894" w:rsidRDefault="001C4C31" w:rsidP="001C4C31">
      <w:pPr>
        <w:spacing w:after="120"/>
        <w:ind w:left="0" w:firstLine="0"/>
      </w:pPr>
      <w:r w:rsidRPr="00B43894">
        <w:t>7-р хүснэгт – SPDU уртын кодчиллын жишээ</w:t>
      </w:r>
      <w:r w:rsidRPr="00B43894">
        <w:tab/>
        <w:t>74</w:t>
      </w:r>
    </w:p>
    <w:p w:rsidR="001C4C31" w:rsidRPr="00B43894" w:rsidRDefault="001C4C31" w:rsidP="001C4C31">
      <w:pPr>
        <w:spacing w:after="120"/>
        <w:ind w:left="0" w:firstLine="0"/>
      </w:pPr>
      <w:r w:rsidRPr="00B43894">
        <w:t>8-р хүснэгт –</w:t>
      </w:r>
      <w:r w:rsidRPr="00EF2D2B">
        <w:t xml:space="preserve"> IEC 61850 Ethertype утгууд</w:t>
      </w:r>
      <w:r w:rsidRPr="00B43894">
        <w:tab/>
        <w:t>82</w:t>
      </w:r>
    </w:p>
    <w:p w:rsidR="001C4C31" w:rsidRPr="00EF2D2B" w:rsidRDefault="001C4C31" w:rsidP="001C4C31">
      <w:pPr>
        <w:spacing w:after="120"/>
        <w:ind w:left="0" w:firstLine="0"/>
      </w:pPr>
      <w:r w:rsidRPr="00EF2D2B">
        <w:t>9</w:t>
      </w:r>
      <w:r w:rsidRPr="00B43894">
        <w:t xml:space="preserve">-р хүснэгт </w:t>
      </w:r>
      <w:r w:rsidRPr="00EF2D2B">
        <w:t>– MAC баталгаажуулах утгын тооцооллын зөвшөөрөгдсөн утга</w:t>
      </w:r>
      <w:r w:rsidRPr="00B43894">
        <w:tab/>
        <w:t>84</w:t>
      </w:r>
    </w:p>
    <w:p w:rsidR="001C4C31" w:rsidRPr="00EF2D2B" w:rsidRDefault="001C4C31" w:rsidP="001C4C31">
      <w:pPr>
        <w:spacing w:after="120"/>
        <w:ind w:left="0" w:firstLine="0"/>
      </w:pPr>
      <w:r w:rsidRPr="00B43894">
        <w:t xml:space="preserve">10-р хүснэгт </w:t>
      </w:r>
      <w:r w:rsidRPr="00EF2D2B">
        <w:t>– RFC-3547 Хэш тодорхойлогч</w:t>
      </w:r>
      <w:r w:rsidRPr="00B43894">
        <w:tab/>
        <w:t>86</w:t>
      </w:r>
    </w:p>
    <w:p w:rsidR="001C4C31" w:rsidRPr="00EF2D2B" w:rsidRDefault="001C4C31" w:rsidP="001C4C31">
      <w:pPr>
        <w:spacing w:after="120"/>
        <w:ind w:left="0" w:firstLine="0"/>
      </w:pPr>
      <w:r w:rsidRPr="00B43894">
        <w:t xml:space="preserve">11-р хүснэгт </w:t>
      </w:r>
      <w:r w:rsidRPr="00EF2D2B">
        <w:t>– RFC-3547 ачаалал тодорхойлогч</w:t>
      </w:r>
      <w:r w:rsidRPr="00B43894">
        <w:tab/>
        <w:t>86</w:t>
      </w:r>
    </w:p>
    <w:p w:rsidR="001C4C31" w:rsidRPr="00EF2D2B" w:rsidRDefault="001C4C31" w:rsidP="001C4C31">
      <w:pPr>
        <w:spacing w:after="120"/>
        <w:ind w:left="0" w:firstLine="0"/>
      </w:pPr>
      <w:r w:rsidRPr="00B43894">
        <w:t xml:space="preserve">12-р хүснэгт </w:t>
      </w:r>
      <w:r w:rsidRPr="00EF2D2B">
        <w:t>– IEC / TR 61850-90-5 ачааллын тодорхойлогч</w:t>
      </w:r>
      <w:r w:rsidRPr="00B43894">
        <w:tab/>
        <w:t>87</w:t>
      </w:r>
    </w:p>
    <w:p w:rsidR="001C4C31" w:rsidRPr="00EF2D2B" w:rsidRDefault="001C4C31" w:rsidP="001C4C31">
      <w:pPr>
        <w:spacing w:after="120"/>
        <w:ind w:left="0" w:firstLine="0"/>
      </w:pPr>
      <w:r w:rsidRPr="00B43894">
        <w:t xml:space="preserve">13-р хүснэгт </w:t>
      </w:r>
      <w:r w:rsidRPr="00EF2D2B">
        <w:t>– RFC-3547 түлхүүр татах төрөл тодорхойлогч</w:t>
      </w:r>
      <w:r w:rsidRPr="00B43894">
        <w:tab/>
        <w:t>92</w:t>
      </w:r>
    </w:p>
    <w:p w:rsidR="001C4C31" w:rsidRPr="00EF2D2B" w:rsidRDefault="001C4C31" w:rsidP="001C4C31">
      <w:pPr>
        <w:spacing w:after="120"/>
        <w:ind w:left="0" w:firstLine="0"/>
      </w:pPr>
      <w:r w:rsidRPr="00B43894">
        <w:t xml:space="preserve">14-р хүснэгт </w:t>
      </w:r>
      <w:r w:rsidRPr="00EF2D2B">
        <w:t>– IE C/TR 61850-90-5 түлхүүр татах төрөл тодорхойлогч</w:t>
      </w:r>
      <w:r w:rsidRPr="00B43894">
        <w:tab/>
        <w:t>92</w:t>
      </w:r>
    </w:p>
    <w:p w:rsidR="001C4C31" w:rsidRPr="00EF2D2B" w:rsidRDefault="001C4C31" w:rsidP="001C4C31">
      <w:pPr>
        <w:spacing w:after="120"/>
        <w:ind w:left="0" w:firstLine="0"/>
      </w:pPr>
      <w:r w:rsidRPr="00B43894">
        <w:t xml:space="preserve">15-р хүснэгт </w:t>
      </w:r>
      <w:r w:rsidRPr="00EF2D2B">
        <w:t>– UDP талбарын хэрэгжилтэд тавигдах шаардлага</w:t>
      </w:r>
      <w:r w:rsidRPr="00B43894">
        <w:tab/>
        <w:t>96</w:t>
      </w:r>
    </w:p>
    <w:p w:rsidR="001C4C31" w:rsidRPr="00B43894" w:rsidRDefault="001C4C31" w:rsidP="001C4C31">
      <w:pPr>
        <w:spacing w:after="120"/>
        <w:ind w:left="0" w:firstLine="0"/>
      </w:pPr>
      <w:r w:rsidRPr="00B43894">
        <w:t>16-р хүснэгт – IPv4 дээр суурилсан T-Профайлуудын сүлжээний протоколын нийцлийн тайлан (PICS)</w:t>
      </w:r>
      <w:r w:rsidRPr="00B43894">
        <w:tab/>
        <w:t>……………………………………………………………..97</w:t>
      </w:r>
    </w:p>
    <w:p w:rsidR="001C4C31" w:rsidRPr="00B43894" w:rsidRDefault="001C4C31" w:rsidP="001C4C31">
      <w:pPr>
        <w:spacing w:after="120"/>
        <w:ind w:left="0" w:firstLine="0"/>
      </w:pPr>
      <w:r w:rsidRPr="00B43894">
        <w:t>17-р хүснэгт – LTIM-д TmLeaps-ийн нэмэлт</w:t>
      </w:r>
      <w:r w:rsidRPr="00B43894">
        <w:tab/>
        <w:t>112</w:t>
      </w:r>
    </w:p>
    <w:p w:rsidR="001C4C31" w:rsidRPr="00B43894" w:rsidRDefault="001C4C31" w:rsidP="001C4C31">
      <w:pPr>
        <w:spacing w:after="120"/>
        <w:ind w:left="0" w:firstLine="0"/>
      </w:pPr>
      <w:r w:rsidRPr="00B43894">
        <w:t>18-р хүснэгт – LTMS-д TmLok нэмэх</w:t>
      </w:r>
      <w:r w:rsidRPr="00B43894">
        <w:tab/>
        <w:t>113</w:t>
      </w:r>
    </w:p>
    <w:p w:rsidR="001C4C31" w:rsidRPr="00B43894" w:rsidRDefault="001C4C31" w:rsidP="001C4C31">
      <w:pPr>
        <w:spacing w:after="120"/>
        <w:ind w:left="0" w:firstLine="0"/>
      </w:pPr>
      <w:r w:rsidRPr="00B43894">
        <w:t>C.1-р хүснэгт – C37.118-ээс IEC 61850 руу шилжих алхмууд......................137</w:t>
      </w:r>
    </w:p>
    <w:p w:rsidR="001C4C31" w:rsidRDefault="001C4C31" w:rsidP="001C4C31">
      <w:pPr>
        <w:spacing w:after="120"/>
        <w:ind w:left="0" w:firstLine="0"/>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p>
    <w:p w:rsidR="001C4C31" w:rsidRDefault="001C4C31" w:rsidP="001C4C31">
      <w:pPr>
        <w:spacing w:after="120"/>
        <w:ind w:left="0" w:firstLine="0"/>
        <w:jc w:val="center"/>
      </w:pPr>
      <w:r>
        <w:lastRenderedPageBreak/>
        <w:t>CONTENTS</w:t>
      </w:r>
    </w:p>
    <w:p w:rsidR="001C4C31" w:rsidRPr="00B43894" w:rsidRDefault="001C4C31" w:rsidP="001C4C31">
      <w:pPr>
        <w:spacing w:after="120"/>
        <w:ind w:left="0" w:firstLine="0"/>
        <w:rPr>
          <w:lang w:val="en-US"/>
        </w:rPr>
      </w:pPr>
      <w:r w:rsidRPr="00B43894">
        <w:rPr>
          <w:lang w:val="en-US"/>
        </w:rPr>
        <w:t>FOREWORD</w:t>
      </w:r>
      <w:r w:rsidRPr="00B43894">
        <w:rPr>
          <w:lang w:val="en-US"/>
        </w:rPr>
        <w:tab/>
      </w:r>
      <w:r w:rsidRPr="00B43894">
        <w:t>………………………………………………</w:t>
      </w:r>
    </w:p>
    <w:p w:rsidR="001C4C31" w:rsidRPr="00B43894" w:rsidRDefault="001C4C31" w:rsidP="001C4C31">
      <w:pPr>
        <w:spacing w:after="120"/>
        <w:ind w:left="0" w:firstLine="0"/>
        <w:rPr>
          <w:lang w:val="en-US"/>
        </w:rPr>
      </w:pPr>
      <w:r w:rsidRPr="00B43894">
        <w:rPr>
          <w:lang w:val="en-US"/>
        </w:rPr>
        <w:t>INTRODUCTION</w:t>
      </w:r>
      <w:r w:rsidRPr="00B43894">
        <w:rPr>
          <w:lang w:val="en-US"/>
        </w:rPr>
        <w:tab/>
      </w:r>
      <w:r w:rsidRPr="00B43894">
        <w:t>………………………………………………</w:t>
      </w:r>
    </w:p>
    <w:p w:rsidR="001C4C31" w:rsidRPr="00B43894" w:rsidRDefault="001C4C31" w:rsidP="001C4C31">
      <w:pPr>
        <w:spacing w:after="120"/>
        <w:ind w:left="0" w:firstLine="0"/>
        <w:rPr>
          <w:lang w:val="en-US"/>
        </w:rPr>
      </w:pPr>
      <w:r>
        <w:rPr>
          <w:lang w:val="en-US"/>
        </w:rPr>
        <w:t xml:space="preserve">1 </w:t>
      </w:r>
      <w:r w:rsidRPr="00B43894">
        <w:rPr>
          <w:lang w:val="en-US"/>
        </w:rPr>
        <w:t>Scope</w:t>
      </w:r>
      <w:r w:rsidRPr="00B43894">
        <w:rPr>
          <w:lang w:val="en-US"/>
        </w:rPr>
        <w:tab/>
      </w:r>
      <w:r>
        <w:rPr>
          <w:lang w:val="en-US"/>
        </w:rPr>
        <w:t xml:space="preserve"> </w:t>
      </w:r>
      <w:r w:rsidRPr="00B43894">
        <w:t>………………………………………………</w:t>
      </w:r>
      <w:r w:rsidRPr="00B43894">
        <w:rPr>
          <w:lang w:val="en-US"/>
        </w:rPr>
        <w:t>10</w:t>
      </w:r>
    </w:p>
    <w:p w:rsidR="001C4C31" w:rsidRPr="00B43894" w:rsidRDefault="001C4C31" w:rsidP="001C4C31">
      <w:pPr>
        <w:spacing w:after="120"/>
        <w:ind w:left="0" w:firstLine="0"/>
        <w:rPr>
          <w:lang w:val="en-US"/>
        </w:rPr>
      </w:pPr>
      <w:r>
        <w:rPr>
          <w:lang w:val="en-US"/>
        </w:rPr>
        <w:t xml:space="preserve">2 </w:t>
      </w:r>
      <w:r w:rsidRPr="00B43894">
        <w:rPr>
          <w:lang w:val="en-US"/>
        </w:rPr>
        <w:t>Normative references</w:t>
      </w:r>
      <w:r w:rsidRPr="00B43894">
        <w:rPr>
          <w:lang w:val="en-US"/>
        </w:rPr>
        <w:tab/>
      </w:r>
      <w:r>
        <w:rPr>
          <w:lang w:val="en-US"/>
        </w:rPr>
        <w:t xml:space="preserve"> </w:t>
      </w:r>
      <w:r w:rsidRPr="00B43894">
        <w:t>………………………………………………</w:t>
      </w:r>
      <w:r w:rsidRPr="00B43894">
        <w:rPr>
          <w:lang w:val="en-US"/>
        </w:rPr>
        <w:t>10</w:t>
      </w:r>
    </w:p>
    <w:p w:rsidR="001C4C31" w:rsidRPr="00B43894" w:rsidRDefault="001C4C31" w:rsidP="001C4C31">
      <w:pPr>
        <w:spacing w:after="120"/>
        <w:ind w:left="0" w:firstLine="0"/>
        <w:rPr>
          <w:lang w:val="en-US"/>
        </w:rPr>
      </w:pPr>
      <w:r>
        <w:rPr>
          <w:lang w:val="en-US"/>
        </w:rPr>
        <w:t xml:space="preserve">3 </w:t>
      </w:r>
      <w:r w:rsidRPr="00B43894">
        <w:rPr>
          <w:lang w:val="en-US"/>
        </w:rPr>
        <w:t>Terms and definitions</w:t>
      </w:r>
      <w:r w:rsidRPr="00B43894">
        <w:rPr>
          <w:lang w:val="en-US"/>
        </w:rPr>
        <w:tab/>
      </w:r>
      <w:r w:rsidRPr="00B43894">
        <w:t>………………………………………………</w:t>
      </w:r>
      <w:r w:rsidRPr="00B43894">
        <w:rPr>
          <w:lang w:val="en-US"/>
        </w:rPr>
        <w:t>12</w:t>
      </w:r>
    </w:p>
    <w:p w:rsidR="001C4C31" w:rsidRPr="00B43894" w:rsidRDefault="001C4C31" w:rsidP="001C4C31">
      <w:pPr>
        <w:spacing w:after="120"/>
        <w:ind w:left="0" w:firstLine="0"/>
        <w:rPr>
          <w:lang w:val="en-US"/>
        </w:rPr>
      </w:pPr>
      <w:r>
        <w:rPr>
          <w:lang w:val="en-US"/>
        </w:rPr>
        <w:t xml:space="preserve">4 </w:t>
      </w:r>
      <w:r w:rsidRPr="00B43894">
        <w:rPr>
          <w:lang w:val="en-US"/>
        </w:rPr>
        <w:t>Abbreviated terms</w:t>
      </w:r>
      <w:r w:rsidRPr="00B43894">
        <w:rPr>
          <w:lang w:val="en-US"/>
        </w:rPr>
        <w:tab/>
      </w:r>
      <w:r w:rsidRPr="00B43894">
        <w:t>………………………………………………</w:t>
      </w:r>
      <w:r w:rsidRPr="00B43894">
        <w:rPr>
          <w:lang w:val="en-US"/>
        </w:rPr>
        <w:t>13</w:t>
      </w:r>
    </w:p>
    <w:p w:rsidR="001C4C31" w:rsidRPr="00B43894" w:rsidRDefault="001C4C31" w:rsidP="001C4C31">
      <w:pPr>
        <w:spacing w:after="120"/>
        <w:ind w:left="0" w:firstLine="0"/>
        <w:rPr>
          <w:lang w:val="en-US"/>
        </w:rPr>
      </w:pPr>
      <w:r>
        <w:rPr>
          <w:lang w:val="en-US"/>
        </w:rPr>
        <w:t xml:space="preserve">5 </w:t>
      </w:r>
      <w:r w:rsidRPr="00B43894">
        <w:rPr>
          <w:lang w:val="en-US"/>
        </w:rPr>
        <w:t>Use cases</w:t>
      </w:r>
      <w:r w:rsidRPr="00B43894">
        <w:rPr>
          <w:lang w:val="en-US"/>
        </w:rPr>
        <w:tab/>
      </w:r>
      <w:r w:rsidRPr="00B43894">
        <w:t>………………………………………………</w:t>
      </w:r>
      <w:r w:rsidRPr="00B43894">
        <w:rPr>
          <w:lang w:val="en-US"/>
        </w:rPr>
        <w:t>15</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sidRPr="00B43894">
        <w:rPr>
          <w:spacing w:val="6"/>
        </w:rPr>
        <w:t>General</w:t>
      </w:r>
      <w:r w:rsidRPr="00B43894">
        <w:rPr>
          <w:spacing w:val="6"/>
        </w:rPr>
        <w:tab/>
        <w:t>15</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Pr>
          <w:spacing w:val="6"/>
          <w:lang w:val="en-US"/>
        </w:rPr>
        <w:t xml:space="preserve"> </w:t>
      </w:r>
      <w:r w:rsidRPr="00B43894">
        <w:rPr>
          <w:spacing w:val="6"/>
        </w:rPr>
        <w:t>Wide area applications utilizing synchrophasors</w:t>
      </w:r>
      <w:r w:rsidRPr="00B43894">
        <w:rPr>
          <w:spacing w:val="6"/>
        </w:rPr>
        <w:tab/>
        <w:t>15</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sidRPr="00B43894">
        <w:rPr>
          <w:spacing w:val="6"/>
        </w:rPr>
        <w:t>Synchro-check</w:t>
      </w:r>
      <w:r w:rsidRPr="00B43894">
        <w:rPr>
          <w:spacing w:val="6"/>
        </w:rPr>
        <w:tab/>
      </w:r>
      <w:r w:rsidRPr="00EF2D2B">
        <w:rPr>
          <w:spacing w:val="6"/>
        </w:rPr>
        <w:t>16</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sidRPr="00EF2D2B">
        <w:rPr>
          <w:spacing w:val="6"/>
        </w:rPr>
        <w:t>Adaptive</w:t>
      </w:r>
      <w:r w:rsidRPr="00B43894">
        <w:rPr>
          <w:spacing w:val="6"/>
        </w:rPr>
        <w:t xml:space="preserve"> </w:t>
      </w:r>
      <w:r w:rsidRPr="00EF2D2B">
        <w:rPr>
          <w:spacing w:val="6"/>
        </w:rPr>
        <w:t>relaying</w:t>
      </w:r>
      <w:r w:rsidRPr="00EF2D2B">
        <w:rPr>
          <w:spacing w:val="6"/>
        </w:rPr>
        <w:tab/>
        <w:t>17</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sidRPr="00B43894">
        <w:rPr>
          <w:spacing w:val="6"/>
        </w:rPr>
        <w:t xml:space="preserve">Out-of-step </w:t>
      </w:r>
      <w:r w:rsidRPr="00EF2D2B">
        <w:rPr>
          <w:spacing w:val="6"/>
        </w:rPr>
        <w:t>(OOS)</w:t>
      </w:r>
      <w:r w:rsidRPr="00B43894">
        <w:rPr>
          <w:spacing w:val="6"/>
        </w:rPr>
        <w:t xml:space="preserve"> protection</w:t>
      </w:r>
      <w:r w:rsidRPr="00B43894">
        <w:rPr>
          <w:spacing w:val="6"/>
        </w:rPr>
        <w:tab/>
      </w:r>
      <w:r w:rsidRPr="00EF2D2B">
        <w:rPr>
          <w:spacing w:val="6"/>
        </w:rPr>
        <w:t>19</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sidRPr="00B43894">
        <w:rPr>
          <w:spacing w:val="6"/>
        </w:rPr>
        <w:t xml:space="preserve">Situational </w:t>
      </w:r>
      <w:r w:rsidRPr="00EF2D2B">
        <w:rPr>
          <w:spacing w:val="6"/>
        </w:rPr>
        <w:t>awareness</w:t>
      </w:r>
      <w:r w:rsidRPr="00EF2D2B">
        <w:rPr>
          <w:spacing w:val="6"/>
        </w:rPr>
        <w:tab/>
        <w:t>20</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sidRPr="00EF2D2B">
        <w:rPr>
          <w:spacing w:val="6"/>
        </w:rPr>
        <w:t xml:space="preserve">State </w:t>
      </w:r>
      <w:r w:rsidRPr="00B43894">
        <w:rPr>
          <w:spacing w:val="6"/>
        </w:rPr>
        <w:t xml:space="preserve">estimation and </w:t>
      </w:r>
      <w:r w:rsidRPr="00EF2D2B">
        <w:rPr>
          <w:spacing w:val="6"/>
        </w:rPr>
        <w:t>on-line</w:t>
      </w:r>
      <w:r w:rsidRPr="00B43894">
        <w:rPr>
          <w:spacing w:val="6"/>
        </w:rPr>
        <w:t xml:space="preserve"> security assessment</w:t>
      </w:r>
      <w:r w:rsidRPr="00B43894">
        <w:rPr>
          <w:spacing w:val="6"/>
        </w:rPr>
        <w:tab/>
      </w:r>
      <w:r w:rsidRPr="00EF2D2B">
        <w:rPr>
          <w:spacing w:val="6"/>
        </w:rPr>
        <w:t>23</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sidRPr="00EF2D2B">
        <w:rPr>
          <w:spacing w:val="6"/>
        </w:rPr>
        <w:t>Archive data (event</w:t>
      </w:r>
      <w:r w:rsidRPr="00B43894">
        <w:rPr>
          <w:spacing w:val="6"/>
        </w:rPr>
        <w:t xml:space="preserve"> &amp; continuous)</w:t>
      </w:r>
      <w:r w:rsidRPr="00B43894">
        <w:rPr>
          <w:spacing w:val="6"/>
        </w:rPr>
        <w:tab/>
      </w:r>
      <w:r w:rsidRPr="00EF2D2B">
        <w:rPr>
          <w:spacing w:val="6"/>
        </w:rPr>
        <w:t>25</w:t>
      </w:r>
    </w:p>
    <w:p w:rsidR="001C4C31" w:rsidRPr="00B43894" w:rsidRDefault="001C4C31" w:rsidP="00472036">
      <w:pPr>
        <w:pStyle w:val="ListParagraph"/>
        <w:widowControl w:val="0"/>
        <w:numPr>
          <w:ilvl w:val="1"/>
          <w:numId w:val="12"/>
        </w:numPr>
        <w:tabs>
          <w:tab w:val="left" w:pos="1523"/>
          <w:tab w:val="left" w:pos="1524"/>
          <w:tab w:val="right" w:leader="dot" w:pos="9625"/>
        </w:tabs>
        <w:autoSpaceDE w:val="0"/>
        <w:autoSpaceDN w:val="0"/>
        <w:spacing w:before="58" w:after="0"/>
        <w:jc w:val="left"/>
        <w:rPr>
          <w:spacing w:val="6"/>
        </w:rPr>
      </w:pPr>
      <w:r w:rsidRPr="00EF2D2B">
        <w:rPr>
          <w:spacing w:val="6"/>
        </w:rPr>
        <w:t>Wide</w:t>
      </w:r>
      <w:r w:rsidRPr="00B43894">
        <w:rPr>
          <w:spacing w:val="6"/>
        </w:rPr>
        <w:t xml:space="preserve"> area controls</w:t>
      </w:r>
      <w:r w:rsidRPr="00B43894">
        <w:rPr>
          <w:spacing w:val="6"/>
        </w:rPr>
        <w:tab/>
      </w:r>
      <w:r w:rsidRPr="00EF2D2B">
        <w:rPr>
          <w:spacing w:val="6"/>
        </w:rPr>
        <w:t>27</w:t>
      </w:r>
    </w:p>
    <w:p w:rsidR="001C4C31" w:rsidRPr="00EF2D2B"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58" w:after="0"/>
        <w:contextualSpacing w:val="0"/>
      </w:pPr>
      <w:r w:rsidRPr="00EF2D2B">
        <w:rPr>
          <w:spacing w:val="6"/>
        </w:rPr>
        <w:t>General</w:t>
      </w:r>
      <w:r w:rsidRPr="00EF2D2B">
        <w:rPr>
          <w:spacing w:val="6"/>
        </w:rPr>
        <w:tab/>
        <w:t>27</w:t>
      </w:r>
    </w:p>
    <w:p w:rsidR="001C4C31" w:rsidRPr="00B43894"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58" w:after="0"/>
        <w:contextualSpacing w:val="0"/>
        <w:rPr>
          <w:spacing w:val="6"/>
        </w:rPr>
      </w:pPr>
      <w:r w:rsidRPr="00EF2D2B">
        <w:rPr>
          <w:spacing w:val="6"/>
        </w:rPr>
        <w:t>Special</w:t>
      </w:r>
      <w:r w:rsidRPr="00B43894">
        <w:rPr>
          <w:spacing w:val="6"/>
        </w:rPr>
        <w:t xml:space="preserve"> </w:t>
      </w:r>
      <w:r w:rsidRPr="00EF2D2B">
        <w:rPr>
          <w:spacing w:val="6"/>
        </w:rPr>
        <w:t>protection</w:t>
      </w:r>
      <w:r w:rsidRPr="00B43894">
        <w:rPr>
          <w:spacing w:val="6"/>
        </w:rPr>
        <w:t xml:space="preserve"> schemes</w:t>
      </w:r>
      <w:r w:rsidRPr="00B43894">
        <w:rPr>
          <w:spacing w:val="6"/>
        </w:rPr>
        <w:tab/>
      </w:r>
      <w:r w:rsidRPr="00EF2D2B">
        <w:rPr>
          <w:spacing w:val="6"/>
        </w:rPr>
        <w:t>27</w:t>
      </w:r>
    </w:p>
    <w:p w:rsidR="001C4C31" w:rsidRPr="00B43894"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58" w:after="0"/>
        <w:contextualSpacing w:val="0"/>
        <w:rPr>
          <w:spacing w:val="6"/>
        </w:rPr>
      </w:pPr>
      <w:r w:rsidRPr="00EF2D2B">
        <w:rPr>
          <w:spacing w:val="6"/>
        </w:rPr>
        <w:t xml:space="preserve">Predictive dynamic </w:t>
      </w:r>
      <w:r w:rsidRPr="00B43894">
        <w:rPr>
          <w:spacing w:val="6"/>
        </w:rPr>
        <w:t xml:space="preserve">stability maintaining </w:t>
      </w:r>
      <w:r w:rsidRPr="00EF2D2B">
        <w:rPr>
          <w:spacing w:val="6"/>
        </w:rPr>
        <w:t>system</w:t>
      </w:r>
      <w:r w:rsidRPr="00EF2D2B">
        <w:rPr>
          <w:spacing w:val="6"/>
        </w:rPr>
        <w:tab/>
        <w:t>30</w:t>
      </w:r>
    </w:p>
    <w:p w:rsidR="001C4C31" w:rsidRPr="00B43894"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58" w:after="0"/>
        <w:contextualSpacing w:val="0"/>
        <w:rPr>
          <w:spacing w:val="6"/>
        </w:rPr>
      </w:pPr>
      <w:r w:rsidRPr="00EF2D2B">
        <w:rPr>
          <w:spacing w:val="6"/>
        </w:rPr>
        <w:t>Under voltage</w:t>
      </w:r>
      <w:r w:rsidRPr="00B43894">
        <w:rPr>
          <w:spacing w:val="6"/>
        </w:rPr>
        <w:t xml:space="preserve"> </w:t>
      </w:r>
      <w:r w:rsidRPr="00EF2D2B">
        <w:rPr>
          <w:spacing w:val="6"/>
        </w:rPr>
        <w:t>load</w:t>
      </w:r>
      <w:r w:rsidRPr="00B43894">
        <w:rPr>
          <w:spacing w:val="6"/>
        </w:rPr>
        <w:t xml:space="preserve"> shedding</w:t>
      </w:r>
      <w:r w:rsidRPr="00B43894">
        <w:rPr>
          <w:spacing w:val="6"/>
        </w:rPr>
        <w:tab/>
      </w:r>
      <w:r w:rsidRPr="00EF2D2B">
        <w:rPr>
          <w:spacing w:val="6"/>
        </w:rPr>
        <w:t>31</w:t>
      </w:r>
    </w:p>
    <w:p w:rsidR="001C4C31" w:rsidRPr="00B43894"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58" w:after="0"/>
        <w:contextualSpacing w:val="0"/>
        <w:rPr>
          <w:spacing w:val="6"/>
        </w:rPr>
      </w:pPr>
      <w:r w:rsidRPr="00B43894">
        <w:rPr>
          <w:spacing w:val="6"/>
        </w:rPr>
        <w:t>Phenomenon assumption type WAMPAC</w:t>
      </w:r>
      <w:r w:rsidRPr="00B43894">
        <w:rPr>
          <w:spacing w:val="6"/>
        </w:rPr>
        <w:tab/>
      </w:r>
      <w:r w:rsidRPr="00EF2D2B">
        <w:rPr>
          <w:spacing w:val="6"/>
        </w:rPr>
        <w:t>33</w:t>
      </w:r>
    </w:p>
    <w:p w:rsidR="001C4C31" w:rsidRPr="00B43894"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58" w:after="0"/>
        <w:contextualSpacing w:val="0"/>
        <w:rPr>
          <w:spacing w:val="6"/>
        </w:rPr>
      </w:pPr>
      <w:r w:rsidRPr="00EF2D2B">
        <w:rPr>
          <w:spacing w:val="6"/>
        </w:rPr>
        <w:t>Phasor Data</w:t>
      </w:r>
      <w:r w:rsidRPr="00B43894">
        <w:rPr>
          <w:spacing w:val="6"/>
        </w:rPr>
        <w:t xml:space="preserve"> Concentrator </w:t>
      </w:r>
      <w:r w:rsidRPr="00EF2D2B">
        <w:rPr>
          <w:spacing w:val="6"/>
        </w:rPr>
        <w:t>(PDC)</w:t>
      </w:r>
      <w:r w:rsidRPr="00EF2D2B">
        <w:rPr>
          <w:spacing w:val="6"/>
        </w:rPr>
        <w:tab/>
        <w:t>36</w:t>
      </w:r>
    </w:p>
    <w:p w:rsidR="001C4C31" w:rsidRPr="00EF2D2B" w:rsidRDefault="001C4C31" w:rsidP="00472036">
      <w:pPr>
        <w:pStyle w:val="ListParagraph"/>
        <w:widowControl w:val="0"/>
        <w:numPr>
          <w:ilvl w:val="0"/>
          <w:numId w:val="13"/>
        </w:numPr>
        <w:tabs>
          <w:tab w:val="left" w:pos="0"/>
          <w:tab w:val="left" w:pos="954"/>
          <w:tab w:val="left" w:pos="955"/>
          <w:tab w:val="right" w:leader="dot" w:pos="9625"/>
        </w:tabs>
        <w:autoSpaceDE w:val="0"/>
        <w:autoSpaceDN w:val="0"/>
        <w:spacing w:before="58" w:after="0"/>
      </w:pPr>
      <w:r w:rsidRPr="00CE2AC2">
        <w:rPr>
          <w:spacing w:val="7"/>
        </w:rPr>
        <w:t>Modelling</w:t>
      </w:r>
      <w:r w:rsidRPr="00CE2AC2">
        <w:rPr>
          <w:spacing w:val="13"/>
        </w:rPr>
        <w:t xml:space="preserve"> </w:t>
      </w:r>
      <w:r w:rsidRPr="00CE2AC2">
        <w:rPr>
          <w:spacing w:val="7"/>
        </w:rPr>
        <w:t>considerations</w:t>
      </w:r>
      <w:r w:rsidRPr="00CE2AC2">
        <w:rPr>
          <w:spacing w:val="7"/>
        </w:rPr>
        <w:tab/>
      </w:r>
      <w:r w:rsidRPr="00CE2AC2">
        <w:rPr>
          <w:spacing w:val="6"/>
        </w:rPr>
        <w:t>41</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101" w:after="0"/>
        <w:ind w:hanging="570"/>
        <w:contextualSpacing w:val="0"/>
      </w:pPr>
      <w:r w:rsidRPr="00EF2D2B">
        <w:rPr>
          <w:spacing w:val="6"/>
        </w:rPr>
        <w:t>General</w:t>
      </w:r>
      <w:r w:rsidRPr="00EF2D2B">
        <w:rPr>
          <w:spacing w:val="6"/>
        </w:rPr>
        <w:tab/>
        <w:t>41</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61" w:after="0"/>
        <w:ind w:hanging="570"/>
        <w:contextualSpacing w:val="0"/>
      </w:pPr>
      <w:r w:rsidRPr="00EF2D2B">
        <w:rPr>
          <w:spacing w:val="6"/>
        </w:rPr>
        <w:t>System</w:t>
      </w:r>
      <w:r w:rsidRPr="00EF2D2B">
        <w:rPr>
          <w:spacing w:val="17"/>
        </w:rPr>
        <w:t xml:space="preserve"> </w:t>
      </w:r>
      <w:r w:rsidRPr="00EF2D2B">
        <w:rPr>
          <w:spacing w:val="7"/>
        </w:rPr>
        <w:t>hierarchy</w:t>
      </w:r>
      <w:r w:rsidRPr="00EF2D2B">
        <w:rPr>
          <w:spacing w:val="7"/>
        </w:rPr>
        <w:tab/>
      </w:r>
      <w:r w:rsidRPr="00EF2D2B">
        <w:rPr>
          <w:spacing w:val="6"/>
        </w:rPr>
        <w:t>42</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60" w:after="0"/>
        <w:ind w:hanging="570"/>
        <w:contextualSpacing w:val="0"/>
      </w:pPr>
      <w:r w:rsidRPr="00EF2D2B">
        <w:rPr>
          <w:spacing w:val="4"/>
        </w:rPr>
        <w:t>PMU</w:t>
      </w:r>
      <w:r w:rsidRPr="00EF2D2B">
        <w:rPr>
          <w:spacing w:val="16"/>
        </w:rPr>
        <w:t xml:space="preserve"> </w:t>
      </w:r>
      <w:r w:rsidRPr="00EF2D2B">
        <w:rPr>
          <w:spacing w:val="6"/>
        </w:rPr>
        <w:t>model</w:t>
      </w:r>
      <w:r w:rsidRPr="00EF2D2B">
        <w:rPr>
          <w:spacing w:val="6"/>
        </w:rPr>
        <w:tab/>
        <w:t>43</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ind w:hanging="570"/>
        <w:contextualSpacing w:val="0"/>
      </w:pPr>
      <w:r w:rsidRPr="00EF2D2B">
        <w:rPr>
          <w:spacing w:val="6"/>
        </w:rPr>
        <w:t>Phasor Data</w:t>
      </w:r>
      <w:r w:rsidRPr="00EF2D2B">
        <w:rPr>
          <w:spacing w:val="25"/>
        </w:rPr>
        <w:t xml:space="preserve"> </w:t>
      </w:r>
      <w:r w:rsidRPr="00EF2D2B">
        <w:rPr>
          <w:spacing w:val="7"/>
        </w:rPr>
        <w:t>Concentrators</w:t>
      </w:r>
      <w:r w:rsidRPr="00EF2D2B">
        <w:rPr>
          <w:spacing w:val="15"/>
        </w:rPr>
        <w:t xml:space="preserve"> </w:t>
      </w:r>
      <w:r w:rsidRPr="00EF2D2B">
        <w:rPr>
          <w:spacing w:val="6"/>
        </w:rPr>
        <w:t>(PDCs)</w:t>
      </w:r>
      <w:r w:rsidRPr="00EF2D2B">
        <w:rPr>
          <w:spacing w:val="6"/>
        </w:rPr>
        <w:tab/>
        <w:t>44</w:t>
      </w:r>
    </w:p>
    <w:p w:rsidR="001C4C31" w:rsidRPr="00EF2D2B"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61" w:after="0"/>
        <w:contextualSpacing w:val="0"/>
      </w:pPr>
      <w:r w:rsidRPr="00EF2D2B">
        <w:rPr>
          <w:spacing w:val="6"/>
        </w:rPr>
        <w:t>General</w:t>
      </w:r>
      <w:r w:rsidRPr="00EF2D2B">
        <w:rPr>
          <w:spacing w:val="6"/>
        </w:rPr>
        <w:tab/>
        <w:t>44</w:t>
      </w:r>
    </w:p>
    <w:p w:rsidR="001C4C31" w:rsidRPr="00EF2D2B"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60" w:after="0"/>
        <w:contextualSpacing w:val="0"/>
      </w:pPr>
      <w:r w:rsidRPr="00EF2D2B">
        <w:rPr>
          <w:spacing w:val="7"/>
        </w:rPr>
        <w:t>Substation</w:t>
      </w:r>
      <w:r w:rsidRPr="00EF2D2B">
        <w:rPr>
          <w:spacing w:val="17"/>
        </w:rPr>
        <w:t xml:space="preserve"> </w:t>
      </w:r>
      <w:r w:rsidRPr="00EF2D2B">
        <w:rPr>
          <w:spacing w:val="5"/>
        </w:rPr>
        <w:t>PDC</w:t>
      </w:r>
      <w:r w:rsidRPr="00EF2D2B">
        <w:rPr>
          <w:spacing w:val="14"/>
        </w:rPr>
        <w:t xml:space="preserve"> </w:t>
      </w:r>
      <w:r w:rsidRPr="00EF2D2B">
        <w:rPr>
          <w:spacing w:val="8"/>
        </w:rPr>
        <w:t>model</w:t>
      </w:r>
      <w:r w:rsidRPr="00EF2D2B">
        <w:rPr>
          <w:spacing w:val="8"/>
        </w:rPr>
        <w:tab/>
      </w:r>
      <w:r w:rsidRPr="00EF2D2B">
        <w:rPr>
          <w:spacing w:val="6"/>
        </w:rPr>
        <w:t>44</w:t>
      </w:r>
    </w:p>
    <w:p w:rsidR="001C4C31" w:rsidRPr="00EF2D2B"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60" w:after="0"/>
        <w:contextualSpacing w:val="0"/>
      </w:pPr>
      <w:r w:rsidRPr="00EF2D2B">
        <w:rPr>
          <w:spacing w:val="7"/>
        </w:rPr>
        <w:t xml:space="preserve">Regional </w:t>
      </w:r>
      <w:r w:rsidRPr="00EF2D2B">
        <w:rPr>
          <w:spacing w:val="3"/>
        </w:rPr>
        <w:t xml:space="preserve">or </w:t>
      </w:r>
      <w:r w:rsidRPr="00EF2D2B">
        <w:rPr>
          <w:spacing w:val="6"/>
        </w:rPr>
        <w:t>system</w:t>
      </w:r>
      <w:r w:rsidRPr="00EF2D2B">
        <w:rPr>
          <w:spacing w:val="36"/>
        </w:rPr>
        <w:t xml:space="preserve"> </w:t>
      </w:r>
      <w:r w:rsidRPr="00EF2D2B">
        <w:rPr>
          <w:spacing w:val="6"/>
        </w:rPr>
        <w:t>level</w:t>
      </w:r>
      <w:r w:rsidRPr="00EF2D2B">
        <w:rPr>
          <w:spacing w:val="15"/>
        </w:rPr>
        <w:t xml:space="preserve"> </w:t>
      </w:r>
      <w:r w:rsidRPr="00EF2D2B">
        <w:rPr>
          <w:spacing w:val="5"/>
        </w:rPr>
        <w:t>PDC</w:t>
      </w:r>
      <w:r w:rsidRPr="00EF2D2B">
        <w:rPr>
          <w:spacing w:val="5"/>
        </w:rPr>
        <w:tab/>
      </w:r>
      <w:r w:rsidRPr="00EF2D2B">
        <w:rPr>
          <w:spacing w:val="6"/>
        </w:rPr>
        <w:t>45</w:t>
      </w:r>
    </w:p>
    <w:p w:rsidR="001C4C31" w:rsidRPr="00EF2D2B" w:rsidRDefault="001C4C31" w:rsidP="00472036">
      <w:pPr>
        <w:pStyle w:val="ListParagraph"/>
        <w:widowControl w:val="0"/>
        <w:numPr>
          <w:ilvl w:val="2"/>
          <w:numId w:val="13"/>
        </w:numPr>
        <w:tabs>
          <w:tab w:val="left" w:pos="0"/>
          <w:tab w:val="left" w:pos="2259"/>
          <w:tab w:val="left" w:pos="2260"/>
          <w:tab w:val="right" w:leader="dot" w:pos="9625"/>
        </w:tabs>
        <w:autoSpaceDE w:val="0"/>
        <w:autoSpaceDN w:val="0"/>
        <w:spacing w:before="61" w:after="0"/>
        <w:contextualSpacing w:val="0"/>
      </w:pPr>
      <w:r w:rsidRPr="00EF2D2B">
        <w:rPr>
          <w:spacing w:val="7"/>
        </w:rPr>
        <w:t>Quality</w:t>
      </w:r>
      <w:r w:rsidRPr="00EF2D2B">
        <w:rPr>
          <w:spacing w:val="7"/>
        </w:rPr>
        <w:tab/>
      </w:r>
      <w:r w:rsidRPr="00EF2D2B">
        <w:rPr>
          <w:spacing w:val="6"/>
        </w:rPr>
        <w:t>45</w:t>
      </w:r>
    </w:p>
    <w:p w:rsidR="001C4C31" w:rsidRPr="00EF2D2B" w:rsidRDefault="001C4C31" w:rsidP="00472036">
      <w:pPr>
        <w:pStyle w:val="ListParagraph"/>
        <w:widowControl w:val="0"/>
        <w:numPr>
          <w:ilvl w:val="0"/>
          <w:numId w:val="13"/>
        </w:numPr>
        <w:tabs>
          <w:tab w:val="left" w:pos="0"/>
          <w:tab w:val="left" w:pos="954"/>
          <w:tab w:val="left" w:pos="955"/>
          <w:tab w:val="right" w:leader="dot" w:pos="9625"/>
        </w:tabs>
        <w:autoSpaceDE w:val="0"/>
        <w:autoSpaceDN w:val="0"/>
        <w:spacing w:before="58" w:after="0"/>
        <w:ind w:hanging="397"/>
        <w:contextualSpacing w:val="0"/>
      </w:pPr>
      <w:r w:rsidRPr="00EF2D2B">
        <w:rPr>
          <w:spacing w:val="7"/>
        </w:rPr>
        <w:t>Communication</w:t>
      </w:r>
      <w:r w:rsidRPr="00EF2D2B">
        <w:rPr>
          <w:spacing w:val="14"/>
        </w:rPr>
        <w:t xml:space="preserve"> </w:t>
      </w:r>
      <w:r w:rsidRPr="00EF2D2B">
        <w:rPr>
          <w:spacing w:val="7"/>
        </w:rPr>
        <w:t>requirements</w:t>
      </w:r>
      <w:r w:rsidRPr="00EF2D2B">
        <w:rPr>
          <w:spacing w:val="7"/>
        </w:rPr>
        <w:tab/>
      </w:r>
      <w:r w:rsidRPr="00EF2D2B">
        <w:rPr>
          <w:spacing w:val="6"/>
        </w:rPr>
        <w:t>46</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101" w:after="0"/>
        <w:ind w:hanging="570"/>
        <w:contextualSpacing w:val="0"/>
      </w:pPr>
      <w:r w:rsidRPr="00EF2D2B">
        <w:rPr>
          <w:spacing w:val="6"/>
        </w:rPr>
        <w:t>General</w:t>
      </w:r>
      <w:r w:rsidRPr="00EF2D2B">
        <w:rPr>
          <w:spacing w:val="6"/>
        </w:rPr>
        <w:tab/>
        <w:t>46</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61" w:after="0"/>
        <w:ind w:hanging="570"/>
        <w:contextualSpacing w:val="0"/>
      </w:pPr>
      <w:r w:rsidRPr="00EF2D2B">
        <w:rPr>
          <w:spacing w:val="6"/>
        </w:rPr>
        <w:t xml:space="preserve">Direct </w:t>
      </w:r>
      <w:r w:rsidRPr="00EF2D2B">
        <w:rPr>
          <w:spacing w:val="7"/>
        </w:rPr>
        <w:t xml:space="preserve">connection </w:t>
      </w:r>
      <w:r w:rsidRPr="00EF2D2B">
        <w:rPr>
          <w:spacing w:val="6"/>
        </w:rPr>
        <w:t xml:space="preserve">with </w:t>
      </w:r>
      <w:r w:rsidRPr="00EF2D2B">
        <w:rPr>
          <w:spacing w:val="7"/>
        </w:rPr>
        <w:t xml:space="preserve">tunnelling </w:t>
      </w:r>
      <w:r w:rsidRPr="00EF2D2B">
        <w:rPr>
          <w:spacing w:val="3"/>
        </w:rPr>
        <w:t>or</w:t>
      </w:r>
      <w:r w:rsidRPr="00EF2D2B">
        <w:rPr>
          <w:spacing w:val="49"/>
        </w:rPr>
        <w:t xml:space="preserve"> </w:t>
      </w:r>
      <w:r w:rsidRPr="00EF2D2B">
        <w:rPr>
          <w:spacing w:val="6"/>
        </w:rPr>
        <w:t>R-SV</w:t>
      </w:r>
      <w:r w:rsidRPr="00EF2D2B">
        <w:rPr>
          <w:spacing w:val="15"/>
        </w:rPr>
        <w:t xml:space="preserve"> </w:t>
      </w:r>
      <w:r w:rsidRPr="00EF2D2B">
        <w:rPr>
          <w:spacing w:val="6"/>
        </w:rPr>
        <w:t>service</w:t>
      </w:r>
      <w:r w:rsidRPr="00EF2D2B">
        <w:rPr>
          <w:spacing w:val="6"/>
        </w:rPr>
        <w:tab/>
        <w:t>46</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60" w:after="0"/>
        <w:ind w:hanging="570"/>
        <w:contextualSpacing w:val="0"/>
      </w:pPr>
      <w:r w:rsidRPr="00EF2D2B">
        <w:rPr>
          <w:spacing w:val="5"/>
        </w:rPr>
        <w:t>The</w:t>
      </w:r>
      <w:r w:rsidRPr="00EF2D2B">
        <w:rPr>
          <w:spacing w:val="14"/>
        </w:rPr>
        <w:t xml:space="preserve"> </w:t>
      </w:r>
      <w:r w:rsidRPr="00EF2D2B">
        <w:rPr>
          <w:spacing w:val="7"/>
        </w:rPr>
        <w:t>gateway</w:t>
      </w:r>
      <w:r w:rsidRPr="00EF2D2B">
        <w:rPr>
          <w:spacing w:val="12"/>
        </w:rPr>
        <w:t xml:space="preserve"> </w:t>
      </w:r>
      <w:r w:rsidRPr="00EF2D2B">
        <w:rPr>
          <w:spacing w:val="7"/>
        </w:rPr>
        <w:t>approach</w:t>
      </w:r>
      <w:r w:rsidRPr="00EF2D2B">
        <w:rPr>
          <w:spacing w:val="7"/>
        </w:rPr>
        <w:tab/>
      </w:r>
      <w:r w:rsidRPr="00EF2D2B">
        <w:rPr>
          <w:spacing w:val="6"/>
        </w:rPr>
        <w:t>48</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ind w:hanging="570"/>
        <w:contextualSpacing w:val="0"/>
      </w:pPr>
      <w:r w:rsidRPr="00EF2D2B">
        <w:rPr>
          <w:spacing w:val="7"/>
        </w:rPr>
        <w:t>Requirement</w:t>
      </w:r>
      <w:r w:rsidRPr="00EF2D2B">
        <w:rPr>
          <w:spacing w:val="12"/>
        </w:rPr>
        <w:t xml:space="preserve"> </w:t>
      </w:r>
      <w:r w:rsidRPr="00EF2D2B">
        <w:rPr>
          <w:spacing w:val="7"/>
        </w:rPr>
        <w:t>summary</w:t>
      </w:r>
      <w:r w:rsidRPr="00EF2D2B">
        <w:rPr>
          <w:spacing w:val="7"/>
        </w:rPr>
        <w:tab/>
      </w:r>
      <w:r w:rsidRPr="00EF2D2B">
        <w:rPr>
          <w:spacing w:val="6"/>
        </w:rPr>
        <w:t>49</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EF2D2B">
        <w:t>TCP use</w:t>
      </w:r>
      <w:r w:rsidRPr="00EF2D2B">
        <w:tab/>
        <w:t>51</w:t>
      </w:r>
    </w:p>
    <w:p w:rsidR="001C4C31" w:rsidRPr="00D33687" w:rsidRDefault="001C4C31" w:rsidP="00472036">
      <w:pPr>
        <w:pStyle w:val="ListParagraph"/>
        <w:widowControl w:val="0"/>
        <w:numPr>
          <w:ilvl w:val="0"/>
          <w:numId w:val="13"/>
        </w:numPr>
        <w:tabs>
          <w:tab w:val="left" w:pos="0"/>
          <w:tab w:val="left" w:pos="1523"/>
          <w:tab w:val="left" w:pos="1524"/>
          <w:tab w:val="right" w:leader="dot" w:pos="9625"/>
        </w:tabs>
        <w:autoSpaceDE w:val="0"/>
        <w:autoSpaceDN w:val="0"/>
        <w:spacing w:before="58" w:after="0"/>
      </w:pPr>
      <w:r w:rsidRPr="00EF2D2B">
        <w:lastRenderedPageBreak/>
        <w:t>Security model</w:t>
      </w:r>
      <w:r w:rsidRPr="00D33687">
        <w:tab/>
        <w:t>51</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EF2D2B">
        <w:t>General</w:t>
      </w:r>
      <w:r w:rsidRPr="00EF2D2B">
        <w:tab/>
        <w:t>51</w:t>
      </w:r>
    </w:p>
    <w:p w:rsidR="001C4C31" w:rsidRPr="00731F96"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731F96">
        <w:t>Key management and cryptographic support</w:t>
      </w:r>
      <w:r w:rsidRPr="00731F96">
        <w:tab/>
        <w:t>54</w:t>
      </w:r>
    </w:p>
    <w:p w:rsidR="001C4C31" w:rsidRPr="00731F96"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731F96">
        <w:t>Key Distribution Center (KDC)</w:t>
      </w:r>
      <w:r w:rsidRPr="00731F96">
        <w:tab/>
        <w:t>56</w:t>
      </w:r>
    </w:p>
    <w:p w:rsidR="001C4C31" w:rsidRPr="00D33687" w:rsidRDefault="001C4C31" w:rsidP="00472036">
      <w:pPr>
        <w:pStyle w:val="ListParagraph"/>
        <w:widowControl w:val="0"/>
        <w:numPr>
          <w:ilvl w:val="0"/>
          <w:numId w:val="13"/>
        </w:numPr>
        <w:tabs>
          <w:tab w:val="left" w:pos="0"/>
          <w:tab w:val="left" w:pos="1523"/>
          <w:tab w:val="left" w:pos="1524"/>
          <w:tab w:val="right" w:leader="dot" w:pos="9625"/>
        </w:tabs>
        <w:autoSpaceDE w:val="0"/>
        <w:autoSpaceDN w:val="0"/>
        <w:spacing w:before="58" w:after="0"/>
      </w:pPr>
      <w:r w:rsidRPr="00EF2D2B">
        <w:t>Services</w:t>
      </w:r>
      <w:r w:rsidRPr="00D33687">
        <w:tab/>
        <w:t>56</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EF2D2B">
        <w:t xml:space="preserve">General ................. </w:t>
      </w:r>
      <w:r w:rsidRPr="00EF2D2B">
        <w:tab/>
        <w:t>56</w:t>
      </w:r>
    </w:p>
    <w:p w:rsidR="001C4C31" w:rsidRPr="00731F96"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731F96">
        <w:t>Command..</w:t>
      </w:r>
      <w:r w:rsidRPr="00731F96">
        <w:tab/>
        <w:t>57</w:t>
      </w:r>
    </w:p>
    <w:p w:rsidR="001C4C31" w:rsidRPr="00D33687"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731F96">
        <w:t>General</w:t>
      </w:r>
      <w:r w:rsidRPr="00D33687">
        <w:tab/>
        <w:t>57</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Control blocks</w:t>
      </w:r>
      <w:r w:rsidRPr="00EF2D2B">
        <w:tab/>
        <w:t>57</w:t>
      </w:r>
    </w:p>
    <w:p w:rsidR="001C4C31" w:rsidRPr="00731F96"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731F96">
        <w:t>Configuration request service</w:t>
      </w:r>
      <w:r w:rsidRPr="00731F96">
        <w:tab/>
        <w:t>61</w:t>
      </w:r>
    </w:p>
    <w:p w:rsidR="001C4C31" w:rsidRPr="00731F96"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731F96">
        <w:t>General</w:t>
      </w:r>
      <w:r w:rsidRPr="00731F96">
        <w:tab/>
        <w:t>61</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CFG-1 Type of configuration data – Capabilities</w:t>
      </w:r>
      <w:r w:rsidRPr="00EF2D2B">
        <w:tab/>
        <w:t>61</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CFG-2 or CFG-3 Type of configuration data  – Measurements</w:t>
      </w:r>
      <w:r w:rsidRPr="00EF2D2B">
        <w:tab/>
        <w:t>61</w:t>
      </w:r>
    </w:p>
    <w:p w:rsidR="001C4C31" w:rsidRPr="00D33687"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Online access to CFG-1 configuration information</w:t>
      </w:r>
      <w:r w:rsidRPr="00D33687">
        <w:tab/>
        <w:t>61</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Offline access to CFG-2 and CFG-3 configuration information</w:t>
      </w:r>
      <w:r w:rsidRPr="00EF2D2B">
        <w:tab/>
        <w:t>61</w:t>
      </w:r>
    </w:p>
    <w:p w:rsidR="001C4C31" w:rsidRPr="00731F96"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731F96">
        <w:t>Header information service</w:t>
      </w:r>
      <w:r w:rsidRPr="00731F96">
        <w:tab/>
        <w:t>61</w:t>
      </w:r>
    </w:p>
    <w:p w:rsidR="001C4C31" w:rsidRPr="00731F96"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731F96">
        <w:t>Data transmission service</w:t>
      </w:r>
      <w:r w:rsidRPr="00731F96">
        <w:tab/>
        <w:t>62</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General</w:t>
      </w:r>
      <w:r w:rsidRPr="00EF2D2B">
        <w:tab/>
        <w:t>62</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General</w:t>
      </w:r>
      <w:r w:rsidRPr="00EF2D2B">
        <w:tab/>
        <w:t>62</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Coding synchrophasors data</w:t>
      </w:r>
      <w:r w:rsidRPr="00EF2D2B">
        <w:tab/>
        <w:t>62</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EF2D2B">
        <w:t>Specific data mapping</w:t>
      </w:r>
      <w:r w:rsidRPr="00EF2D2B">
        <w:tab/>
        <w:t>62</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EF2D2B">
        <w:t>Common data fields</w:t>
      </w:r>
      <w:r w:rsidRPr="00EF2D2B">
        <w:tab/>
        <w:t>62</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EF2D2B">
        <w:t>Time synchronization</w:t>
      </w:r>
      <w:r w:rsidRPr="00EF2D2B">
        <w:tab/>
        <w:t>63</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EF2D2B">
        <w:t>Redundancy</w:t>
      </w:r>
      <w:r w:rsidRPr="00EF2D2B">
        <w:tab/>
        <w:t>63</w:t>
      </w:r>
    </w:p>
    <w:p w:rsidR="001C4C31" w:rsidRPr="00EF2D2B" w:rsidRDefault="001C4C31" w:rsidP="00472036">
      <w:pPr>
        <w:pStyle w:val="ListParagraph"/>
        <w:widowControl w:val="0"/>
        <w:numPr>
          <w:ilvl w:val="0"/>
          <w:numId w:val="13"/>
        </w:numPr>
        <w:tabs>
          <w:tab w:val="left" w:pos="0"/>
          <w:tab w:val="left" w:pos="1523"/>
          <w:tab w:val="left" w:pos="1524"/>
          <w:tab w:val="right" w:leader="dot" w:pos="9625"/>
        </w:tabs>
        <w:autoSpaceDE w:val="0"/>
        <w:autoSpaceDN w:val="0"/>
        <w:spacing w:before="58" w:after="0"/>
      </w:pPr>
      <w:r w:rsidRPr="00EF2D2B">
        <w:t>IEC logical node modelling for synchrophasor measurements</w:t>
      </w:r>
      <w:r w:rsidRPr="00EF2D2B">
        <w:tab/>
        <w:t>64</w:t>
      </w:r>
    </w:p>
    <w:p w:rsidR="001C4C31" w:rsidRPr="00D33687" w:rsidRDefault="001C4C31" w:rsidP="00472036">
      <w:pPr>
        <w:pStyle w:val="ListParagraph"/>
        <w:widowControl w:val="0"/>
        <w:numPr>
          <w:ilvl w:val="0"/>
          <w:numId w:val="13"/>
        </w:numPr>
        <w:tabs>
          <w:tab w:val="left" w:pos="0"/>
          <w:tab w:val="left" w:pos="1523"/>
          <w:tab w:val="left" w:pos="1524"/>
          <w:tab w:val="right" w:leader="dot" w:pos="9625"/>
        </w:tabs>
        <w:autoSpaceDE w:val="0"/>
        <w:autoSpaceDN w:val="0"/>
        <w:spacing w:before="58" w:after="0"/>
      </w:pPr>
      <w:r w:rsidRPr="00EF2D2B">
        <w:t>Synchrophasor profile mappings</w:t>
      </w:r>
      <w:r w:rsidRPr="00D33687">
        <w:tab/>
        <w:t>66</w:t>
      </w:r>
    </w:p>
    <w:p w:rsidR="001C4C31" w:rsidRPr="00EF2D2B"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EF2D2B">
        <w:t>General overview</w:t>
      </w:r>
      <w:r w:rsidRPr="00EF2D2B">
        <w:tab/>
        <w:t>66</w:t>
      </w:r>
    </w:p>
    <w:p w:rsidR="001C4C31" w:rsidRPr="00731F96"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731F96">
        <w:t>A-Profiles</w:t>
      </w:r>
      <w:r w:rsidRPr="00731F96">
        <w:tab/>
        <w:t>66</w:t>
      </w:r>
    </w:p>
    <w:p w:rsidR="001C4C31" w:rsidRPr="00731F96" w:rsidRDefault="001C4C31" w:rsidP="00472036">
      <w:pPr>
        <w:pStyle w:val="ListParagraph"/>
        <w:widowControl w:val="0"/>
        <w:numPr>
          <w:ilvl w:val="1"/>
          <w:numId w:val="13"/>
        </w:numPr>
        <w:tabs>
          <w:tab w:val="left" w:pos="0"/>
          <w:tab w:val="left" w:pos="1523"/>
          <w:tab w:val="left" w:pos="1524"/>
          <w:tab w:val="right" w:leader="dot" w:pos="9625"/>
        </w:tabs>
        <w:autoSpaceDE w:val="0"/>
        <w:autoSpaceDN w:val="0"/>
        <w:spacing w:before="58" w:after="0"/>
      </w:pPr>
      <w:r w:rsidRPr="00731F96">
        <w:t>A-Profile GOOSE, SV, and management A-Profile</w:t>
      </w:r>
      <w:r w:rsidRPr="00731F96">
        <w:tab/>
        <w:t>67</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Application layer</w:t>
      </w:r>
      <w:r w:rsidRPr="00EF2D2B">
        <w:tab/>
        <w:t>67</w:t>
      </w:r>
    </w:p>
    <w:p w:rsidR="001C4C31" w:rsidRPr="00EF2D2B" w:rsidRDefault="001C4C31" w:rsidP="00472036">
      <w:pPr>
        <w:pStyle w:val="ListParagraph"/>
        <w:widowControl w:val="0"/>
        <w:numPr>
          <w:ilvl w:val="2"/>
          <w:numId w:val="13"/>
        </w:numPr>
        <w:tabs>
          <w:tab w:val="left" w:pos="0"/>
          <w:tab w:val="left" w:pos="1523"/>
          <w:tab w:val="left" w:pos="1524"/>
          <w:tab w:val="right" w:leader="dot" w:pos="9625"/>
        </w:tabs>
        <w:autoSpaceDE w:val="0"/>
        <w:autoSpaceDN w:val="0"/>
        <w:spacing w:before="58" w:after="0"/>
      </w:pPr>
      <w:r w:rsidRPr="00EF2D2B">
        <w:t>Session layer</w:t>
      </w:r>
      <w:r w:rsidRPr="00EF2D2B">
        <w:tab/>
        <w:t>71</w:t>
      </w:r>
    </w:p>
    <w:p w:rsidR="001C4C31" w:rsidRPr="00EF2D2B" w:rsidRDefault="001C4C31" w:rsidP="00472036">
      <w:pPr>
        <w:pStyle w:val="ListParagraph"/>
        <w:widowControl w:val="0"/>
        <w:numPr>
          <w:ilvl w:val="2"/>
          <w:numId w:val="9"/>
        </w:numPr>
        <w:tabs>
          <w:tab w:val="left" w:pos="0"/>
          <w:tab w:val="left" w:pos="1523"/>
          <w:tab w:val="left" w:pos="1524"/>
          <w:tab w:val="right" w:leader="dot" w:pos="9625"/>
        </w:tabs>
        <w:autoSpaceDE w:val="0"/>
        <w:autoSpaceDN w:val="0"/>
        <w:spacing w:before="58" w:after="0"/>
      </w:pPr>
      <w:r w:rsidRPr="00EF2D2B">
        <w:t>Payload</w:t>
      </w:r>
      <w:r w:rsidRPr="00EF2D2B">
        <w:tab/>
        <w:t>76</w:t>
      </w:r>
    </w:p>
    <w:p w:rsidR="001C4C31" w:rsidRPr="00EF2D2B" w:rsidRDefault="001C4C31" w:rsidP="00472036">
      <w:pPr>
        <w:pStyle w:val="ListParagraph"/>
        <w:widowControl w:val="0"/>
        <w:numPr>
          <w:ilvl w:val="2"/>
          <w:numId w:val="9"/>
        </w:numPr>
        <w:tabs>
          <w:tab w:val="left" w:pos="0"/>
          <w:tab w:val="left" w:pos="1523"/>
          <w:tab w:val="left" w:pos="1524"/>
          <w:tab w:val="right" w:leader="dot" w:pos="9625"/>
        </w:tabs>
        <w:autoSpaceDE w:val="0"/>
        <w:autoSpaceDN w:val="0"/>
        <w:spacing w:before="58" w:after="0"/>
      </w:pPr>
      <w:r w:rsidRPr="00EF2D2B">
        <w:t>Signature</w:t>
      </w:r>
      <w:r w:rsidRPr="00EF2D2B">
        <w:tab/>
        <w:t>83</w:t>
      </w:r>
    </w:p>
    <w:p w:rsidR="001C4C31" w:rsidRPr="00EF2D2B" w:rsidRDefault="001C4C31" w:rsidP="00472036">
      <w:pPr>
        <w:pStyle w:val="ListParagraph"/>
        <w:widowControl w:val="0"/>
        <w:numPr>
          <w:ilvl w:val="2"/>
          <w:numId w:val="9"/>
        </w:numPr>
        <w:tabs>
          <w:tab w:val="left" w:pos="0"/>
          <w:tab w:val="left" w:pos="1523"/>
          <w:tab w:val="left" w:pos="1524"/>
          <w:tab w:val="right" w:leader="dot" w:pos="9625"/>
        </w:tabs>
        <w:autoSpaceDE w:val="0"/>
        <w:autoSpaceDN w:val="0"/>
        <w:spacing w:before="58" w:after="0"/>
      </w:pPr>
      <w:r w:rsidRPr="00EF2D2B">
        <w:t>ITU X.234 A-Profile options</w:t>
      </w:r>
      <w:r w:rsidRPr="00EF2D2B">
        <w:tab/>
        <w:t>84</w:t>
      </w:r>
    </w:p>
    <w:p w:rsidR="001C4C31" w:rsidRPr="00D33687" w:rsidRDefault="001C4C31" w:rsidP="00472036">
      <w:pPr>
        <w:pStyle w:val="ListParagraph"/>
        <w:widowControl w:val="0"/>
        <w:numPr>
          <w:ilvl w:val="1"/>
          <w:numId w:val="10"/>
        </w:numPr>
        <w:tabs>
          <w:tab w:val="left" w:pos="0"/>
          <w:tab w:val="left" w:pos="1523"/>
          <w:tab w:val="left" w:pos="1524"/>
          <w:tab w:val="right" w:leader="dot" w:pos="9625"/>
        </w:tabs>
        <w:autoSpaceDE w:val="0"/>
        <w:autoSpaceDN w:val="0"/>
        <w:spacing w:before="58" w:after="0"/>
      </w:pPr>
      <w:r w:rsidRPr="00EF2D2B">
        <w:t>KDC Profile</w:t>
      </w:r>
      <w:r w:rsidRPr="00D33687">
        <w:tab/>
        <w:t>85</w:t>
      </w:r>
    </w:p>
    <w:p w:rsidR="001C4C31" w:rsidRPr="00EF2D2B" w:rsidRDefault="001C4C31" w:rsidP="00472036">
      <w:pPr>
        <w:pStyle w:val="ListParagraph"/>
        <w:widowControl w:val="0"/>
        <w:numPr>
          <w:ilvl w:val="2"/>
          <w:numId w:val="10"/>
        </w:numPr>
        <w:tabs>
          <w:tab w:val="left" w:pos="0"/>
          <w:tab w:val="left" w:pos="1523"/>
          <w:tab w:val="left" w:pos="1524"/>
          <w:tab w:val="right" w:leader="dot" w:pos="9625"/>
        </w:tabs>
        <w:autoSpaceDE w:val="0"/>
        <w:autoSpaceDN w:val="0"/>
        <w:spacing w:before="58" w:after="0"/>
      </w:pPr>
      <w:r w:rsidRPr="00EF2D2B">
        <w:t>Signature Hash algorithm</w:t>
      </w:r>
      <w:r w:rsidRPr="00EF2D2B">
        <w:tab/>
        <w:t>85</w:t>
      </w:r>
    </w:p>
    <w:p w:rsidR="001C4C31" w:rsidRPr="00731F96" w:rsidRDefault="001C4C31" w:rsidP="00472036">
      <w:pPr>
        <w:pStyle w:val="ListParagraph"/>
        <w:widowControl w:val="0"/>
        <w:numPr>
          <w:ilvl w:val="2"/>
          <w:numId w:val="10"/>
        </w:numPr>
        <w:tabs>
          <w:tab w:val="left" w:pos="0"/>
          <w:tab w:val="left" w:pos="1523"/>
          <w:tab w:val="left" w:pos="1524"/>
          <w:tab w:val="right" w:leader="dot" w:pos="9625"/>
        </w:tabs>
        <w:autoSpaceDE w:val="0"/>
        <w:autoSpaceDN w:val="0"/>
        <w:spacing w:before="58" w:after="0"/>
      </w:pPr>
      <w:r w:rsidRPr="00731F96">
        <w:t>Identification payload</w:t>
      </w:r>
      <w:r w:rsidRPr="00731F96">
        <w:tab/>
        <w:t>86</w:t>
      </w:r>
    </w:p>
    <w:p w:rsidR="001C4C31" w:rsidRPr="00731F96" w:rsidRDefault="001C4C31" w:rsidP="00472036">
      <w:pPr>
        <w:pStyle w:val="ListParagraph"/>
        <w:widowControl w:val="0"/>
        <w:numPr>
          <w:ilvl w:val="2"/>
          <w:numId w:val="10"/>
        </w:numPr>
        <w:tabs>
          <w:tab w:val="left" w:pos="0"/>
          <w:tab w:val="left" w:pos="1523"/>
          <w:tab w:val="left" w:pos="1524"/>
          <w:tab w:val="right" w:leader="dot" w:pos="9625"/>
        </w:tabs>
        <w:autoSpaceDE w:val="0"/>
        <w:autoSpaceDN w:val="0"/>
        <w:spacing w:before="58" w:after="0"/>
      </w:pPr>
      <w:r w:rsidRPr="00731F96">
        <w:t>Payload identification</w:t>
      </w:r>
      <w:r w:rsidRPr="00731F96">
        <w:tab/>
        <w:t>88</w:t>
      </w:r>
    </w:p>
    <w:p w:rsidR="001C4C31" w:rsidRPr="00EF2D2B" w:rsidRDefault="001C4C31" w:rsidP="00472036">
      <w:pPr>
        <w:pStyle w:val="ListParagraph"/>
        <w:widowControl w:val="0"/>
        <w:numPr>
          <w:ilvl w:val="2"/>
          <w:numId w:val="10"/>
        </w:numPr>
        <w:tabs>
          <w:tab w:val="left" w:pos="0"/>
          <w:tab w:val="left" w:pos="1523"/>
          <w:tab w:val="left" w:pos="1524"/>
          <w:tab w:val="right" w:leader="dot" w:pos="9625"/>
        </w:tabs>
        <w:autoSpaceDE w:val="0"/>
        <w:autoSpaceDN w:val="0"/>
        <w:spacing w:before="58" w:after="0"/>
        <w:contextualSpacing w:val="0"/>
      </w:pPr>
      <w:r w:rsidRPr="00EF2D2B">
        <w:t>Policy response</w:t>
      </w:r>
      <w:r w:rsidRPr="00EF2D2B">
        <w:tab/>
        <w:t>91</w:t>
      </w:r>
    </w:p>
    <w:p w:rsidR="001C4C31" w:rsidRPr="00EF2D2B" w:rsidRDefault="00D80958" w:rsidP="00472036">
      <w:pPr>
        <w:pStyle w:val="TOC2"/>
        <w:numPr>
          <w:ilvl w:val="1"/>
          <w:numId w:val="13"/>
        </w:numPr>
        <w:tabs>
          <w:tab w:val="left" w:pos="0"/>
          <w:tab w:val="left" w:pos="1524"/>
          <w:tab w:val="right" w:leader="dot" w:pos="9625"/>
        </w:tabs>
        <w:spacing w:before="61" w:line="276" w:lineRule="auto"/>
        <w:ind w:hanging="570"/>
        <w:rPr>
          <w:sz w:val="24"/>
          <w:szCs w:val="24"/>
          <w:lang w:val="mn-MN"/>
        </w:rPr>
      </w:pPr>
      <w:hyperlink w:anchor="_TOC_250013" w:history="1">
        <w:r w:rsidR="001C4C31" w:rsidRPr="00EF2D2B">
          <w:rPr>
            <w:spacing w:val="6"/>
            <w:sz w:val="24"/>
            <w:szCs w:val="24"/>
            <w:lang w:val="mn-MN"/>
          </w:rPr>
          <w:t xml:space="preserve">Internet group </w:t>
        </w:r>
        <w:r w:rsidR="001C4C31" w:rsidRPr="00EF2D2B">
          <w:rPr>
            <w:spacing w:val="7"/>
            <w:sz w:val="24"/>
            <w:szCs w:val="24"/>
            <w:lang w:val="mn-MN"/>
          </w:rPr>
          <w:t xml:space="preserve">management </w:t>
        </w:r>
        <w:r w:rsidR="001C4C31" w:rsidRPr="00EF2D2B">
          <w:rPr>
            <w:spacing w:val="6"/>
            <w:sz w:val="24"/>
            <w:szCs w:val="24"/>
            <w:lang w:val="mn-MN"/>
          </w:rPr>
          <w:t>protocol version</w:t>
        </w:r>
        <w:r w:rsidR="001C4C31" w:rsidRPr="00EF2D2B">
          <w:rPr>
            <w:spacing w:val="52"/>
            <w:sz w:val="24"/>
            <w:szCs w:val="24"/>
            <w:lang w:val="mn-MN"/>
          </w:rPr>
          <w:t xml:space="preserve"> </w:t>
        </w:r>
        <w:r w:rsidR="001C4C31" w:rsidRPr="00EF2D2B">
          <w:rPr>
            <w:sz w:val="24"/>
            <w:szCs w:val="24"/>
            <w:lang w:val="mn-MN"/>
          </w:rPr>
          <w:t>3</w:t>
        </w:r>
        <w:r w:rsidR="001C4C31" w:rsidRPr="00EF2D2B">
          <w:rPr>
            <w:spacing w:val="18"/>
            <w:sz w:val="24"/>
            <w:szCs w:val="24"/>
            <w:lang w:val="mn-MN"/>
          </w:rPr>
          <w:t xml:space="preserve"> </w:t>
        </w:r>
        <w:r w:rsidR="001C4C31" w:rsidRPr="00EF2D2B">
          <w:rPr>
            <w:spacing w:val="8"/>
            <w:sz w:val="24"/>
            <w:szCs w:val="24"/>
            <w:lang w:val="mn-MN"/>
          </w:rPr>
          <w:t>A-Profile</w:t>
        </w:r>
        <w:r w:rsidR="001C4C31" w:rsidRPr="00EF2D2B">
          <w:rPr>
            <w:spacing w:val="8"/>
            <w:sz w:val="24"/>
            <w:szCs w:val="24"/>
            <w:lang w:val="mn-MN"/>
          </w:rPr>
          <w:tab/>
        </w:r>
        <w:r w:rsidR="001C4C31" w:rsidRPr="00EF2D2B">
          <w:rPr>
            <w:spacing w:val="6"/>
            <w:sz w:val="24"/>
            <w:szCs w:val="24"/>
            <w:lang w:val="mn-MN"/>
          </w:rPr>
          <w:t>94</w:t>
        </w:r>
      </w:hyperlink>
    </w:p>
    <w:p w:rsidR="001C4C31" w:rsidRPr="00EF2D2B" w:rsidRDefault="00D80958" w:rsidP="00472036">
      <w:pPr>
        <w:pStyle w:val="TOC2"/>
        <w:numPr>
          <w:ilvl w:val="1"/>
          <w:numId w:val="13"/>
        </w:numPr>
        <w:tabs>
          <w:tab w:val="left" w:pos="0"/>
          <w:tab w:val="left" w:pos="1524"/>
          <w:tab w:val="right" w:leader="dot" w:pos="9625"/>
        </w:tabs>
        <w:spacing w:before="60" w:line="276" w:lineRule="auto"/>
        <w:ind w:hanging="570"/>
        <w:rPr>
          <w:sz w:val="24"/>
          <w:szCs w:val="24"/>
          <w:lang w:val="mn-MN"/>
        </w:rPr>
      </w:pPr>
      <w:hyperlink w:anchor="_TOC_250012" w:history="1">
        <w:r w:rsidR="001C4C31" w:rsidRPr="00EF2D2B">
          <w:rPr>
            <w:spacing w:val="7"/>
            <w:sz w:val="24"/>
            <w:szCs w:val="24"/>
            <w:lang w:val="mn-MN"/>
          </w:rPr>
          <w:t>T-Profiles</w:t>
        </w:r>
        <w:r w:rsidR="001C4C31" w:rsidRPr="00EF2D2B">
          <w:rPr>
            <w:spacing w:val="7"/>
            <w:sz w:val="24"/>
            <w:szCs w:val="24"/>
            <w:lang w:val="mn-MN"/>
          </w:rPr>
          <w:tab/>
        </w:r>
        <w:r w:rsidR="001C4C31" w:rsidRPr="00EF2D2B">
          <w:rPr>
            <w:spacing w:val="6"/>
            <w:sz w:val="24"/>
            <w:szCs w:val="24"/>
            <w:lang w:val="mn-MN"/>
          </w:rPr>
          <w:t>94</w:t>
        </w:r>
      </w:hyperlink>
    </w:p>
    <w:p w:rsidR="001C4C31" w:rsidRPr="00EF2D2B" w:rsidRDefault="00D80958" w:rsidP="00472036">
      <w:pPr>
        <w:pStyle w:val="TOC3"/>
        <w:numPr>
          <w:ilvl w:val="2"/>
          <w:numId w:val="13"/>
        </w:numPr>
        <w:tabs>
          <w:tab w:val="left" w:pos="0"/>
          <w:tab w:val="left" w:pos="2260"/>
          <w:tab w:val="right" w:leader="dot" w:pos="9625"/>
        </w:tabs>
        <w:spacing w:before="61" w:line="276" w:lineRule="auto"/>
        <w:rPr>
          <w:sz w:val="24"/>
          <w:szCs w:val="24"/>
          <w:lang w:val="mn-MN"/>
        </w:rPr>
      </w:pPr>
      <w:hyperlink w:anchor="_TOC_250011" w:history="1">
        <w:r w:rsidR="001C4C31" w:rsidRPr="00EF2D2B">
          <w:rPr>
            <w:spacing w:val="6"/>
            <w:sz w:val="24"/>
            <w:szCs w:val="24"/>
            <w:lang w:val="mn-MN"/>
          </w:rPr>
          <w:t>General</w:t>
        </w:r>
        <w:r w:rsidR="001C4C31" w:rsidRPr="00EF2D2B">
          <w:rPr>
            <w:spacing w:val="6"/>
            <w:sz w:val="24"/>
            <w:szCs w:val="24"/>
            <w:lang w:val="mn-MN"/>
          </w:rPr>
          <w:tab/>
          <w:t>94</w:t>
        </w:r>
      </w:hyperlink>
    </w:p>
    <w:p w:rsidR="001C4C31" w:rsidRPr="00EF2D2B" w:rsidRDefault="00D80958" w:rsidP="00472036">
      <w:pPr>
        <w:pStyle w:val="TOC3"/>
        <w:numPr>
          <w:ilvl w:val="2"/>
          <w:numId w:val="13"/>
        </w:numPr>
        <w:tabs>
          <w:tab w:val="left" w:pos="0"/>
          <w:tab w:val="left" w:pos="2260"/>
          <w:tab w:val="right" w:leader="dot" w:pos="9625"/>
        </w:tabs>
        <w:spacing w:line="276" w:lineRule="auto"/>
        <w:rPr>
          <w:sz w:val="24"/>
          <w:szCs w:val="24"/>
          <w:lang w:val="mn-MN"/>
        </w:rPr>
      </w:pPr>
      <w:hyperlink w:anchor="_TOC_250010" w:history="1">
        <w:r w:rsidR="001C4C31" w:rsidRPr="00EF2D2B">
          <w:rPr>
            <w:spacing w:val="6"/>
            <w:sz w:val="24"/>
            <w:szCs w:val="24"/>
            <w:lang w:val="mn-MN"/>
          </w:rPr>
          <w:t xml:space="preserve">T-Profile </w:t>
        </w:r>
        <w:r w:rsidR="001C4C31" w:rsidRPr="00EF2D2B">
          <w:rPr>
            <w:spacing w:val="4"/>
            <w:sz w:val="24"/>
            <w:szCs w:val="24"/>
            <w:lang w:val="mn-MN"/>
          </w:rPr>
          <w:t xml:space="preserve">to </w:t>
        </w:r>
        <w:r w:rsidR="001C4C31" w:rsidRPr="00EF2D2B">
          <w:rPr>
            <w:spacing w:val="6"/>
            <w:sz w:val="24"/>
            <w:szCs w:val="24"/>
            <w:lang w:val="mn-MN"/>
          </w:rPr>
          <w:t xml:space="preserve">support GOOSE </w:t>
        </w:r>
        <w:r w:rsidR="001C4C31" w:rsidRPr="00EF2D2B">
          <w:rPr>
            <w:spacing w:val="5"/>
            <w:sz w:val="24"/>
            <w:szCs w:val="24"/>
            <w:lang w:val="mn-MN"/>
          </w:rPr>
          <w:t xml:space="preserve">and </w:t>
        </w:r>
        <w:r w:rsidR="001C4C31" w:rsidRPr="00EF2D2B">
          <w:rPr>
            <w:spacing w:val="4"/>
            <w:sz w:val="24"/>
            <w:szCs w:val="24"/>
            <w:lang w:val="mn-MN"/>
          </w:rPr>
          <w:t xml:space="preserve">SV </w:t>
        </w:r>
        <w:r w:rsidR="001C4C31" w:rsidRPr="00EF2D2B">
          <w:rPr>
            <w:spacing w:val="7"/>
            <w:sz w:val="24"/>
            <w:szCs w:val="24"/>
            <w:lang w:val="mn-MN"/>
          </w:rPr>
          <w:t xml:space="preserve">A-Profile </w:t>
        </w:r>
        <w:r w:rsidR="001C4C31" w:rsidRPr="00EF2D2B">
          <w:rPr>
            <w:spacing w:val="14"/>
            <w:sz w:val="24"/>
            <w:szCs w:val="24"/>
            <w:lang w:val="mn-MN"/>
          </w:rPr>
          <w:t xml:space="preserve"> </w:t>
        </w:r>
        <w:r w:rsidR="001C4C31" w:rsidRPr="00EF2D2B">
          <w:rPr>
            <w:spacing w:val="5"/>
            <w:sz w:val="24"/>
            <w:szCs w:val="24"/>
            <w:lang w:val="mn-MN"/>
          </w:rPr>
          <w:t>over</w:t>
        </w:r>
        <w:r w:rsidR="001C4C31" w:rsidRPr="00EF2D2B">
          <w:rPr>
            <w:spacing w:val="17"/>
            <w:sz w:val="24"/>
            <w:szCs w:val="24"/>
            <w:lang w:val="mn-MN"/>
          </w:rPr>
          <w:t xml:space="preserve"> </w:t>
        </w:r>
        <w:r w:rsidR="001C4C31" w:rsidRPr="00EF2D2B">
          <w:rPr>
            <w:spacing w:val="7"/>
            <w:sz w:val="24"/>
            <w:szCs w:val="24"/>
            <w:lang w:val="mn-MN"/>
          </w:rPr>
          <w:t>Ethernet</w:t>
        </w:r>
        <w:r w:rsidR="001C4C31" w:rsidRPr="00EF2D2B">
          <w:rPr>
            <w:spacing w:val="7"/>
            <w:sz w:val="24"/>
            <w:szCs w:val="24"/>
            <w:lang w:val="mn-MN"/>
          </w:rPr>
          <w:tab/>
        </w:r>
        <w:r w:rsidR="001C4C31" w:rsidRPr="00EF2D2B">
          <w:rPr>
            <w:spacing w:val="6"/>
            <w:sz w:val="24"/>
            <w:szCs w:val="24"/>
            <w:lang w:val="mn-MN"/>
          </w:rPr>
          <w:t>95</w:t>
        </w:r>
      </w:hyperlink>
    </w:p>
    <w:p w:rsidR="001C4C31" w:rsidRPr="00EF2D2B" w:rsidRDefault="00D80958" w:rsidP="00472036">
      <w:pPr>
        <w:pStyle w:val="TOC3"/>
        <w:numPr>
          <w:ilvl w:val="2"/>
          <w:numId w:val="13"/>
        </w:numPr>
        <w:tabs>
          <w:tab w:val="left" w:pos="0"/>
          <w:tab w:val="left" w:pos="2260"/>
          <w:tab w:val="right" w:leader="dot" w:pos="9625"/>
        </w:tabs>
        <w:spacing w:before="61" w:line="276" w:lineRule="auto"/>
        <w:rPr>
          <w:sz w:val="24"/>
          <w:szCs w:val="24"/>
          <w:lang w:val="mn-MN"/>
        </w:rPr>
      </w:pPr>
      <w:hyperlink w:anchor="_TOC_250009" w:history="1">
        <w:r w:rsidR="001C4C31" w:rsidRPr="00EF2D2B">
          <w:rPr>
            <w:spacing w:val="6"/>
            <w:sz w:val="24"/>
            <w:szCs w:val="24"/>
            <w:lang w:val="mn-MN"/>
          </w:rPr>
          <w:t xml:space="preserve">T-Profile </w:t>
        </w:r>
        <w:r w:rsidR="001C4C31" w:rsidRPr="00EF2D2B">
          <w:rPr>
            <w:spacing w:val="4"/>
            <w:sz w:val="24"/>
            <w:szCs w:val="24"/>
            <w:lang w:val="mn-MN"/>
          </w:rPr>
          <w:t xml:space="preserve">to </w:t>
        </w:r>
        <w:r w:rsidR="001C4C31" w:rsidRPr="00EF2D2B">
          <w:rPr>
            <w:spacing w:val="6"/>
            <w:sz w:val="24"/>
            <w:szCs w:val="24"/>
            <w:lang w:val="mn-MN"/>
          </w:rPr>
          <w:t xml:space="preserve">support </w:t>
        </w:r>
        <w:r w:rsidR="001C4C31" w:rsidRPr="00EF2D2B">
          <w:rPr>
            <w:spacing w:val="5"/>
            <w:sz w:val="24"/>
            <w:szCs w:val="24"/>
            <w:lang w:val="mn-MN"/>
          </w:rPr>
          <w:t xml:space="preserve">KDC </w:t>
        </w:r>
        <w:r w:rsidR="001C4C31" w:rsidRPr="00EF2D2B">
          <w:rPr>
            <w:spacing w:val="6"/>
            <w:sz w:val="24"/>
            <w:szCs w:val="24"/>
            <w:lang w:val="mn-MN"/>
          </w:rPr>
          <w:t>(TCP</w:t>
        </w:r>
        <w:r w:rsidR="001C4C31" w:rsidRPr="00EF2D2B">
          <w:rPr>
            <w:spacing w:val="55"/>
            <w:sz w:val="24"/>
            <w:szCs w:val="24"/>
            <w:lang w:val="mn-MN"/>
          </w:rPr>
          <w:t xml:space="preserve"> </w:t>
        </w:r>
        <w:r w:rsidR="001C4C31" w:rsidRPr="00EF2D2B">
          <w:rPr>
            <w:spacing w:val="5"/>
            <w:sz w:val="24"/>
            <w:szCs w:val="24"/>
            <w:lang w:val="mn-MN"/>
          </w:rPr>
          <w:t>and</w:t>
        </w:r>
        <w:r w:rsidR="001C4C31" w:rsidRPr="00EF2D2B">
          <w:rPr>
            <w:spacing w:val="15"/>
            <w:sz w:val="24"/>
            <w:szCs w:val="24"/>
            <w:lang w:val="mn-MN"/>
          </w:rPr>
          <w:t xml:space="preserve"> </w:t>
        </w:r>
        <w:r w:rsidR="001C4C31" w:rsidRPr="00EF2D2B">
          <w:rPr>
            <w:spacing w:val="6"/>
            <w:sz w:val="24"/>
            <w:szCs w:val="24"/>
            <w:lang w:val="mn-MN"/>
          </w:rPr>
          <w:t>UDP)</w:t>
        </w:r>
        <w:r w:rsidR="001C4C31" w:rsidRPr="00EF2D2B">
          <w:rPr>
            <w:spacing w:val="6"/>
            <w:sz w:val="24"/>
            <w:szCs w:val="24"/>
            <w:lang w:val="mn-MN"/>
          </w:rPr>
          <w:tab/>
          <w:t>97</w:t>
        </w:r>
      </w:hyperlink>
    </w:p>
    <w:p w:rsidR="001C4C31" w:rsidRPr="00EF2D2B" w:rsidRDefault="00D80958" w:rsidP="00472036">
      <w:pPr>
        <w:pStyle w:val="TOC3"/>
        <w:numPr>
          <w:ilvl w:val="2"/>
          <w:numId w:val="13"/>
        </w:numPr>
        <w:tabs>
          <w:tab w:val="left" w:pos="0"/>
          <w:tab w:val="left" w:pos="2260"/>
          <w:tab w:val="right" w:leader="dot" w:pos="9625"/>
        </w:tabs>
        <w:spacing w:before="58" w:line="276" w:lineRule="auto"/>
        <w:rPr>
          <w:sz w:val="24"/>
          <w:szCs w:val="24"/>
          <w:lang w:val="mn-MN"/>
        </w:rPr>
      </w:pPr>
      <w:hyperlink w:anchor="_TOC_250008" w:history="1">
        <w:r w:rsidR="001C4C31" w:rsidRPr="00EF2D2B">
          <w:rPr>
            <w:spacing w:val="6"/>
            <w:sz w:val="24"/>
            <w:szCs w:val="24"/>
            <w:lang w:val="mn-MN"/>
          </w:rPr>
          <w:t xml:space="preserve">T-Profile </w:t>
        </w:r>
        <w:r w:rsidR="001C4C31" w:rsidRPr="00EF2D2B">
          <w:rPr>
            <w:spacing w:val="4"/>
            <w:sz w:val="24"/>
            <w:szCs w:val="24"/>
            <w:lang w:val="mn-MN"/>
          </w:rPr>
          <w:t>to</w:t>
        </w:r>
        <w:r w:rsidR="001C4C31" w:rsidRPr="00EF2D2B">
          <w:rPr>
            <w:spacing w:val="22"/>
            <w:sz w:val="24"/>
            <w:szCs w:val="24"/>
            <w:lang w:val="mn-MN"/>
          </w:rPr>
          <w:t xml:space="preserve"> </w:t>
        </w:r>
        <w:r w:rsidR="001C4C31" w:rsidRPr="00EF2D2B">
          <w:rPr>
            <w:spacing w:val="6"/>
            <w:sz w:val="24"/>
            <w:szCs w:val="24"/>
            <w:lang w:val="mn-MN"/>
          </w:rPr>
          <w:t>support</w:t>
        </w:r>
        <w:r w:rsidR="001C4C31" w:rsidRPr="00EF2D2B">
          <w:rPr>
            <w:spacing w:val="17"/>
            <w:sz w:val="24"/>
            <w:szCs w:val="24"/>
            <w:lang w:val="mn-MN"/>
          </w:rPr>
          <w:t xml:space="preserve"> </w:t>
        </w:r>
        <w:r w:rsidR="001C4C31" w:rsidRPr="00EF2D2B">
          <w:rPr>
            <w:spacing w:val="7"/>
            <w:sz w:val="24"/>
            <w:szCs w:val="24"/>
            <w:lang w:val="mn-MN"/>
          </w:rPr>
          <w:t>IGMPv3</w:t>
        </w:r>
        <w:r w:rsidR="001C4C31" w:rsidRPr="00EF2D2B">
          <w:rPr>
            <w:spacing w:val="7"/>
            <w:sz w:val="24"/>
            <w:szCs w:val="24"/>
            <w:lang w:val="mn-MN"/>
          </w:rPr>
          <w:tab/>
        </w:r>
        <w:r w:rsidR="001C4C31" w:rsidRPr="00EF2D2B">
          <w:rPr>
            <w:spacing w:val="6"/>
            <w:sz w:val="24"/>
            <w:szCs w:val="24"/>
            <w:lang w:val="mn-MN"/>
          </w:rPr>
          <w:t>97</w:t>
        </w:r>
      </w:hyperlink>
    </w:p>
    <w:p w:rsidR="001C4C31" w:rsidRPr="00EF2D2B" w:rsidRDefault="00D80958" w:rsidP="00472036">
      <w:pPr>
        <w:pStyle w:val="TOC3"/>
        <w:numPr>
          <w:ilvl w:val="2"/>
          <w:numId w:val="13"/>
        </w:numPr>
        <w:tabs>
          <w:tab w:val="left" w:pos="0"/>
          <w:tab w:val="left" w:pos="2260"/>
          <w:tab w:val="right" w:leader="dot" w:pos="9625"/>
        </w:tabs>
        <w:spacing w:line="276" w:lineRule="auto"/>
        <w:rPr>
          <w:sz w:val="24"/>
          <w:szCs w:val="24"/>
          <w:lang w:val="mn-MN"/>
        </w:rPr>
      </w:pPr>
      <w:hyperlink w:anchor="_TOC_250007" w:history="1">
        <w:r w:rsidR="001C4C31" w:rsidRPr="00EF2D2B">
          <w:rPr>
            <w:spacing w:val="6"/>
            <w:sz w:val="24"/>
            <w:szCs w:val="24"/>
            <w:lang w:val="mn-MN"/>
          </w:rPr>
          <w:t>Common</w:t>
        </w:r>
        <w:r w:rsidR="001C4C31" w:rsidRPr="00EF2D2B">
          <w:rPr>
            <w:spacing w:val="13"/>
            <w:sz w:val="24"/>
            <w:szCs w:val="24"/>
            <w:lang w:val="mn-MN"/>
          </w:rPr>
          <w:t xml:space="preserve"> </w:t>
        </w:r>
        <w:r w:rsidR="001C4C31" w:rsidRPr="00EF2D2B">
          <w:rPr>
            <w:spacing w:val="6"/>
            <w:sz w:val="24"/>
            <w:szCs w:val="24"/>
            <w:lang w:val="mn-MN"/>
          </w:rPr>
          <w:t>T-Profile</w:t>
        </w:r>
        <w:r w:rsidR="001C4C31" w:rsidRPr="00EF2D2B">
          <w:rPr>
            <w:spacing w:val="15"/>
            <w:sz w:val="24"/>
            <w:szCs w:val="24"/>
            <w:lang w:val="mn-MN"/>
          </w:rPr>
          <w:t xml:space="preserve"> </w:t>
        </w:r>
        <w:r w:rsidR="001C4C31" w:rsidRPr="00EF2D2B">
          <w:rPr>
            <w:spacing w:val="7"/>
            <w:sz w:val="24"/>
            <w:szCs w:val="24"/>
            <w:lang w:val="mn-MN"/>
          </w:rPr>
          <w:t>standards</w:t>
        </w:r>
        <w:r w:rsidR="001C4C31" w:rsidRPr="00EF2D2B">
          <w:rPr>
            <w:spacing w:val="7"/>
            <w:sz w:val="24"/>
            <w:szCs w:val="24"/>
            <w:lang w:val="mn-MN"/>
          </w:rPr>
          <w:tab/>
        </w:r>
        <w:r w:rsidR="001C4C31" w:rsidRPr="00EF2D2B">
          <w:rPr>
            <w:spacing w:val="6"/>
            <w:sz w:val="24"/>
            <w:szCs w:val="24"/>
            <w:lang w:val="mn-MN"/>
          </w:rPr>
          <w:t>97</w:t>
        </w:r>
      </w:hyperlink>
    </w:p>
    <w:p w:rsidR="001C4C31" w:rsidRPr="00EF2D2B" w:rsidRDefault="00D80958" w:rsidP="00472036">
      <w:pPr>
        <w:pStyle w:val="ListParagraph"/>
        <w:widowControl w:val="0"/>
        <w:numPr>
          <w:ilvl w:val="0"/>
          <w:numId w:val="13"/>
        </w:numPr>
        <w:tabs>
          <w:tab w:val="left" w:pos="0"/>
          <w:tab w:val="left" w:pos="1523"/>
          <w:tab w:val="left" w:pos="1524"/>
          <w:tab w:val="right" w:leader="dot" w:pos="9625"/>
        </w:tabs>
        <w:autoSpaceDE w:val="0"/>
        <w:autoSpaceDN w:val="0"/>
        <w:spacing w:before="58" w:after="0"/>
      </w:pPr>
      <w:hyperlink w:anchor="_TOC_250006" w:history="1">
        <w:r w:rsidR="001C4C31" w:rsidRPr="00CE2AC2">
          <w:t>Effects on IEC 61850-5</w:t>
        </w:r>
        <w:r w:rsidR="001C4C31" w:rsidRPr="00CE2AC2">
          <w:tab/>
          <w:t>99</w:t>
        </w:r>
      </w:hyperlink>
    </w:p>
    <w:p w:rsidR="001C4C31" w:rsidRPr="00EF2D2B" w:rsidRDefault="00D80958" w:rsidP="00472036">
      <w:pPr>
        <w:pStyle w:val="ListParagraph"/>
        <w:widowControl w:val="0"/>
        <w:numPr>
          <w:ilvl w:val="0"/>
          <w:numId w:val="13"/>
        </w:numPr>
        <w:tabs>
          <w:tab w:val="left" w:pos="0"/>
          <w:tab w:val="left" w:pos="1523"/>
          <w:tab w:val="left" w:pos="1524"/>
          <w:tab w:val="right" w:leader="dot" w:pos="9625"/>
        </w:tabs>
        <w:autoSpaceDE w:val="0"/>
        <w:autoSpaceDN w:val="0"/>
        <w:spacing w:before="58" w:after="0"/>
      </w:pPr>
      <w:hyperlink w:anchor="_TOC_250005" w:history="1">
        <w:r w:rsidR="001C4C31" w:rsidRPr="00CE2AC2">
          <w:t>Effects on the IEC 61850-6 (SCL)</w:t>
        </w:r>
        <w:r w:rsidR="001C4C31" w:rsidRPr="00CE2AC2">
          <w:tab/>
          <w:t>100</w:t>
        </w:r>
      </w:hyperlink>
    </w:p>
    <w:sdt>
      <w:sdtPr>
        <w:rPr>
          <w:rFonts w:eastAsiaTheme="minorHAnsi"/>
          <w:b/>
          <w:bCs w:val="0"/>
          <w:i/>
          <w:spacing w:val="8"/>
          <w:w w:val="99"/>
          <w:sz w:val="24"/>
          <w:szCs w:val="24"/>
          <w:lang w:val="mn-MN"/>
        </w:rPr>
        <w:id w:val="-395595341"/>
        <w:docPartObj>
          <w:docPartGallery w:val="Table of Contents"/>
          <w:docPartUnique/>
        </w:docPartObj>
      </w:sdtPr>
      <w:sdtEndPr>
        <w:rPr>
          <w:b w:val="0"/>
          <w:bCs/>
          <w:i w:val="0"/>
        </w:rPr>
      </w:sdtEndPr>
      <w:sdtContent>
        <w:p w:rsidR="001C4C31" w:rsidRPr="00EF2D2B" w:rsidRDefault="00D80958" w:rsidP="00472036">
          <w:pPr>
            <w:pStyle w:val="TOC2"/>
            <w:numPr>
              <w:ilvl w:val="1"/>
              <w:numId w:val="13"/>
            </w:numPr>
            <w:tabs>
              <w:tab w:val="left" w:pos="0"/>
              <w:tab w:val="left" w:pos="1524"/>
              <w:tab w:val="right" w:leader="dot" w:pos="9618"/>
            </w:tabs>
            <w:spacing w:before="98" w:line="276" w:lineRule="auto"/>
            <w:ind w:hanging="570"/>
            <w:rPr>
              <w:sz w:val="24"/>
              <w:szCs w:val="24"/>
              <w:lang w:val="mn-MN"/>
            </w:rPr>
          </w:pPr>
          <w:hyperlink w:anchor="_TOC_250004" w:history="1">
            <w:r w:rsidR="001C4C31" w:rsidRPr="00EF2D2B">
              <w:rPr>
                <w:spacing w:val="6"/>
                <w:sz w:val="24"/>
                <w:szCs w:val="24"/>
                <w:lang w:val="mn-MN"/>
              </w:rPr>
              <w:t>General</w:t>
            </w:r>
            <w:r w:rsidR="001C4C31" w:rsidRPr="00EF2D2B">
              <w:rPr>
                <w:spacing w:val="6"/>
                <w:sz w:val="24"/>
                <w:szCs w:val="24"/>
                <w:lang w:val="mn-MN"/>
              </w:rPr>
              <w:tab/>
            </w:r>
            <w:r w:rsidR="001C4C31" w:rsidRPr="00EF2D2B">
              <w:rPr>
                <w:spacing w:val="5"/>
                <w:sz w:val="24"/>
                <w:szCs w:val="24"/>
                <w:lang w:val="mn-MN"/>
              </w:rPr>
              <w:t>100</w:t>
            </w:r>
          </w:hyperlink>
        </w:p>
        <w:p w:rsidR="001C4C31" w:rsidRPr="00EF2D2B" w:rsidRDefault="00D80958" w:rsidP="00472036">
          <w:pPr>
            <w:pStyle w:val="TOC2"/>
            <w:numPr>
              <w:ilvl w:val="1"/>
              <w:numId w:val="13"/>
            </w:numPr>
            <w:tabs>
              <w:tab w:val="left" w:pos="0"/>
              <w:tab w:val="left" w:pos="1524"/>
              <w:tab w:val="right" w:leader="dot" w:pos="9618"/>
            </w:tabs>
            <w:spacing w:before="61" w:line="276" w:lineRule="auto"/>
            <w:ind w:hanging="570"/>
            <w:rPr>
              <w:sz w:val="24"/>
              <w:szCs w:val="24"/>
              <w:lang w:val="mn-MN"/>
            </w:rPr>
          </w:pPr>
          <w:hyperlink w:anchor="_TOC_250003" w:history="1">
            <w:r w:rsidR="001C4C31" w:rsidRPr="00EF2D2B">
              <w:rPr>
                <w:spacing w:val="5"/>
                <w:sz w:val="24"/>
                <w:szCs w:val="24"/>
                <w:lang w:val="mn-MN"/>
              </w:rPr>
              <w:t xml:space="preserve">SCL </w:t>
            </w:r>
            <w:r w:rsidR="001C4C31" w:rsidRPr="00EF2D2B">
              <w:rPr>
                <w:spacing w:val="6"/>
                <w:sz w:val="24"/>
                <w:szCs w:val="24"/>
                <w:lang w:val="mn-MN"/>
              </w:rPr>
              <w:t xml:space="preserve">extensions </w:t>
            </w:r>
            <w:r w:rsidR="001C4C31" w:rsidRPr="00EF2D2B">
              <w:rPr>
                <w:spacing w:val="4"/>
                <w:sz w:val="24"/>
                <w:szCs w:val="24"/>
                <w:lang w:val="mn-MN"/>
              </w:rPr>
              <w:t xml:space="preserve">to </w:t>
            </w:r>
            <w:r w:rsidR="001C4C31" w:rsidRPr="00EF2D2B">
              <w:rPr>
                <w:spacing w:val="6"/>
                <w:sz w:val="24"/>
                <w:szCs w:val="24"/>
                <w:lang w:val="mn-MN"/>
              </w:rPr>
              <w:t xml:space="preserve">support IEC/TR </w:t>
            </w:r>
            <w:r w:rsidR="001C4C31" w:rsidRPr="00EF2D2B">
              <w:rPr>
                <w:spacing w:val="7"/>
                <w:sz w:val="24"/>
                <w:szCs w:val="24"/>
                <w:lang w:val="mn-MN"/>
              </w:rPr>
              <w:t xml:space="preserve">61850-90-5 </w:t>
            </w:r>
            <w:r w:rsidR="001C4C31" w:rsidRPr="00EF2D2B">
              <w:rPr>
                <w:spacing w:val="10"/>
                <w:sz w:val="24"/>
                <w:szCs w:val="24"/>
                <w:lang w:val="mn-MN"/>
              </w:rPr>
              <w:t xml:space="preserve"> </w:t>
            </w:r>
            <w:r w:rsidR="001C4C31" w:rsidRPr="00EF2D2B">
              <w:rPr>
                <w:spacing w:val="6"/>
                <w:sz w:val="24"/>
                <w:szCs w:val="24"/>
                <w:lang w:val="mn-MN"/>
              </w:rPr>
              <w:t>defined</w:t>
            </w:r>
            <w:r w:rsidR="001C4C31" w:rsidRPr="00EF2D2B">
              <w:rPr>
                <w:spacing w:val="15"/>
                <w:sz w:val="24"/>
                <w:szCs w:val="24"/>
                <w:lang w:val="mn-MN"/>
              </w:rPr>
              <w:t xml:space="preserve"> </w:t>
            </w:r>
            <w:r w:rsidR="001C4C31" w:rsidRPr="00EF2D2B">
              <w:rPr>
                <w:spacing w:val="7"/>
                <w:sz w:val="24"/>
                <w:szCs w:val="24"/>
                <w:lang w:val="mn-MN"/>
              </w:rPr>
              <w:t>profiles</w:t>
            </w:r>
            <w:r w:rsidR="001C4C31" w:rsidRPr="00EF2D2B">
              <w:rPr>
                <w:spacing w:val="7"/>
                <w:sz w:val="24"/>
                <w:szCs w:val="24"/>
                <w:lang w:val="mn-MN"/>
              </w:rPr>
              <w:tab/>
            </w:r>
            <w:r w:rsidR="001C4C31" w:rsidRPr="00EF2D2B">
              <w:rPr>
                <w:spacing w:val="5"/>
                <w:sz w:val="24"/>
                <w:szCs w:val="24"/>
                <w:lang w:val="mn-MN"/>
              </w:rPr>
              <w:t>100</w:t>
            </w:r>
          </w:hyperlink>
        </w:p>
        <w:p w:rsidR="001C4C31" w:rsidRPr="00EF2D2B" w:rsidRDefault="00D80958" w:rsidP="00472036">
          <w:pPr>
            <w:pStyle w:val="TOC3"/>
            <w:numPr>
              <w:ilvl w:val="2"/>
              <w:numId w:val="13"/>
            </w:numPr>
            <w:tabs>
              <w:tab w:val="left" w:pos="0"/>
              <w:tab w:val="left" w:pos="2260"/>
              <w:tab w:val="right" w:leader="dot" w:pos="9627"/>
            </w:tabs>
            <w:spacing w:line="276" w:lineRule="auto"/>
            <w:rPr>
              <w:sz w:val="24"/>
              <w:szCs w:val="24"/>
              <w:lang w:val="mn-MN"/>
            </w:rPr>
          </w:pPr>
          <w:hyperlink w:anchor="_TOC_250002" w:history="1">
            <w:r w:rsidR="001C4C31" w:rsidRPr="00EF2D2B">
              <w:rPr>
                <w:spacing w:val="6"/>
                <w:sz w:val="24"/>
                <w:szCs w:val="24"/>
                <w:lang w:val="mn-MN"/>
              </w:rPr>
              <w:t>General</w:t>
            </w:r>
            <w:r w:rsidR="001C4C31" w:rsidRPr="00EF2D2B">
              <w:rPr>
                <w:spacing w:val="14"/>
                <w:sz w:val="24"/>
                <w:szCs w:val="24"/>
                <w:lang w:val="mn-MN"/>
              </w:rPr>
              <w:t xml:space="preserve"> </w:t>
            </w:r>
            <w:r w:rsidR="001C4C31" w:rsidRPr="00EF2D2B">
              <w:rPr>
                <w:spacing w:val="7"/>
                <w:sz w:val="24"/>
                <w:szCs w:val="24"/>
                <w:lang w:val="mn-MN"/>
              </w:rPr>
              <w:t>engineering</w:t>
            </w:r>
            <w:r w:rsidR="001C4C31" w:rsidRPr="00EF2D2B">
              <w:rPr>
                <w:spacing w:val="15"/>
                <w:sz w:val="24"/>
                <w:szCs w:val="24"/>
                <w:lang w:val="mn-MN"/>
              </w:rPr>
              <w:t xml:space="preserve"> </w:t>
            </w:r>
            <w:r w:rsidR="001C4C31" w:rsidRPr="00EF2D2B">
              <w:rPr>
                <w:spacing w:val="6"/>
                <w:sz w:val="24"/>
                <w:szCs w:val="24"/>
                <w:lang w:val="mn-MN"/>
              </w:rPr>
              <w:t>process</w:t>
            </w:r>
            <w:r w:rsidR="001C4C31" w:rsidRPr="00EF2D2B">
              <w:rPr>
                <w:spacing w:val="6"/>
                <w:sz w:val="24"/>
                <w:szCs w:val="24"/>
                <w:lang w:val="mn-MN"/>
              </w:rPr>
              <w:tab/>
            </w:r>
            <w:r w:rsidR="001C4C31" w:rsidRPr="00EF2D2B">
              <w:rPr>
                <w:spacing w:val="8"/>
                <w:sz w:val="24"/>
                <w:szCs w:val="24"/>
                <w:lang w:val="mn-MN"/>
              </w:rPr>
              <w:t>101</w:t>
            </w:r>
          </w:hyperlink>
        </w:p>
        <w:p w:rsidR="001C4C31" w:rsidRPr="00EF2D2B" w:rsidRDefault="00D80958" w:rsidP="00472036">
          <w:pPr>
            <w:pStyle w:val="TOC3"/>
            <w:numPr>
              <w:ilvl w:val="2"/>
              <w:numId w:val="13"/>
            </w:numPr>
            <w:tabs>
              <w:tab w:val="left" w:pos="0"/>
              <w:tab w:val="left" w:pos="2260"/>
              <w:tab w:val="right" w:leader="dot" w:pos="9618"/>
            </w:tabs>
            <w:spacing w:before="61" w:line="276" w:lineRule="auto"/>
            <w:rPr>
              <w:sz w:val="24"/>
              <w:szCs w:val="24"/>
              <w:lang w:val="mn-MN"/>
            </w:rPr>
          </w:pPr>
          <w:hyperlink w:anchor="_TOC_250001" w:history="1">
            <w:r w:rsidR="001C4C31" w:rsidRPr="00EF2D2B">
              <w:rPr>
                <w:spacing w:val="6"/>
                <w:sz w:val="24"/>
                <w:szCs w:val="24"/>
                <w:lang w:val="mn-MN"/>
              </w:rPr>
              <w:t>Control</w:t>
            </w:r>
            <w:r w:rsidR="001C4C31" w:rsidRPr="00EF2D2B">
              <w:rPr>
                <w:spacing w:val="15"/>
                <w:sz w:val="24"/>
                <w:szCs w:val="24"/>
                <w:lang w:val="mn-MN"/>
              </w:rPr>
              <w:t xml:space="preserve"> </w:t>
            </w:r>
            <w:r w:rsidR="001C4C31" w:rsidRPr="00EF2D2B">
              <w:rPr>
                <w:spacing w:val="6"/>
                <w:sz w:val="24"/>
                <w:szCs w:val="24"/>
                <w:lang w:val="mn-MN"/>
              </w:rPr>
              <w:t>block</w:t>
            </w:r>
            <w:r w:rsidR="001C4C31" w:rsidRPr="00EF2D2B">
              <w:rPr>
                <w:spacing w:val="17"/>
                <w:sz w:val="24"/>
                <w:szCs w:val="24"/>
                <w:lang w:val="mn-MN"/>
              </w:rPr>
              <w:t xml:space="preserve"> </w:t>
            </w:r>
            <w:r w:rsidR="001C4C31" w:rsidRPr="00EF2D2B">
              <w:rPr>
                <w:spacing w:val="7"/>
                <w:sz w:val="24"/>
                <w:szCs w:val="24"/>
                <w:lang w:val="mn-MN"/>
              </w:rPr>
              <w:t>extensions</w:t>
            </w:r>
            <w:r w:rsidR="001C4C31" w:rsidRPr="00EF2D2B">
              <w:rPr>
                <w:spacing w:val="7"/>
                <w:sz w:val="24"/>
                <w:szCs w:val="24"/>
                <w:lang w:val="mn-MN"/>
              </w:rPr>
              <w:tab/>
            </w:r>
            <w:r w:rsidR="001C4C31" w:rsidRPr="00EF2D2B">
              <w:rPr>
                <w:spacing w:val="5"/>
                <w:sz w:val="24"/>
                <w:szCs w:val="24"/>
                <w:lang w:val="mn-MN"/>
              </w:rPr>
              <w:t>101</w:t>
            </w:r>
          </w:hyperlink>
        </w:p>
        <w:p w:rsidR="001C4C31" w:rsidRPr="00EF2D2B" w:rsidRDefault="00D80958" w:rsidP="00472036">
          <w:pPr>
            <w:pStyle w:val="TOC3"/>
            <w:numPr>
              <w:ilvl w:val="2"/>
              <w:numId w:val="13"/>
            </w:numPr>
            <w:tabs>
              <w:tab w:val="left" w:pos="0"/>
              <w:tab w:val="left" w:pos="2260"/>
              <w:tab w:val="right" w:leader="dot" w:pos="9618"/>
            </w:tabs>
            <w:spacing w:before="58" w:line="276" w:lineRule="auto"/>
            <w:rPr>
              <w:sz w:val="24"/>
              <w:szCs w:val="24"/>
              <w:lang w:val="mn-MN"/>
            </w:rPr>
          </w:pPr>
          <w:hyperlink w:anchor="_TOC_250000" w:history="1">
            <w:r w:rsidR="001C4C31" w:rsidRPr="00EF2D2B">
              <w:rPr>
                <w:spacing w:val="5"/>
                <w:sz w:val="24"/>
                <w:szCs w:val="24"/>
                <w:lang w:val="mn-MN"/>
              </w:rPr>
              <w:t>KDC</w:t>
            </w:r>
            <w:r w:rsidR="001C4C31" w:rsidRPr="00EF2D2B">
              <w:rPr>
                <w:spacing w:val="15"/>
                <w:sz w:val="24"/>
                <w:szCs w:val="24"/>
                <w:lang w:val="mn-MN"/>
              </w:rPr>
              <w:t xml:space="preserve"> </w:t>
            </w:r>
            <w:r w:rsidR="001C4C31" w:rsidRPr="00EF2D2B">
              <w:rPr>
                <w:spacing w:val="6"/>
                <w:sz w:val="24"/>
                <w:szCs w:val="24"/>
                <w:lang w:val="mn-MN"/>
              </w:rPr>
              <w:t>access</w:t>
            </w:r>
            <w:r w:rsidR="001C4C31" w:rsidRPr="00EF2D2B">
              <w:rPr>
                <w:spacing w:val="17"/>
                <w:sz w:val="24"/>
                <w:szCs w:val="24"/>
                <w:lang w:val="mn-MN"/>
              </w:rPr>
              <w:t xml:space="preserve"> </w:t>
            </w:r>
            <w:r w:rsidR="001C4C31" w:rsidRPr="00EF2D2B">
              <w:rPr>
                <w:spacing w:val="6"/>
                <w:sz w:val="24"/>
                <w:szCs w:val="24"/>
                <w:lang w:val="mn-MN"/>
              </w:rPr>
              <w:t>point</w:t>
            </w:r>
            <w:r w:rsidR="001C4C31" w:rsidRPr="00EF2D2B">
              <w:rPr>
                <w:spacing w:val="6"/>
                <w:sz w:val="24"/>
                <w:szCs w:val="24"/>
                <w:lang w:val="mn-MN"/>
              </w:rPr>
              <w:tab/>
            </w:r>
            <w:r w:rsidR="001C4C31" w:rsidRPr="00EF2D2B">
              <w:rPr>
                <w:spacing w:val="5"/>
                <w:sz w:val="24"/>
                <w:szCs w:val="24"/>
                <w:lang w:val="mn-MN"/>
              </w:rPr>
              <w:t>104</w:t>
            </w:r>
          </w:hyperlink>
        </w:p>
        <w:p w:rsidR="001C4C31" w:rsidRPr="00EF2D2B" w:rsidRDefault="001C4C31" w:rsidP="00472036">
          <w:pPr>
            <w:pStyle w:val="TOC4"/>
            <w:numPr>
              <w:ilvl w:val="2"/>
              <w:numId w:val="13"/>
            </w:numPr>
            <w:spacing w:line="276" w:lineRule="auto"/>
            <w:rPr>
              <w:lang w:val="mn-MN"/>
            </w:rPr>
          </w:pPr>
          <w:r w:rsidRPr="00EF2D2B">
            <w:rPr>
              <w:lang w:val="mn-MN"/>
            </w:rPr>
            <w:t>A</w:t>
          </w:r>
          <w:r w:rsidRPr="00EF2D2B">
            <w:rPr>
              <w:spacing w:val="6"/>
              <w:lang w:val="mn-MN"/>
            </w:rPr>
            <w:t>dd</w:t>
          </w:r>
          <w:r w:rsidRPr="00731F96">
            <w:rPr>
              <w:spacing w:val="10"/>
              <w:lang w:val="mn-MN"/>
            </w:rPr>
            <w:t>r</w:t>
          </w:r>
          <w:r w:rsidRPr="00731F96">
            <w:rPr>
              <w:spacing w:val="6"/>
              <w:lang w:val="mn-MN"/>
            </w:rPr>
            <w:t>e</w:t>
          </w:r>
          <w:r w:rsidRPr="00731F96">
            <w:rPr>
              <w:lang w:val="mn-MN"/>
            </w:rPr>
            <w:t>s</w:t>
          </w:r>
          <w:r w:rsidRPr="00731F96">
            <w:rPr>
              <w:spacing w:val="10"/>
              <w:lang w:val="mn-MN"/>
            </w:rPr>
            <w:t>s</w:t>
          </w:r>
          <w:r w:rsidRPr="00731F96">
            <w:rPr>
              <w:lang w:val="mn-MN"/>
            </w:rPr>
            <w:t>i</w:t>
          </w:r>
          <w:r w:rsidRPr="00731F96">
            <w:rPr>
              <w:spacing w:val="6"/>
              <w:lang w:val="mn-MN"/>
            </w:rPr>
            <w:t>n</w:t>
          </w:r>
          <w:r w:rsidRPr="00731F96">
            <w:rPr>
              <w:lang w:val="mn-MN"/>
            </w:rPr>
            <w:t>g</w:t>
          </w:r>
        </w:p>
      </w:sdtContent>
    </w:sdt>
    <w:p w:rsidR="001C4C31" w:rsidRPr="00EF2D2B" w:rsidRDefault="001C4C31" w:rsidP="00472036">
      <w:pPr>
        <w:pStyle w:val="ListParagraph"/>
        <w:widowControl w:val="0"/>
        <w:numPr>
          <w:ilvl w:val="1"/>
          <w:numId w:val="13"/>
        </w:numPr>
        <w:tabs>
          <w:tab w:val="left" w:pos="0"/>
          <w:tab w:val="left" w:pos="1524"/>
          <w:tab w:val="right" w:leader="dot" w:pos="9618"/>
        </w:tabs>
        <w:autoSpaceDE w:val="0"/>
        <w:autoSpaceDN w:val="0"/>
        <w:spacing w:before="93" w:after="0"/>
        <w:ind w:hanging="570"/>
        <w:contextualSpacing w:val="0"/>
      </w:pPr>
      <w:r w:rsidRPr="00731F96">
        <w:rPr>
          <w:spacing w:val="5"/>
        </w:rPr>
        <w:t xml:space="preserve">SCL </w:t>
      </w:r>
      <w:r w:rsidRPr="00731F96">
        <w:rPr>
          <w:spacing w:val="6"/>
        </w:rPr>
        <w:t xml:space="preserve">extensions </w:t>
      </w:r>
      <w:r w:rsidRPr="00731F96">
        <w:rPr>
          <w:spacing w:val="4"/>
        </w:rPr>
        <w:t xml:space="preserve">to </w:t>
      </w:r>
      <w:r w:rsidRPr="00731F96">
        <w:rPr>
          <w:spacing w:val="6"/>
        </w:rPr>
        <w:t xml:space="preserve">support </w:t>
      </w:r>
      <w:r w:rsidRPr="00731F96">
        <w:rPr>
          <w:spacing w:val="5"/>
        </w:rPr>
        <w:t xml:space="preserve">the </w:t>
      </w:r>
      <w:r w:rsidRPr="00731F96">
        <w:rPr>
          <w:spacing w:val="7"/>
        </w:rPr>
        <w:t xml:space="preserve">configuration </w:t>
      </w:r>
      <w:r w:rsidRPr="00EF2D2B">
        <w:rPr>
          <w:spacing w:val="3"/>
        </w:rPr>
        <w:t xml:space="preserve">of </w:t>
      </w:r>
      <w:r w:rsidRPr="00EF2D2B">
        <w:rPr>
          <w:spacing w:val="18"/>
        </w:rPr>
        <w:t xml:space="preserve"> </w:t>
      </w:r>
      <w:r w:rsidRPr="00EF2D2B">
        <w:rPr>
          <w:spacing w:val="5"/>
        </w:rPr>
        <w:t>IEEE</w:t>
      </w:r>
      <w:r w:rsidRPr="00EF2D2B">
        <w:rPr>
          <w:spacing w:val="15"/>
        </w:rPr>
        <w:t xml:space="preserve"> </w:t>
      </w:r>
      <w:r w:rsidRPr="00EF2D2B">
        <w:rPr>
          <w:spacing w:val="7"/>
        </w:rPr>
        <w:t>C37.118.2</w:t>
      </w:r>
      <w:r w:rsidRPr="00EF2D2B">
        <w:rPr>
          <w:spacing w:val="7"/>
        </w:rPr>
        <w:tab/>
      </w:r>
      <w:r w:rsidRPr="00EF2D2B">
        <w:rPr>
          <w:spacing w:val="5"/>
        </w:rPr>
        <w:t>107</w:t>
      </w:r>
    </w:p>
    <w:p w:rsidR="001C4C31" w:rsidRPr="00EF2D2B" w:rsidRDefault="001C4C31" w:rsidP="00472036">
      <w:pPr>
        <w:pStyle w:val="ListParagraph"/>
        <w:widowControl w:val="0"/>
        <w:numPr>
          <w:ilvl w:val="2"/>
          <w:numId w:val="13"/>
        </w:numPr>
        <w:tabs>
          <w:tab w:val="left" w:pos="0"/>
          <w:tab w:val="left" w:pos="2260"/>
          <w:tab w:val="right" w:leader="dot" w:pos="9618"/>
        </w:tabs>
        <w:autoSpaceDE w:val="0"/>
        <w:autoSpaceDN w:val="0"/>
        <w:spacing w:before="61" w:after="0"/>
        <w:contextualSpacing w:val="0"/>
      </w:pPr>
      <w:r w:rsidRPr="00EF2D2B">
        <w:rPr>
          <w:spacing w:val="5"/>
        </w:rPr>
        <w:t>The</w:t>
      </w:r>
      <w:r w:rsidRPr="00EF2D2B">
        <w:rPr>
          <w:spacing w:val="14"/>
        </w:rPr>
        <w:t xml:space="preserve"> </w:t>
      </w:r>
      <w:r w:rsidRPr="00EF2D2B">
        <w:rPr>
          <w:spacing w:val="7"/>
        </w:rPr>
        <w:t>underlying</w:t>
      </w:r>
      <w:r w:rsidRPr="00EF2D2B">
        <w:rPr>
          <w:spacing w:val="15"/>
        </w:rPr>
        <w:t xml:space="preserve"> </w:t>
      </w:r>
      <w:r w:rsidRPr="00EF2D2B">
        <w:rPr>
          <w:spacing w:val="8"/>
        </w:rPr>
        <w:t>protocol</w:t>
      </w:r>
      <w:r w:rsidRPr="00EF2D2B">
        <w:rPr>
          <w:spacing w:val="8"/>
        </w:rPr>
        <w:tab/>
      </w:r>
      <w:r w:rsidRPr="00EF2D2B">
        <w:rPr>
          <w:spacing w:val="5"/>
        </w:rPr>
        <w:t>108</w:t>
      </w:r>
    </w:p>
    <w:p w:rsidR="001C4C31" w:rsidRPr="00EF2D2B" w:rsidRDefault="001C4C31" w:rsidP="00472036">
      <w:pPr>
        <w:pStyle w:val="ListParagraph"/>
        <w:widowControl w:val="0"/>
        <w:numPr>
          <w:ilvl w:val="2"/>
          <w:numId w:val="13"/>
        </w:numPr>
        <w:tabs>
          <w:tab w:val="left" w:pos="0"/>
          <w:tab w:val="left" w:pos="2260"/>
          <w:tab w:val="right" w:leader="dot" w:pos="9618"/>
        </w:tabs>
        <w:autoSpaceDE w:val="0"/>
        <w:autoSpaceDN w:val="0"/>
        <w:spacing w:before="58" w:after="0"/>
        <w:contextualSpacing w:val="0"/>
      </w:pPr>
      <w:r w:rsidRPr="00EF2D2B">
        <w:rPr>
          <w:spacing w:val="5"/>
        </w:rPr>
        <w:t>The</w:t>
      </w:r>
      <w:r w:rsidRPr="00EF2D2B">
        <w:rPr>
          <w:spacing w:val="14"/>
        </w:rPr>
        <w:t xml:space="preserve"> </w:t>
      </w:r>
      <w:r w:rsidRPr="00EF2D2B">
        <w:rPr>
          <w:spacing w:val="6"/>
        </w:rPr>
        <w:t>data</w:t>
      </w:r>
      <w:r w:rsidRPr="00EF2D2B">
        <w:rPr>
          <w:spacing w:val="15"/>
        </w:rPr>
        <w:t xml:space="preserve"> </w:t>
      </w:r>
      <w:r w:rsidRPr="00EF2D2B">
        <w:rPr>
          <w:spacing w:val="7"/>
        </w:rPr>
        <w:t>values</w:t>
      </w:r>
      <w:r w:rsidRPr="00EF2D2B">
        <w:rPr>
          <w:spacing w:val="7"/>
        </w:rPr>
        <w:tab/>
      </w:r>
      <w:r w:rsidRPr="00EF2D2B">
        <w:rPr>
          <w:spacing w:val="5"/>
        </w:rPr>
        <w:t>108</w:t>
      </w:r>
    </w:p>
    <w:p w:rsidR="001C4C31" w:rsidRPr="00EF2D2B" w:rsidRDefault="001C4C31" w:rsidP="00472036">
      <w:pPr>
        <w:pStyle w:val="ListParagraph"/>
        <w:widowControl w:val="0"/>
        <w:numPr>
          <w:ilvl w:val="2"/>
          <w:numId w:val="13"/>
        </w:numPr>
        <w:tabs>
          <w:tab w:val="left" w:pos="0"/>
          <w:tab w:val="left" w:pos="2260"/>
          <w:tab w:val="right" w:leader="dot" w:pos="9618"/>
        </w:tabs>
        <w:autoSpaceDE w:val="0"/>
        <w:autoSpaceDN w:val="0"/>
        <w:spacing w:before="60" w:after="0"/>
        <w:contextualSpacing w:val="0"/>
      </w:pPr>
      <w:r w:rsidRPr="00EF2D2B">
        <w:rPr>
          <w:spacing w:val="5"/>
        </w:rPr>
        <w:t>SCL</w:t>
      </w:r>
      <w:r w:rsidRPr="00EF2D2B">
        <w:rPr>
          <w:spacing w:val="14"/>
        </w:rPr>
        <w:t xml:space="preserve"> </w:t>
      </w:r>
      <w:r w:rsidRPr="00EF2D2B">
        <w:rPr>
          <w:spacing w:val="6"/>
        </w:rPr>
        <w:t>example</w:t>
      </w:r>
      <w:r w:rsidRPr="00EF2D2B">
        <w:rPr>
          <w:spacing w:val="6"/>
        </w:rPr>
        <w:tab/>
      </w:r>
      <w:r w:rsidRPr="00EF2D2B">
        <w:rPr>
          <w:spacing w:val="5"/>
        </w:rPr>
        <w:t>110</w:t>
      </w:r>
    </w:p>
    <w:p w:rsidR="001C4C31" w:rsidRPr="00EF2D2B" w:rsidRDefault="001C4C31" w:rsidP="00472036">
      <w:pPr>
        <w:pStyle w:val="ListParagraph"/>
        <w:widowControl w:val="0"/>
        <w:numPr>
          <w:ilvl w:val="0"/>
          <w:numId w:val="13"/>
        </w:numPr>
        <w:tabs>
          <w:tab w:val="left" w:pos="0"/>
          <w:tab w:val="left" w:pos="1523"/>
          <w:tab w:val="left" w:pos="1524"/>
          <w:tab w:val="right" w:leader="dot" w:pos="9625"/>
        </w:tabs>
        <w:autoSpaceDE w:val="0"/>
        <w:autoSpaceDN w:val="0"/>
        <w:spacing w:before="58" w:after="0"/>
      </w:pPr>
      <w:r w:rsidRPr="00CE2AC2">
        <w:t>Effect on IEC 61850-7-2</w:t>
      </w:r>
      <w:r w:rsidRPr="00CE2AC2">
        <w:tab/>
        <w:t>110</w:t>
      </w:r>
    </w:p>
    <w:p w:rsidR="001C4C31" w:rsidRPr="00EF2D2B" w:rsidRDefault="001C4C31" w:rsidP="00472036">
      <w:pPr>
        <w:pStyle w:val="ListParagraph"/>
        <w:widowControl w:val="0"/>
        <w:numPr>
          <w:ilvl w:val="0"/>
          <w:numId w:val="13"/>
        </w:numPr>
        <w:tabs>
          <w:tab w:val="left" w:pos="0"/>
          <w:tab w:val="left" w:pos="1523"/>
          <w:tab w:val="left" w:pos="1524"/>
          <w:tab w:val="right" w:leader="dot" w:pos="9625"/>
        </w:tabs>
        <w:autoSpaceDE w:val="0"/>
        <w:autoSpaceDN w:val="0"/>
        <w:spacing w:before="58" w:after="0"/>
      </w:pPr>
      <w:r w:rsidRPr="00CE2AC2">
        <w:t xml:space="preserve"> Effect on IEC 61850-7-4</w:t>
      </w:r>
      <w:r w:rsidRPr="00CE2AC2">
        <w:tab/>
        <w:t>110</w:t>
      </w:r>
    </w:p>
    <w:p w:rsidR="001C4C31" w:rsidRPr="00EF2D2B" w:rsidRDefault="001C4C31" w:rsidP="00472036">
      <w:pPr>
        <w:pStyle w:val="ListParagraph"/>
        <w:widowControl w:val="0"/>
        <w:numPr>
          <w:ilvl w:val="1"/>
          <w:numId w:val="11"/>
        </w:numPr>
        <w:tabs>
          <w:tab w:val="left" w:pos="0"/>
          <w:tab w:val="left" w:pos="1524"/>
          <w:tab w:val="right" w:leader="dot" w:pos="9618"/>
        </w:tabs>
        <w:autoSpaceDE w:val="0"/>
        <w:autoSpaceDN w:val="0"/>
        <w:spacing w:before="99" w:after="0"/>
        <w:ind w:hanging="570"/>
        <w:contextualSpacing w:val="0"/>
      </w:pPr>
      <w:r w:rsidRPr="00EF2D2B">
        <w:rPr>
          <w:spacing w:val="6"/>
        </w:rPr>
        <w:t>General</w:t>
      </w:r>
      <w:r w:rsidRPr="00EF2D2B">
        <w:rPr>
          <w:spacing w:val="6"/>
        </w:rPr>
        <w:tab/>
      </w:r>
      <w:r w:rsidRPr="00EF2D2B">
        <w:rPr>
          <w:spacing w:val="5"/>
        </w:rPr>
        <w:t>110</w:t>
      </w:r>
    </w:p>
    <w:p w:rsidR="001C4C31" w:rsidRPr="00EF2D2B" w:rsidRDefault="001C4C31" w:rsidP="00472036">
      <w:pPr>
        <w:pStyle w:val="ListParagraph"/>
        <w:widowControl w:val="0"/>
        <w:numPr>
          <w:ilvl w:val="1"/>
          <w:numId w:val="11"/>
        </w:numPr>
        <w:tabs>
          <w:tab w:val="left" w:pos="0"/>
          <w:tab w:val="left" w:pos="1524"/>
          <w:tab w:val="right" w:leader="dot" w:pos="9618"/>
        </w:tabs>
        <w:autoSpaceDE w:val="0"/>
        <w:autoSpaceDN w:val="0"/>
        <w:spacing w:before="60" w:after="0"/>
        <w:ind w:hanging="570"/>
        <w:contextualSpacing w:val="0"/>
      </w:pPr>
      <w:r w:rsidRPr="00EF2D2B">
        <w:rPr>
          <w:spacing w:val="7"/>
        </w:rPr>
        <w:t>Namespace</w:t>
      </w:r>
      <w:r w:rsidRPr="00EF2D2B">
        <w:rPr>
          <w:spacing w:val="14"/>
        </w:rPr>
        <w:t xml:space="preserve"> </w:t>
      </w:r>
      <w:r w:rsidRPr="00EF2D2B">
        <w:rPr>
          <w:spacing w:val="7"/>
        </w:rPr>
        <w:t>definition</w:t>
      </w:r>
      <w:r w:rsidRPr="00EF2D2B">
        <w:rPr>
          <w:spacing w:val="7"/>
        </w:rPr>
        <w:tab/>
      </w:r>
      <w:r w:rsidRPr="00EF2D2B">
        <w:rPr>
          <w:spacing w:val="5"/>
        </w:rPr>
        <w:t>110</w:t>
      </w:r>
    </w:p>
    <w:p w:rsidR="001C4C31" w:rsidRPr="00EF2D2B" w:rsidRDefault="001C4C31" w:rsidP="00472036">
      <w:pPr>
        <w:pStyle w:val="ListParagraph"/>
        <w:widowControl w:val="0"/>
        <w:numPr>
          <w:ilvl w:val="1"/>
          <w:numId w:val="11"/>
        </w:numPr>
        <w:tabs>
          <w:tab w:val="left" w:pos="0"/>
          <w:tab w:val="left" w:pos="1524"/>
          <w:tab w:val="right" w:leader="dot" w:pos="9618"/>
        </w:tabs>
        <w:autoSpaceDE w:val="0"/>
        <w:autoSpaceDN w:val="0"/>
        <w:spacing w:before="60" w:after="0"/>
        <w:ind w:hanging="570"/>
        <w:contextualSpacing w:val="0"/>
      </w:pPr>
      <w:r w:rsidRPr="00EF2D2B">
        <w:rPr>
          <w:spacing w:val="7"/>
        </w:rPr>
        <w:t>Extension</w:t>
      </w:r>
      <w:r w:rsidRPr="00EF2D2B">
        <w:rPr>
          <w:spacing w:val="14"/>
        </w:rPr>
        <w:t xml:space="preserve"> </w:t>
      </w:r>
      <w:r w:rsidRPr="00EF2D2B">
        <w:rPr>
          <w:spacing w:val="3"/>
        </w:rPr>
        <w:t>of</w:t>
      </w:r>
      <w:r w:rsidRPr="00EF2D2B">
        <w:rPr>
          <w:spacing w:val="18"/>
        </w:rPr>
        <w:t xml:space="preserve"> </w:t>
      </w:r>
      <w:r w:rsidRPr="00EF2D2B">
        <w:rPr>
          <w:spacing w:val="6"/>
        </w:rPr>
        <w:t>ClcMth</w:t>
      </w:r>
      <w:r w:rsidRPr="00EF2D2B">
        <w:rPr>
          <w:spacing w:val="6"/>
        </w:rPr>
        <w:tab/>
      </w:r>
      <w:r w:rsidRPr="00EF2D2B">
        <w:rPr>
          <w:spacing w:val="5"/>
        </w:rPr>
        <w:t>111</w:t>
      </w:r>
    </w:p>
    <w:p w:rsidR="001C4C31" w:rsidRPr="00EF2D2B" w:rsidRDefault="001C4C31" w:rsidP="00472036">
      <w:pPr>
        <w:pStyle w:val="ListParagraph"/>
        <w:widowControl w:val="0"/>
        <w:numPr>
          <w:ilvl w:val="1"/>
          <w:numId w:val="11"/>
        </w:numPr>
        <w:tabs>
          <w:tab w:val="left" w:pos="0"/>
          <w:tab w:val="left" w:pos="1524"/>
          <w:tab w:val="right" w:leader="dot" w:pos="9618"/>
        </w:tabs>
        <w:autoSpaceDE w:val="0"/>
        <w:autoSpaceDN w:val="0"/>
        <w:spacing w:before="61" w:after="0"/>
        <w:ind w:hanging="570"/>
        <w:contextualSpacing w:val="0"/>
      </w:pPr>
      <w:r w:rsidRPr="00EF2D2B">
        <w:rPr>
          <w:spacing w:val="6"/>
        </w:rPr>
        <w:t xml:space="preserve">Addition </w:t>
      </w:r>
      <w:r w:rsidRPr="00EF2D2B">
        <w:rPr>
          <w:spacing w:val="3"/>
        </w:rPr>
        <w:t xml:space="preserve">of </w:t>
      </w:r>
      <w:r w:rsidRPr="00EF2D2B">
        <w:rPr>
          <w:spacing w:val="6"/>
        </w:rPr>
        <w:t xml:space="preserve">rate </w:t>
      </w:r>
      <w:r w:rsidRPr="00EF2D2B">
        <w:rPr>
          <w:spacing w:val="3"/>
        </w:rPr>
        <w:t xml:space="preserve">of </w:t>
      </w:r>
      <w:r w:rsidRPr="00EF2D2B">
        <w:rPr>
          <w:spacing w:val="7"/>
        </w:rPr>
        <w:t xml:space="preserve">change </w:t>
      </w:r>
      <w:r w:rsidRPr="00EF2D2B">
        <w:rPr>
          <w:spacing w:val="3"/>
        </w:rPr>
        <w:t xml:space="preserve">of </w:t>
      </w:r>
      <w:r w:rsidRPr="00EF2D2B">
        <w:rPr>
          <w:spacing w:val="7"/>
        </w:rPr>
        <w:t xml:space="preserve">frequency </w:t>
      </w:r>
      <w:r w:rsidRPr="00EF2D2B">
        <w:rPr>
          <w:spacing w:val="11"/>
        </w:rPr>
        <w:t xml:space="preserve"> </w:t>
      </w:r>
      <w:r w:rsidRPr="00EF2D2B">
        <w:rPr>
          <w:spacing w:val="7"/>
        </w:rPr>
        <w:t>(ROCOF)</w:t>
      </w:r>
      <w:r w:rsidRPr="00EF2D2B">
        <w:rPr>
          <w:spacing w:val="19"/>
        </w:rPr>
        <w:t xml:space="preserve"> </w:t>
      </w:r>
      <w:r w:rsidRPr="00EF2D2B">
        <w:rPr>
          <w:spacing w:val="7"/>
        </w:rPr>
        <w:t>DataObject</w:t>
      </w:r>
      <w:r w:rsidRPr="00EF2D2B">
        <w:rPr>
          <w:spacing w:val="7"/>
        </w:rPr>
        <w:tab/>
      </w:r>
      <w:r w:rsidRPr="00EF2D2B">
        <w:rPr>
          <w:spacing w:val="5"/>
        </w:rPr>
        <w:t>111</w:t>
      </w:r>
    </w:p>
    <w:p w:rsidR="001C4C31" w:rsidRPr="00EF2D2B" w:rsidRDefault="001C4C31" w:rsidP="00472036">
      <w:pPr>
        <w:pStyle w:val="ListParagraph"/>
        <w:widowControl w:val="0"/>
        <w:numPr>
          <w:ilvl w:val="1"/>
          <w:numId w:val="11"/>
        </w:numPr>
        <w:tabs>
          <w:tab w:val="left" w:pos="0"/>
          <w:tab w:val="left" w:pos="1524"/>
          <w:tab w:val="right" w:leader="dot" w:pos="9618"/>
        </w:tabs>
        <w:autoSpaceDE w:val="0"/>
        <w:autoSpaceDN w:val="0"/>
        <w:spacing w:before="58" w:after="0"/>
        <w:ind w:hanging="570"/>
        <w:contextualSpacing w:val="0"/>
      </w:pPr>
      <w:r w:rsidRPr="00EF2D2B">
        <w:rPr>
          <w:spacing w:val="7"/>
        </w:rPr>
        <w:t xml:space="preserve">Modifications </w:t>
      </w:r>
      <w:r w:rsidRPr="00EF2D2B">
        <w:rPr>
          <w:spacing w:val="3"/>
        </w:rPr>
        <w:t xml:space="preserve">to </w:t>
      </w:r>
      <w:r w:rsidRPr="00EF2D2B">
        <w:rPr>
          <w:spacing w:val="6"/>
        </w:rPr>
        <w:t xml:space="preserve">the </w:t>
      </w:r>
      <w:r w:rsidRPr="00EF2D2B">
        <w:rPr>
          <w:spacing w:val="5"/>
        </w:rPr>
        <w:t xml:space="preserve">LTIM </w:t>
      </w:r>
      <w:r w:rsidRPr="00EF2D2B">
        <w:rPr>
          <w:spacing w:val="7"/>
        </w:rPr>
        <w:t>logical</w:t>
      </w:r>
      <w:r w:rsidRPr="00EF2D2B">
        <w:rPr>
          <w:spacing w:val="55"/>
        </w:rPr>
        <w:t xml:space="preserve"> </w:t>
      </w:r>
      <w:r w:rsidRPr="00EF2D2B">
        <w:rPr>
          <w:spacing w:val="6"/>
        </w:rPr>
        <w:t>node</w:t>
      </w:r>
      <w:r w:rsidRPr="00EF2D2B">
        <w:rPr>
          <w:spacing w:val="14"/>
        </w:rPr>
        <w:t xml:space="preserve"> </w:t>
      </w:r>
      <w:r w:rsidRPr="00EF2D2B">
        <w:rPr>
          <w:spacing w:val="6"/>
        </w:rPr>
        <w:t>class</w:t>
      </w:r>
      <w:r w:rsidRPr="00EF2D2B">
        <w:rPr>
          <w:spacing w:val="6"/>
        </w:rPr>
        <w:tab/>
      </w:r>
      <w:r w:rsidRPr="00EF2D2B">
        <w:rPr>
          <w:spacing w:val="5"/>
        </w:rPr>
        <w:t>111</w:t>
      </w:r>
    </w:p>
    <w:p w:rsidR="001C4C31" w:rsidRPr="00EF2D2B" w:rsidRDefault="001C4C31" w:rsidP="00472036">
      <w:pPr>
        <w:pStyle w:val="ListParagraph"/>
        <w:widowControl w:val="0"/>
        <w:numPr>
          <w:ilvl w:val="1"/>
          <w:numId w:val="11"/>
        </w:numPr>
        <w:tabs>
          <w:tab w:val="left" w:pos="0"/>
          <w:tab w:val="left" w:pos="1524"/>
          <w:tab w:val="right" w:leader="dot" w:pos="9618"/>
        </w:tabs>
        <w:autoSpaceDE w:val="0"/>
        <w:autoSpaceDN w:val="0"/>
        <w:spacing w:before="60" w:after="0"/>
        <w:ind w:hanging="570"/>
        <w:contextualSpacing w:val="0"/>
      </w:pPr>
      <w:r w:rsidRPr="00EF2D2B">
        <w:rPr>
          <w:spacing w:val="7"/>
        </w:rPr>
        <w:t xml:space="preserve">Modifications </w:t>
      </w:r>
      <w:r w:rsidRPr="00EF2D2B">
        <w:rPr>
          <w:spacing w:val="3"/>
        </w:rPr>
        <w:t xml:space="preserve">to </w:t>
      </w:r>
      <w:r w:rsidRPr="00EF2D2B">
        <w:rPr>
          <w:spacing w:val="6"/>
        </w:rPr>
        <w:t>the LTMS logical</w:t>
      </w:r>
      <w:r w:rsidRPr="00EF2D2B">
        <w:rPr>
          <w:spacing w:val="54"/>
        </w:rPr>
        <w:t xml:space="preserve"> </w:t>
      </w:r>
      <w:r w:rsidRPr="00EF2D2B">
        <w:rPr>
          <w:spacing w:val="6"/>
        </w:rPr>
        <w:t>node</w:t>
      </w:r>
      <w:r w:rsidRPr="00EF2D2B">
        <w:rPr>
          <w:spacing w:val="15"/>
        </w:rPr>
        <w:t xml:space="preserve"> </w:t>
      </w:r>
      <w:r w:rsidRPr="00EF2D2B">
        <w:rPr>
          <w:spacing w:val="6"/>
        </w:rPr>
        <w:t>class</w:t>
      </w:r>
      <w:r w:rsidRPr="00EF2D2B">
        <w:rPr>
          <w:spacing w:val="6"/>
        </w:rPr>
        <w:tab/>
      </w:r>
      <w:r w:rsidRPr="00EF2D2B">
        <w:rPr>
          <w:spacing w:val="5"/>
        </w:rPr>
        <w:t>112</w:t>
      </w:r>
    </w:p>
    <w:p w:rsidR="001C4C31" w:rsidRPr="00CE2AC2" w:rsidRDefault="001C4C31" w:rsidP="001C4C31">
      <w:pPr>
        <w:spacing w:after="120"/>
        <w:ind w:left="0" w:firstLine="0"/>
        <w:rPr>
          <w:lang w:val="en-US"/>
        </w:rPr>
      </w:pPr>
      <w:r w:rsidRPr="00CE2AC2">
        <w:rPr>
          <w:lang w:val="en-US"/>
        </w:rPr>
        <w:t>Annex A (informative)  Full SCL example for  C37.118.2 configuration</w:t>
      </w:r>
      <w:r w:rsidRPr="00CE2AC2">
        <w:rPr>
          <w:lang w:val="en-US"/>
        </w:rPr>
        <w:tab/>
        <w:t>114</w:t>
      </w:r>
    </w:p>
    <w:p w:rsidR="001C4C31" w:rsidRPr="00CE2AC2" w:rsidRDefault="001C4C31" w:rsidP="001C4C31">
      <w:pPr>
        <w:spacing w:after="120"/>
        <w:ind w:left="0" w:firstLine="0"/>
        <w:rPr>
          <w:lang w:val="en-US"/>
        </w:rPr>
      </w:pPr>
      <w:r w:rsidRPr="00CE2AC2">
        <w:rPr>
          <w:lang w:val="en-US"/>
        </w:rPr>
        <w:t>Annex B (informative) SCL examples for direct PMU and PDC-oriented</w:t>
      </w:r>
    </w:p>
    <w:p w:rsidR="001C4C31" w:rsidRPr="00CE2AC2" w:rsidRDefault="001C4C31" w:rsidP="001C4C31">
      <w:pPr>
        <w:spacing w:after="120"/>
        <w:ind w:left="0" w:firstLine="0"/>
        <w:rPr>
          <w:lang w:val="en-US"/>
        </w:rPr>
      </w:pPr>
      <w:r w:rsidRPr="00CE2AC2">
        <w:rPr>
          <w:lang w:val="en-US"/>
        </w:rPr>
        <w:t>communication</w:t>
      </w:r>
      <w:r w:rsidRPr="00CE2AC2">
        <w:rPr>
          <w:lang w:val="en-US"/>
        </w:rPr>
        <w:tab/>
        <w:t>122</w:t>
      </w:r>
    </w:p>
    <w:p w:rsidR="001C4C31" w:rsidRPr="00CE2AC2" w:rsidRDefault="001C4C31" w:rsidP="001C4C31">
      <w:pPr>
        <w:spacing w:after="120"/>
        <w:ind w:left="0" w:firstLine="0"/>
        <w:rPr>
          <w:lang w:val="en-US"/>
        </w:rPr>
      </w:pPr>
      <w:r w:rsidRPr="00CE2AC2">
        <w:rPr>
          <w:lang w:val="en-US"/>
        </w:rPr>
        <w:t>Annex C (informative)  Migration from IEEE C37.118 to IEC 61850</w:t>
      </w:r>
      <w:r w:rsidRPr="00CE2AC2">
        <w:rPr>
          <w:lang w:val="en-US"/>
        </w:rPr>
        <w:tab/>
        <w:t>135</w:t>
      </w:r>
    </w:p>
    <w:p w:rsidR="001C4C31" w:rsidRPr="00CE2AC2" w:rsidRDefault="001C4C31" w:rsidP="001C4C31">
      <w:pPr>
        <w:spacing w:after="120"/>
        <w:ind w:left="0" w:firstLine="0"/>
        <w:rPr>
          <w:lang w:val="en-US"/>
        </w:rPr>
      </w:pPr>
      <w:r w:rsidRPr="00CE2AC2">
        <w:rPr>
          <w:lang w:val="en-US"/>
        </w:rPr>
        <w:t>Annex D (informative)  Open system interconnect  (OSI) model</w:t>
      </w:r>
      <w:r w:rsidRPr="00CE2AC2">
        <w:rPr>
          <w:lang w:val="en-US"/>
        </w:rPr>
        <w:tab/>
        <w:t>138</w:t>
      </w:r>
    </w:p>
    <w:p w:rsidR="001C4C31" w:rsidRPr="00CE2AC2" w:rsidRDefault="001C4C31" w:rsidP="001C4C31">
      <w:pPr>
        <w:spacing w:after="120"/>
        <w:ind w:left="0" w:firstLine="0"/>
        <w:rPr>
          <w:lang w:val="en-US"/>
        </w:rPr>
      </w:pPr>
      <w:r w:rsidRPr="00CE2AC2">
        <w:rPr>
          <w:lang w:val="en-US"/>
        </w:rPr>
        <w:t>Annex E (informative)  IPv6</w:t>
      </w:r>
      <w:r w:rsidRPr="00CE2AC2">
        <w:rPr>
          <w:lang w:val="en-US"/>
        </w:rPr>
        <w:tab/>
        <w:t>142</w:t>
      </w:r>
    </w:p>
    <w:p w:rsidR="001C4C31" w:rsidRPr="00CE2AC2" w:rsidRDefault="001C4C31" w:rsidP="001C4C31">
      <w:pPr>
        <w:spacing w:after="120"/>
        <w:ind w:left="0" w:firstLine="0"/>
        <w:rPr>
          <w:lang w:val="en-US"/>
        </w:rPr>
      </w:pPr>
      <w:r w:rsidRPr="00CE2AC2">
        <w:rPr>
          <w:lang w:val="en-US"/>
        </w:rPr>
        <w:t>Annex F (informative)  Edge authentication</w:t>
      </w:r>
      <w:r w:rsidRPr="00CE2AC2">
        <w:rPr>
          <w:lang w:val="en-US"/>
        </w:rPr>
        <w:tab/>
        <w:t>144</w:t>
      </w:r>
    </w:p>
    <w:p w:rsidR="001C4C31" w:rsidRPr="00CE2AC2" w:rsidRDefault="001C4C31" w:rsidP="001C4C31">
      <w:pPr>
        <w:spacing w:after="120"/>
        <w:ind w:left="0" w:firstLine="0"/>
        <w:rPr>
          <w:lang w:val="en-US"/>
        </w:rPr>
      </w:pPr>
      <w:r w:rsidRPr="00CE2AC2">
        <w:rPr>
          <w:lang w:val="en-US"/>
        </w:rPr>
        <w:t>Annex G (informative)  Example of  A-Profile encodings</w:t>
      </w:r>
      <w:r w:rsidRPr="00CE2AC2">
        <w:rPr>
          <w:lang w:val="en-US"/>
        </w:rPr>
        <w:tab/>
        <w:t>145</w:t>
      </w:r>
    </w:p>
    <w:p w:rsidR="001C4C31" w:rsidRPr="00CE2AC2" w:rsidRDefault="001C4C31" w:rsidP="001C4C31">
      <w:pPr>
        <w:spacing w:after="120"/>
        <w:ind w:left="0" w:firstLine="0"/>
        <w:rPr>
          <w:lang w:val="en-US"/>
        </w:rPr>
      </w:pPr>
      <w:r w:rsidRPr="00CE2AC2">
        <w:rPr>
          <w:lang w:val="en-US"/>
        </w:rPr>
        <w:t>Annex H (informative)  Improving reliability of  R-SV transmissions</w:t>
      </w:r>
      <w:r w:rsidRPr="00CE2AC2">
        <w:rPr>
          <w:lang w:val="en-US"/>
        </w:rPr>
        <w:tab/>
        <w:t>146</w:t>
      </w:r>
    </w:p>
    <w:p w:rsidR="001C4C31" w:rsidRPr="00CE2AC2" w:rsidRDefault="001C4C31" w:rsidP="001C4C31">
      <w:pPr>
        <w:spacing w:after="120"/>
        <w:ind w:left="0" w:firstLine="0"/>
        <w:rPr>
          <w:lang w:val="en-US"/>
        </w:rPr>
      </w:pPr>
      <w:r w:rsidRPr="00CE2AC2">
        <w:rPr>
          <w:lang w:val="en-US"/>
        </w:rPr>
        <w:t>Annex I (informative)  Guidance on HMAC  and truncation</w:t>
      </w:r>
      <w:r w:rsidRPr="00CE2AC2">
        <w:rPr>
          <w:lang w:val="en-US"/>
        </w:rPr>
        <w:tab/>
        <w:t>147</w:t>
      </w:r>
    </w:p>
    <w:p w:rsidR="001C4C31" w:rsidRPr="00CE2AC2" w:rsidRDefault="001C4C31" w:rsidP="001C4C31">
      <w:pPr>
        <w:spacing w:after="120"/>
        <w:ind w:left="0" w:firstLine="0"/>
        <w:rPr>
          <w:lang w:val="en-US"/>
        </w:rPr>
      </w:pPr>
      <w:r w:rsidRPr="00CE2AC2">
        <w:rPr>
          <w:lang w:val="en-US"/>
        </w:rPr>
        <w:t>Bibliography</w:t>
      </w:r>
      <w:r w:rsidRPr="00CE2AC2">
        <w:rPr>
          <w:lang w:val="en-US"/>
        </w:rPr>
        <w:tab/>
        <w:t>148</w:t>
      </w:r>
    </w:p>
    <w:p w:rsidR="001C4C31" w:rsidRPr="00CE2AC2" w:rsidRDefault="001C4C31" w:rsidP="001C4C31">
      <w:pPr>
        <w:spacing w:after="120"/>
        <w:ind w:left="0" w:firstLine="0"/>
        <w:rPr>
          <w:lang w:val="en-US"/>
        </w:rPr>
      </w:pPr>
      <w:r w:rsidRPr="00CE2AC2">
        <w:rPr>
          <w:lang w:val="en-US"/>
        </w:rPr>
        <w:t>Figure 1 – Use case diagram  for Synchro-check</w:t>
      </w:r>
      <w:r w:rsidRPr="00CE2AC2">
        <w:rPr>
          <w:lang w:val="en-US"/>
        </w:rPr>
        <w:tab/>
        <w:t>16</w:t>
      </w:r>
    </w:p>
    <w:p w:rsidR="001C4C31" w:rsidRPr="00CE2AC2" w:rsidRDefault="001C4C31" w:rsidP="001C4C31">
      <w:pPr>
        <w:spacing w:after="120"/>
        <w:ind w:left="0" w:firstLine="0"/>
        <w:rPr>
          <w:lang w:val="en-US"/>
        </w:rPr>
      </w:pPr>
      <w:r w:rsidRPr="00CE2AC2">
        <w:rPr>
          <w:lang w:val="en-US"/>
        </w:rPr>
        <w:lastRenderedPageBreak/>
        <w:t>Figure 2 – Use case diagram  for adaptive relaying</w:t>
      </w:r>
      <w:r w:rsidRPr="00CE2AC2">
        <w:rPr>
          <w:lang w:val="en-US"/>
        </w:rPr>
        <w:tab/>
        <w:t>18</w:t>
      </w:r>
    </w:p>
    <w:p w:rsidR="001C4C31" w:rsidRPr="00CE2AC2" w:rsidRDefault="001C4C31" w:rsidP="001C4C31">
      <w:pPr>
        <w:spacing w:after="120"/>
        <w:ind w:left="0" w:firstLine="0"/>
        <w:rPr>
          <w:lang w:val="en-US"/>
        </w:rPr>
      </w:pPr>
      <w:r w:rsidRPr="00CE2AC2">
        <w:rPr>
          <w:lang w:val="en-US"/>
        </w:rPr>
        <w:t>Figure 3  – Use case diagram for out-of-step (OOS) protection</w:t>
      </w:r>
      <w:r w:rsidRPr="00CE2AC2">
        <w:rPr>
          <w:lang w:val="en-US"/>
        </w:rPr>
        <w:tab/>
        <w:t>19</w:t>
      </w:r>
    </w:p>
    <w:p w:rsidR="001C4C31" w:rsidRPr="00CE2AC2" w:rsidRDefault="001C4C31" w:rsidP="001C4C31">
      <w:pPr>
        <w:spacing w:after="120"/>
        <w:ind w:left="0" w:firstLine="0"/>
        <w:rPr>
          <w:lang w:val="en-US"/>
        </w:rPr>
      </w:pPr>
      <w:r w:rsidRPr="00CE2AC2">
        <w:rPr>
          <w:lang w:val="en-US"/>
        </w:rPr>
        <w:t>Figure 4 – Use case diagram  for situational awareness</w:t>
      </w:r>
      <w:r w:rsidRPr="00CE2AC2">
        <w:rPr>
          <w:lang w:val="en-US"/>
        </w:rPr>
        <w:tab/>
        <w:t>21</w:t>
      </w:r>
    </w:p>
    <w:p w:rsidR="001C4C31" w:rsidRPr="00CE2AC2" w:rsidRDefault="001C4C31" w:rsidP="001C4C31">
      <w:pPr>
        <w:spacing w:after="120"/>
        <w:ind w:left="0" w:firstLine="0"/>
        <w:rPr>
          <w:lang w:val="en-US"/>
        </w:rPr>
      </w:pPr>
      <w:r w:rsidRPr="00CE2AC2">
        <w:rPr>
          <w:lang w:val="en-US"/>
        </w:rPr>
        <w:t>Figure 5 – Use case diagram  for state estimation</w:t>
      </w:r>
      <w:r w:rsidRPr="00CE2AC2">
        <w:rPr>
          <w:lang w:val="en-US"/>
        </w:rPr>
        <w:tab/>
        <w:t>23</w:t>
      </w:r>
    </w:p>
    <w:p w:rsidR="001C4C31" w:rsidRPr="00CE2AC2" w:rsidRDefault="001C4C31" w:rsidP="001C4C31">
      <w:pPr>
        <w:spacing w:after="120"/>
        <w:ind w:left="0" w:firstLine="0"/>
        <w:rPr>
          <w:lang w:val="en-US"/>
        </w:rPr>
      </w:pPr>
      <w:r w:rsidRPr="00CE2AC2">
        <w:rPr>
          <w:lang w:val="en-US"/>
        </w:rPr>
        <w:t>Figure 6 – Use case diagram  for archiving data</w:t>
      </w:r>
      <w:r w:rsidRPr="00CE2AC2">
        <w:rPr>
          <w:lang w:val="en-US"/>
        </w:rPr>
        <w:tab/>
        <w:t>25</w:t>
      </w:r>
    </w:p>
    <w:p w:rsidR="001C4C31" w:rsidRPr="00CE2AC2" w:rsidRDefault="001C4C31" w:rsidP="001C4C31">
      <w:pPr>
        <w:spacing w:after="120"/>
        <w:ind w:left="0" w:firstLine="0"/>
        <w:rPr>
          <w:lang w:val="en-US"/>
        </w:rPr>
      </w:pPr>
      <w:r w:rsidRPr="00CE2AC2">
        <w:rPr>
          <w:lang w:val="en-US"/>
        </w:rPr>
        <w:t>Figure 7 – Use case diagram for wide area controls</w:t>
      </w:r>
      <w:r w:rsidRPr="00CE2AC2">
        <w:rPr>
          <w:lang w:val="en-US"/>
        </w:rPr>
        <w:tab/>
        <w:t>28</w:t>
      </w:r>
    </w:p>
    <w:p w:rsidR="001C4C31" w:rsidRPr="00CE2AC2" w:rsidRDefault="001C4C31" w:rsidP="001C4C31">
      <w:pPr>
        <w:spacing w:after="120"/>
        <w:ind w:left="0" w:firstLine="0"/>
        <w:rPr>
          <w:lang w:val="en-US"/>
        </w:rPr>
      </w:pPr>
      <w:r w:rsidRPr="00CE2AC2">
        <w:rPr>
          <w:lang w:val="en-US"/>
        </w:rPr>
        <w:t>Figure 8  – Use case diagram for predictive dynamic stability</w:t>
      </w:r>
      <w:r w:rsidRPr="00CE2AC2">
        <w:rPr>
          <w:lang w:val="en-US"/>
        </w:rPr>
        <w:tab/>
        <w:t>30</w:t>
      </w:r>
    </w:p>
    <w:p w:rsidR="001C4C31" w:rsidRPr="00CE2AC2" w:rsidRDefault="001C4C31" w:rsidP="001C4C31">
      <w:pPr>
        <w:spacing w:after="120"/>
        <w:ind w:left="0" w:firstLine="0"/>
        <w:rPr>
          <w:lang w:val="en-US"/>
        </w:rPr>
      </w:pPr>
      <w:r w:rsidRPr="00CE2AC2">
        <w:rPr>
          <w:lang w:val="en-US"/>
        </w:rPr>
        <w:t>Figure 9 – Use case diagram for under voltage load shedding</w:t>
      </w:r>
      <w:r w:rsidRPr="00CE2AC2">
        <w:rPr>
          <w:lang w:val="en-US"/>
        </w:rPr>
        <w:tab/>
        <w:t>32</w:t>
      </w:r>
    </w:p>
    <w:p w:rsidR="001C4C31" w:rsidRPr="00CE2AC2" w:rsidRDefault="001C4C31" w:rsidP="001C4C31">
      <w:pPr>
        <w:spacing w:after="120"/>
        <w:ind w:left="0" w:firstLine="0"/>
        <w:rPr>
          <w:lang w:val="en-US"/>
        </w:rPr>
      </w:pPr>
      <w:r w:rsidRPr="00CE2AC2">
        <w:rPr>
          <w:lang w:val="en-US"/>
        </w:rPr>
        <w:t>Figure 10 – Use case diagram  for WAMPAC</w:t>
      </w:r>
      <w:r w:rsidRPr="00CE2AC2">
        <w:rPr>
          <w:lang w:val="en-US"/>
        </w:rPr>
        <w:tab/>
        <w:t>34</w:t>
      </w:r>
    </w:p>
    <w:p w:rsidR="001C4C31" w:rsidRPr="00CE2AC2" w:rsidRDefault="001C4C31" w:rsidP="001C4C31">
      <w:pPr>
        <w:spacing w:after="120"/>
        <w:ind w:left="0" w:firstLine="0"/>
        <w:rPr>
          <w:lang w:val="en-US"/>
        </w:rPr>
      </w:pPr>
      <w:r w:rsidRPr="00CE2AC2">
        <w:rPr>
          <w:lang w:val="en-US"/>
        </w:rPr>
        <w:t>Figure 11 – Use case diagram for phasor data concentrator</w:t>
      </w:r>
      <w:r w:rsidRPr="00CE2AC2">
        <w:rPr>
          <w:lang w:val="en-US"/>
        </w:rPr>
        <w:tab/>
        <w:t>37</w:t>
      </w:r>
    </w:p>
    <w:p w:rsidR="001C4C31" w:rsidRPr="00CE2AC2" w:rsidRDefault="001C4C31" w:rsidP="001C4C31">
      <w:pPr>
        <w:spacing w:after="120"/>
        <w:ind w:left="0" w:firstLine="0"/>
        <w:rPr>
          <w:lang w:val="en-US"/>
        </w:rPr>
      </w:pPr>
      <w:r w:rsidRPr="00CE2AC2">
        <w:rPr>
          <w:lang w:val="en-US"/>
        </w:rPr>
        <w:t>Figure 12 –  Basic IEC 61850 model of WAMPAC functions</w:t>
      </w:r>
      <w:r w:rsidRPr="00CE2AC2">
        <w:rPr>
          <w:lang w:val="en-US"/>
        </w:rPr>
        <w:tab/>
        <w:t>42</w:t>
      </w:r>
    </w:p>
    <w:p w:rsidR="001C4C31" w:rsidRPr="00CE2AC2" w:rsidRDefault="001C4C31" w:rsidP="001C4C31">
      <w:pPr>
        <w:spacing w:after="120"/>
        <w:ind w:left="0" w:firstLine="0"/>
        <w:rPr>
          <w:lang w:val="en-US"/>
        </w:rPr>
      </w:pPr>
      <w:r w:rsidRPr="00CE2AC2">
        <w:rPr>
          <w:lang w:val="en-US"/>
        </w:rPr>
        <w:t>Figure 13 – System hierarchy</w:t>
      </w:r>
      <w:r w:rsidRPr="00CE2AC2">
        <w:rPr>
          <w:lang w:val="en-US"/>
        </w:rPr>
        <w:tab/>
        <w:t>43</w:t>
      </w:r>
    </w:p>
    <w:p w:rsidR="001C4C31" w:rsidRPr="00CE2AC2" w:rsidRDefault="001C4C31" w:rsidP="001C4C31">
      <w:pPr>
        <w:spacing w:after="120"/>
        <w:ind w:left="0" w:firstLine="0"/>
        <w:rPr>
          <w:lang w:val="en-US"/>
        </w:rPr>
      </w:pPr>
      <w:r w:rsidRPr="00CE2AC2">
        <w:rPr>
          <w:lang w:val="en-US"/>
        </w:rPr>
        <w:t>Figure 14 – PMU object model</w:t>
      </w:r>
      <w:r w:rsidRPr="00CE2AC2">
        <w:rPr>
          <w:lang w:val="en-US"/>
        </w:rPr>
        <w:tab/>
        <w:t>44</w:t>
      </w:r>
    </w:p>
    <w:p w:rsidR="001C4C31" w:rsidRPr="00CE2AC2" w:rsidRDefault="001C4C31" w:rsidP="001C4C31">
      <w:pPr>
        <w:spacing w:after="120"/>
        <w:ind w:left="0" w:firstLine="0"/>
        <w:rPr>
          <w:lang w:val="en-US"/>
        </w:rPr>
      </w:pPr>
      <w:r w:rsidRPr="00CE2AC2">
        <w:rPr>
          <w:lang w:val="en-US"/>
        </w:rPr>
        <w:t>Figure 15 – Substation PDC model with  legacy PMUs</w:t>
      </w:r>
      <w:r w:rsidRPr="00CE2AC2">
        <w:rPr>
          <w:lang w:val="en-US"/>
        </w:rPr>
        <w:tab/>
        <w:t>44</w:t>
      </w:r>
    </w:p>
    <w:p w:rsidR="001C4C31" w:rsidRPr="00CE2AC2" w:rsidRDefault="001C4C31" w:rsidP="001C4C31">
      <w:pPr>
        <w:spacing w:after="120"/>
        <w:ind w:left="0" w:firstLine="0"/>
        <w:rPr>
          <w:lang w:val="en-US"/>
        </w:rPr>
      </w:pPr>
      <w:r w:rsidRPr="00CE2AC2">
        <w:rPr>
          <w:lang w:val="en-US"/>
        </w:rPr>
        <w:t>Figure 16 – Regional PDC object model</w:t>
      </w:r>
      <w:r w:rsidRPr="00CE2AC2">
        <w:rPr>
          <w:lang w:val="en-US"/>
        </w:rPr>
        <w:tab/>
        <w:t>45</w:t>
      </w:r>
    </w:p>
    <w:p w:rsidR="001C4C31" w:rsidRPr="00CE2AC2" w:rsidRDefault="001C4C31" w:rsidP="001C4C31">
      <w:pPr>
        <w:spacing w:after="120"/>
        <w:ind w:left="0" w:firstLine="0"/>
        <w:rPr>
          <w:lang w:val="en-US"/>
        </w:rPr>
      </w:pPr>
      <w:r w:rsidRPr="00CE2AC2">
        <w:rPr>
          <w:lang w:val="en-US"/>
        </w:rPr>
        <w:t>Figure 17 – Synchrophasor communication modelling for  direct connection</w:t>
      </w:r>
      <w:r w:rsidRPr="00CE2AC2">
        <w:rPr>
          <w:lang w:val="en-US"/>
        </w:rPr>
        <w:tab/>
        <w:t>47</w:t>
      </w:r>
    </w:p>
    <w:p w:rsidR="001C4C31" w:rsidRPr="00CE2AC2" w:rsidRDefault="001C4C31" w:rsidP="001C4C31">
      <w:pPr>
        <w:spacing w:after="120"/>
        <w:ind w:left="0" w:firstLine="0"/>
        <w:rPr>
          <w:lang w:val="en-US"/>
        </w:rPr>
      </w:pPr>
      <w:r w:rsidRPr="00CE2AC2">
        <w:rPr>
          <w:lang w:val="en-US"/>
        </w:rPr>
        <w:t>Figure 18 –  PDC as phasor concentrator and (proxy) gateway</w:t>
      </w:r>
      <w:r w:rsidRPr="00CE2AC2">
        <w:rPr>
          <w:lang w:val="en-US"/>
        </w:rPr>
        <w:tab/>
        <w:t>48</w:t>
      </w:r>
    </w:p>
    <w:p w:rsidR="001C4C31" w:rsidRPr="00CE2AC2" w:rsidRDefault="001C4C31" w:rsidP="001C4C31">
      <w:pPr>
        <w:spacing w:after="120"/>
        <w:ind w:left="0" w:firstLine="0"/>
        <w:rPr>
          <w:lang w:val="en-US"/>
        </w:rPr>
      </w:pPr>
      <w:r w:rsidRPr="00CE2AC2">
        <w:rPr>
          <w:lang w:val="en-US"/>
        </w:rPr>
        <w:t>Figure 19 – Application locality and  time scale</w:t>
      </w:r>
      <w:r w:rsidRPr="00CE2AC2">
        <w:rPr>
          <w:lang w:val="en-US"/>
        </w:rPr>
        <w:tab/>
        <w:t>51</w:t>
      </w:r>
    </w:p>
    <w:p w:rsidR="001C4C31" w:rsidRPr="00CE2AC2" w:rsidRDefault="001C4C31" w:rsidP="001C4C31">
      <w:pPr>
        <w:spacing w:after="120"/>
        <w:ind w:left="0" w:firstLine="0"/>
        <w:rPr>
          <w:lang w:val="en-US"/>
        </w:rPr>
      </w:pPr>
      <w:r w:rsidRPr="00CE2AC2">
        <w:rPr>
          <w:lang w:val="en-US"/>
        </w:rPr>
        <w:t xml:space="preserve">Figure 20 – End-to-end cryptographic integrity for IEC  61850-9-2 </w:t>
      </w:r>
    </w:p>
    <w:p w:rsidR="001C4C31" w:rsidRPr="00CE2AC2" w:rsidRDefault="001C4C31" w:rsidP="001C4C31">
      <w:pPr>
        <w:spacing w:after="120"/>
        <w:ind w:left="0" w:firstLine="0"/>
        <w:rPr>
          <w:lang w:val="en-US"/>
        </w:rPr>
      </w:pPr>
      <w:r w:rsidRPr="00CE2AC2">
        <w:rPr>
          <w:lang w:val="en-US"/>
        </w:rPr>
        <w:t>implementations</w:t>
      </w:r>
      <w:r w:rsidRPr="00CE2AC2">
        <w:rPr>
          <w:lang w:val="en-US"/>
        </w:rPr>
        <w:tab/>
        <w:t>53</w:t>
      </w:r>
    </w:p>
    <w:p w:rsidR="001C4C31" w:rsidRPr="00CE2AC2" w:rsidRDefault="001C4C31" w:rsidP="001C4C31">
      <w:pPr>
        <w:spacing w:after="120"/>
        <w:ind w:left="0" w:firstLine="0"/>
        <w:rPr>
          <w:lang w:val="en-US"/>
        </w:rPr>
      </w:pPr>
      <w:r w:rsidRPr="00CE2AC2">
        <w:rPr>
          <w:lang w:val="en-US"/>
        </w:rPr>
        <w:t>Figure 23 – IEC/TR 61850-90-5 A-Profiles</w:t>
      </w:r>
      <w:r w:rsidRPr="00CE2AC2">
        <w:rPr>
          <w:lang w:val="en-US"/>
        </w:rPr>
        <w:tab/>
        <w:t>67</w:t>
      </w:r>
    </w:p>
    <w:p w:rsidR="001C4C31" w:rsidRPr="00CE2AC2" w:rsidRDefault="001C4C31" w:rsidP="001C4C31">
      <w:pPr>
        <w:spacing w:after="120"/>
        <w:ind w:left="0" w:firstLine="0"/>
        <w:rPr>
          <w:lang w:val="en-US"/>
        </w:rPr>
      </w:pPr>
      <w:r w:rsidRPr="00CE2AC2">
        <w:rPr>
          <w:lang w:val="en-US"/>
        </w:rPr>
        <w:t>Figure 24 – General byte ordering of  session protocol</w:t>
      </w:r>
      <w:r w:rsidRPr="00CE2AC2">
        <w:rPr>
          <w:lang w:val="en-US"/>
        </w:rPr>
        <w:tab/>
        <w:t>71</w:t>
      </w:r>
    </w:p>
    <w:p w:rsidR="001C4C31" w:rsidRPr="00CE2AC2" w:rsidRDefault="001C4C31" w:rsidP="001C4C31">
      <w:pPr>
        <w:spacing w:after="120"/>
        <w:ind w:left="0" w:firstLine="0"/>
        <w:rPr>
          <w:lang w:val="en-US"/>
        </w:rPr>
      </w:pPr>
      <w:r w:rsidRPr="00CE2AC2">
        <w:rPr>
          <w:lang w:val="en-US"/>
        </w:rPr>
        <w:t>Figure 25 –  Structure of IEC/TR 61850-90-5 session protocol</w:t>
      </w:r>
      <w:r w:rsidRPr="00CE2AC2">
        <w:rPr>
          <w:lang w:val="en-US"/>
        </w:rPr>
        <w:tab/>
        <w:t>72</w:t>
      </w:r>
    </w:p>
    <w:p w:rsidR="001C4C31" w:rsidRPr="00CE2AC2" w:rsidRDefault="001C4C31" w:rsidP="001C4C31">
      <w:pPr>
        <w:spacing w:after="120"/>
        <w:ind w:left="0" w:firstLine="0"/>
        <w:rPr>
          <w:lang w:val="en-US"/>
        </w:rPr>
      </w:pPr>
      <w:r w:rsidRPr="00CE2AC2">
        <w:rPr>
          <w:lang w:val="en-US"/>
        </w:rPr>
        <w:t>Figure 26 – Encoding of TimetoNextKey</w:t>
      </w:r>
      <w:r w:rsidRPr="00CE2AC2">
        <w:rPr>
          <w:lang w:val="en-US"/>
        </w:rPr>
        <w:tab/>
        <w:t>75</w:t>
      </w:r>
    </w:p>
    <w:p w:rsidR="001C4C31" w:rsidRPr="00CE2AC2" w:rsidRDefault="001C4C31" w:rsidP="001C4C31">
      <w:pPr>
        <w:spacing w:after="120"/>
        <w:ind w:left="0" w:firstLine="0"/>
        <w:rPr>
          <w:lang w:val="en-US"/>
        </w:rPr>
      </w:pPr>
      <w:r w:rsidRPr="00CE2AC2">
        <w:rPr>
          <w:lang w:val="en-US"/>
        </w:rPr>
        <w:t>Figure 27 –  IEEE 802.3 frame format for SV and GOOSE</w:t>
      </w:r>
      <w:r w:rsidRPr="00CE2AC2">
        <w:rPr>
          <w:lang w:val="en-US"/>
        </w:rPr>
        <w:tab/>
        <w:t>82</w:t>
      </w:r>
    </w:p>
    <w:p w:rsidR="001C4C31" w:rsidRPr="00CE2AC2" w:rsidRDefault="001C4C31" w:rsidP="001C4C31">
      <w:pPr>
        <w:spacing w:after="120"/>
        <w:ind w:left="0" w:firstLine="0"/>
        <w:rPr>
          <w:lang w:val="en-US"/>
        </w:rPr>
      </w:pPr>
      <w:r w:rsidRPr="00CE2AC2">
        <w:rPr>
          <w:lang w:val="en-US"/>
        </w:rPr>
        <w:t>Figure 28 – Virtual LAN Tag</w:t>
      </w:r>
      <w:r w:rsidRPr="00CE2AC2">
        <w:rPr>
          <w:lang w:val="en-US"/>
        </w:rPr>
        <w:tab/>
        <w:t>83</w:t>
      </w:r>
    </w:p>
    <w:p w:rsidR="001C4C31" w:rsidRPr="00CE2AC2" w:rsidRDefault="001C4C31" w:rsidP="001C4C31">
      <w:pPr>
        <w:spacing w:after="120"/>
        <w:ind w:left="0" w:firstLine="0"/>
        <w:rPr>
          <w:lang w:val="en-US"/>
        </w:rPr>
      </w:pPr>
      <w:r w:rsidRPr="00CE2AC2">
        <w:rPr>
          <w:lang w:val="en-US"/>
        </w:rPr>
        <w:t>Figure 29 – General format for IEC/TR  61850-90-5 payload extensions</w:t>
      </w:r>
      <w:r w:rsidRPr="00CE2AC2">
        <w:rPr>
          <w:lang w:val="en-US"/>
        </w:rPr>
        <w:tab/>
        <w:t>87</w:t>
      </w:r>
    </w:p>
    <w:p w:rsidR="001C4C31" w:rsidRPr="00CE2AC2" w:rsidRDefault="001C4C31" w:rsidP="001C4C31">
      <w:pPr>
        <w:spacing w:after="120"/>
        <w:ind w:left="0" w:firstLine="0"/>
        <w:rPr>
          <w:lang w:val="en-US"/>
        </w:rPr>
      </w:pPr>
      <w:r w:rsidRPr="00CE2AC2">
        <w:rPr>
          <w:lang w:val="en-US"/>
        </w:rPr>
        <w:t>Figure 30 – Policy response frame</w:t>
      </w:r>
      <w:r w:rsidRPr="00CE2AC2">
        <w:rPr>
          <w:lang w:val="en-US"/>
        </w:rPr>
        <w:tab/>
        <w:t>91</w:t>
      </w:r>
    </w:p>
    <w:p w:rsidR="001C4C31" w:rsidRPr="00CE2AC2" w:rsidRDefault="001C4C31" w:rsidP="001C4C31">
      <w:pPr>
        <w:spacing w:after="120"/>
        <w:ind w:left="0" w:firstLine="0"/>
        <w:rPr>
          <w:lang w:val="en-US"/>
        </w:rPr>
      </w:pPr>
      <w:r w:rsidRPr="00CE2AC2">
        <w:rPr>
          <w:lang w:val="en-US"/>
        </w:rPr>
        <w:t>Figure 31 – Key download response payload definition</w:t>
      </w:r>
      <w:r w:rsidRPr="00CE2AC2">
        <w:rPr>
          <w:lang w:val="en-US"/>
        </w:rPr>
        <w:tab/>
        <w:t>93</w:t>
      </w:r>
    </w:p>
    <w:p w:rsidR="001C4C31" w:rsidRPr="00CE2AC2" w:rsidRDefault="001C4C31" w:rsidP="001C4C31">
      <w:pPr>
        <w:spacing w:after="120"/>
        <w:ind w:left="0" w:firstLine="0"/>
        <w:rPr>
          <w:lang w:val="en-US"/>
        </w:rPr>
      </w:pPr>
      <w:r w:rsidRPr="00CE2AC2">
        <w:rPr>
          <w:lang w:val="en-US"/>
        </w:rPr>
        <w:t>Figure 32 – A-Profile association to  various T-Profiles</w:t>
      </w:r>
      <w:r w:rsidRPr="00CE2AC2">
        <w:rPr>
          <w:lang w:val="en-US"/>
        </w:rPr>
        <w:tab/>
        <w:t>95</w:t>
      </w:r>
    </w:p>
    <w:p w:rsidR="001C4C31" w:rsidRPr="00CE2AC2" w:rsidRDefault="001C4C31" w:rsidP="001C4C31">
      <w:pPr>
        <w:spacing w:after="120"/>
        <w:ind w:left="0" w:firstLine="0"/>
        <w:rPr>
          <w:lang w:val="en-US"/>
        </w:rPr>
      </w:pPr>
      <w:r w:rsidRPr="00CE2AC2">
        <w:rPr>
          <w:lang w:val="en-US"/>
        </w:rPr>
        <w:t>Figure 33 – From RFC 768</w:t>
      </w:r>
      <w:r w:rsidRPr="00CE2AC2">
        <w:rPr>
          <w:lang w:val="en-US"/>
        </w:rPr>
        <w:tab/>
        <w:t>96</w:t>
      </w:r>
    </w:p>
    <w:p w:rsidR="001C4C31" w:rsidRPr="00CE2AC2" w:rsidRDefault="001C4C31" w:rsidP="001C4C31">
      <w:pPr>
        <w:spacing w:after="120"/>
        <w:ind w:left="0" w:firstLine="0"/>
        <w:rPr>
          <w:lang w:val="en-US"/>
        </w:rPr>
      </w:pPr>
      <w:r w:rsidRPr="00CE2AC2">
        <w:rPr>
          <w:lang w:val="en-US"/>
        </w:rPr>
        <w:t>Figure 34 – Format of  IP header</w:t>
      </w:r>
      <w:r w:rsidRPr="00CE2AC2">
        <w:rPr>
          <w:lang w:val="en-US"/>
        </w:rPr>
        <w:tab/>
        <w:t>98</w:t>
      </w:r>
    </w:p>
    <w:p w:rsidR="001C4C31" w:rsidRPr="00CE2AC2" w:rsidRDefault="001C4C31" w:rsidP="001C4C31">
      <w:pPr>
        <w:spacing w:after="120"/>
        <w:ind w:left="0" w:firstLine="0"/>
        <w:rPr>
          <w:lang w:val="en-US"/>
        </w:rPr>
      </w:pPr>
      <w:r w:rsidRPr="00CE2AC2">
        <w:rPr>
          <w:lang w:val="en-US"/>
        </w:rPr>
        <w:t>Figure 35 – ToS byte field definition RFC-2474  and RFC-3168</w:t>
      </w:r>
      <w:r w:rsidRPr="00CE2AC2">
        <w:rPr>
          <w:lang w:val="en-US"/>
        </w:rPr>
        <w:tab/>
        <w:t>98</w:t>
      </w:r>
    </w:p>
    <w:p w:rsidR="001C4C31" w:rsidRPr="00CE2AC2" w:rsidRDefault="001C4C31" w:rsidP="001C4C31">
      <w:pPr>
        <w:spacing w:after="120"/>
        <w:ind w:left="0" w:firstLine="0"/>
        <w:rPr>
          <w:lang w:val="en-US"/>
        </w:rPr>
      </w:pPr>
      <w:r w:rsidRPr="00CE2AC2">
        <w:rPr>
          <w:lang w:val="en-US"/>
        </w:rPr>
        <w:lastRenderedPageBreak/>
        <w:t>Figure 36 – Security field definition from  RFC 1108</w:t>
      </w:r>
      <w:r w:rsidRPr="00CE2AC2">
        <w:rPr>
          <w:lang w:val="en-US"/>
        </w:rPr>
        <w:tab/>
        <w:t>99</w:t>
      </w:r>
    </w:p>
    <w:p w:rsidR="001C4C31" w:rsidRPr="00CE2AC2" w:rsidRDefault="001C4C31" w:rsidP="001C4C31">
      <w:pPr>
        <w:spacing w:after="120"/>
        <w:ind w:left="0" w:firstLine="0"/>
        <w:rPr>
          <w:lang w:val="en-US"/>
        </w:rPr>
      </w:pPr>
      <w:r w:rsidRPr="00CE2AC2">
        <w:rPr>
          <w:lang w:val="en-US"/>
        </w:rPr>
        <w:t>Figure 37 – Extension to tSampledValueControl</w:t>
      </w:r>
      <w:r w:rsidRPr="00CE2AC2">
        <w:rPr>
          <w:lang w:val="en-US"/>
        </w:rPr>
        <w:tab/>
        <w:t>102</w:t>
      </w:r>
    </w:p>
    <w:p w:rsidR="001C4C31" w:rsidRPr="00CE2AC2" w:rsidRDefault="001C4C31" w:rsidP="001C4C31">
      <w:pPr>
        <w:spacing w:after="120"/>
        <w:ind w:left="0" w:firstLine="0"/>
        <w:rPr>
          <w:lang w:val="en-US"/>
        </w:rPr>
      </w:pPr>
      <w:r w:rsidRPr="00CE2AC2">
        <w:rPr>
          <w:lang w:val="en-US"/>
        </w:rPr>
        <w:t>Figure 38 – Extension to agSmvOpts</w:t>
      </w:r>
      <w:r w:rsidRPr="00CE2AC2">
        <w:rPr>
          <w:lang w:val="en-US"/>
        </w:rPr>
        <w:tab/>
        <w:t>102</w:t>
      </w:r>
    </w:p>
    <w:p w:rsidR="001C4C31" w:rsidRPr="00CE2AC2" w:rsidRDefault="001C4C31" w:rsidP="001C4C31">
      <w:pPr>
        <w:spacing w:after="120"/>
        <w:ind w:left="0" w:firstLine="0"/>
        <w:rPr>
          <w:lang w:val="en-US"/>
        </w:rPr>
      </w:pPr>
      <w:r w:rsidRPr="00CE2AC2">
        <w:rPr>
          <w:lang w:val="en-US"/>
        </w:rPr>
        <w:t>Figure 39 – Extension of tGSEControl</w:t>
      </w:r>
      <w:r w:rsidRPr="00CE2AC2">
        <w:rPr>
          <w:lang w:val="en-US"/>
        </w:rPr>
        <w:tab/>
        <w:t>103</w:t>
      </w:r>
    </w:p>
    <w:p w:rsidR="001C4C31" w:rsidRPr="00CE2AC2" w:rsidRDefault="001C4C31" w:rsidP="001C4C31">
      <w:pPr>
        <w:spacing w:after="120"/>
        <w:ind w:left="0" w:firstLine="0"/>
        <w:rPr>
          <w:lang w:val="en-US"/>
        </w:rPr>
      </w:pPr>
      <w:r w:rsidRPr="00CE2AC2">
        <w:rPr>
          <w:lang w:val="en-US"/>
        </w:rPr>
        <w:t>Figure 40 – Definition of tPredefinedTypeOfSecurityEnum</w:t>
      </w:r>
      <w:r w:rsidRPr="00CE2AC2">
        <w:rPr>
          <w:lang w:val="en-US"/>
        </w:rPr>
        <w:tab/>
        <w:t>103</w:t>
      </w:r>
    </w:p>
    <w:p w:rsidR="001C4C31" w:rsidRPr="00CE2AC2" w:rsidRDefault="001C4C31" w:rsidP="001C4C31">
      <w:pPr>
        <w:spacing w:after="120"/>
        <w:ind w:left="0" w:firstLine="0"/>
        <w:rPr>
          <w:lang w:val="en-US"/>
        </w:rPr>
      </w:pPr>
      <w:r w:rsidRPr="00CE2AC2">
        <w:rPr>
          <w:lang w:val="en-US"/>
        </w:rPr>
        <w:t>Figure 41 –  AccessPoint SCL production indicating a KDC function</w:t>
      </w:r>
      <w:r w:rsidRPr="00CE2AC2">
        <w:rPr>
          <w:lang w:val="en-US"/>
        </w:rPr>
        <w:tab/>
        <w:t>104</w:t>
      </w:r>
    </w:p>
    <w:p w:rsidR="001C4C31" w:rsidRPr="00CE2AC2" w:rsidRDefault="001C4C31" w:rsidP="001C4C31">
      <w:pPr>
        <w:spacing w:after="120"/>
        <w:ind w:left="0" w:firstLine="0"/>
        <w:rPr>
          <w:lang w:val="en-US"/>
        </w:rPr>
      </w:pPr>
      <w:r w:rsidRPr="00CE2AC2">
        <w:rPr>
          <w:lang w:val="en-US"/>
        </w:rPr>
        <w:t>Figure 42 – IED SCL XSD indicating the KDC(s) to be used</w:t>
      </w:r>
      <w:r w:rsidRPr="00CE2AC2">
        <w:rPr>
          <w:lang w:val="en-US"/>
        </w:rPr>
        <w:tab/>
        <w:t>105</w:t>
      </w:r>
    </w:p>
    <w:p w:rsidR="001C4C31" w:rsidRPr="00CE2AC2" w:rsidRDefault="001C4C31" w:rsidP="001C4C31">
      <w:pPr>
        <w:spacing w:after="120"/>
        <w:ind w:left="0" w:firstLine="0"/>
        <w:rPr>
          <w:lang w:val="en-US"/>
        </w:rPr>
      </w:pPr>
      <w:r w:rsidRPr="00CE2AC2">
        <w:rPr>
          <w:lang w:val="en-US"/>
        </w:rPr>
        <w:t>Figure 43 – SCL tKDC type</w:t>
      </w:r>
      <w:r w:rsidRPr="00CE2AC2">
        <w:rPr>
          <w:lang w:val="en-US"/>
        </w:rPr>
        <w:tab/>
        <w:t>105</w:t>
      </w:r>
    </w:p>
    <w:p w:rsidR="001C4C31" w:rsidRPr="00CE2AC2" w:rsidRDefault="001C4C31" w:rsidP="001C4C31">
      <w:pPr>
        <w:spacing w:after="120"/>
        <w:ind w:left="0" w:firstLine="0"/>
        <w:rPr>
          <w:lang w:val="en-US"/>
        </w:rPr>
      </w:pPr>
      <w:r w:rsidRPr="00CE2AC2">
        <w:rPr>
          <w:lang w:val="en-US"/>
        </w:rPr>
        <w:t>Figure 44 – Extension to tPredefinedPTypeEnum</w:t>
      </w:r>
      <w:r w:rsidRPr="00CE2AC2">
        <w:rPr>
          <w:lang w:val="en-US"/>
        </w:rPr>
        <w:tab/>
        <w:t>106</w:t>
      </w:r>
    </w:p>
    <w:p w:rsidR="001C4C31" w:rsidRPr="00CE2AC2" w:rsidRDefault="001C4C31" w:rsidP="001C4C31">
      <w:pPr>
        <w:spacing w:after="120"/>
        <w:ind w:left="0" w:firstLine="0"/>
        <w:rPr>
          <w:lang w:val="en-US"/>
        </w:rPr>
      </w:pPr>
      <w:r w:rsidRPr="00CE2AC2">
        <w:rPr>
          <w:lang w:val="en-US"/>
        </w:rPr>
        <w:t>Figure 45 – tP_IPbase extension for  IPv6 addresses</w:t>
      </w:r>
      <w:r w:rsidRPr="00CE2AC2">
        <w:rPr>
          <w:lang w:val="en-US"/>
        </w:rPr>
        <w:tab/>
        <w:t>106</w:t>
      </w:r>
    </w:p>
    <w:p w:rsidR="001C4C31" w:rsidRPr="00CE2AC2" w:rsidRDefault="001C4C31" w:rsidP="001C4C31">
      <w:pPr>
        <w:spacing w:after="120"/>
        <w:ind w:left="0" w:firstLine="0"/>
        <w:rPr>
          <w:lang w:val="en-US"/>
        </w:rPr>
      </w:pPr>
      <w:r w:rsidRPr="00CE2AC2">
        <w:rPr>
          <w:lang w:val="en-US"/>
        </w:rPr>
        <w:t>Figure 46 – Definition of tP_DNSName</w:t>
      </w:r>
      <w:r w:rsidRPr="00CE2AC2">
        <w:rPr>
          <w:lang w:val="en-US"/>
        </w:rPr>
        <w:tab/>
        <w:t>107</w:t>
      </w:r>
    </w:p>
    <w:p w:rsidR="001C4C31" w:rsidRPr="00CE2AC2" w:rsidRDefault="001C4C31" w:rsidP="001C4C31">
      <w:pPr>
        <w:spacing w:after="120"/>
        <w:ind w:left="0" w:firstLine="0"/>
        <w:rPr>
          <w:lang w:val="en-US"/>
        </w:rPr>
      </w:pPr>
      <w:r w:rsidRPr="00CE2AC2">
        <w:rPr>
          <w:lang w:val="en-US"/>
        </w:rPr>
        <w:t>Figure 47 – Definition tp_ C37-118-IP-Port</w:t>
      </w:r>
      <w:r w:rsidRPr="00CE2AC2">
        <w:rPr>
          <w:lang w:val="en-US"/>
        </w:rPr>
        <w:tab/>
        <w:t>107</w:t>
      </w:r>
    </w:p>
    <w:p w:rsidR="001C4C31" w:rsidRPr="00CE2AC2" w:rsidRDefault="001C4C31" w:rsidP="001C4C31">
      <w:pPr>
        <w:spacing w:after="120"/>
        <w:ind w:left="0" w:firstLine="0"/>
        <w:rPr>
          <w:lang w:val="en-US"/>
        </w:rPr>
      </w:pPr>
      <w:r w:rsidRPr="00CE2AC2">
        <w:rPr>
          <w:lang w:val="en-US"/>
        </w:rPr>
        <w:t>Figure A.1 – Single line for  SCL example</w:t>
      </w:r>
      <w:r w:rsidRPr="00CE2AC2">
        <w:rPr>
          <w:lang w:val="en-US"/>
        </w:rPr>
        <w:tab/>
        <w:t>114</w:t>
      </w:r>
    </w:p>
    <w:p w:rsidR="001C4C31" w:rsidRPr="00CE2AC2" w:rsidRDefault="001C4C31" w:rsidP="001C4C31">
      <w:pPr>
        <w:spacing w:after="120"/>
        <w:ind w:left="0" w:firstLine="0"/>
        <w:rPr>
          <w:lang w:val="en-US"/>
        </w:rPr>
      </w:pPr>
      <w:r w:rsidRPr="00CE2AC2">
        <w:rPr>
          <w:lang w:val="en-US"/>
        </w:rPr>
        <w:t>Figure D.1 – Tasks of the OSI  model layers</w:t>
      </w:r>
      <w:r w:rsidRPr="00CE2AC2">
        <w:rPr>
          <w:lang w:val="en-US"/>
        </w:rPr>
        <w:tab/>
        <w:t>138</w:t>
      </w:r>
    </w:p>
    <w:p w:rsidR="001C4C31" w:rsidRPr="00CE2AC2" w:rsidRDefault="001C4C31" w:rsidP="001C4C31">
      <w:pPr>
        <w:spacing w:after="120"/>
        <w:ind w:left="0" w:firstLine="0"/>
        <w:rPr>
          <w:lang w:val="en-US"/>
        </w:rPr>
      </w:pPr>
      <w:r w:rsidRPr="00CE2AC2">
        <w:rPr>
          <w:lang w:val="en-US"/>
        </w:rPr>
        <w:t>Figure D.2 – Comparison between OSI model and  Internet models</w:t>
      </w:r>
      <w:r w:rsidRPr="00CE2AC2">
        <w:rPr>
          <w:lang w:val="en-US"/>
        </w:rPr>
        <w:tab/>
        <w:t>138</w:t>
      </w:r>
    </w:p>
    <w:p w:rsidR="001C4C31" w:rsidRPr="00CE2AC2" w:rsidRDefault="001C4C31" w:rsidP="001C4C31">
      <w:pPr>
        <w:spacing w:after="120"/>
        <w:ind w:left="0" w:firstLine="0"/>
        <w:rPr>
          <w:lang w:val="en-US"/>
        </w:rPr>
      </w:pPr>
      <w:r w:rsidRPr="00CE2AC2">
        <w:rPr>
          <w:lang w:val="en-US"/>
        </w:rPr>
        <w:t>Figure D.3 – Visualizing adding layer headers</w:t>
      </w:r>
      <w:r w:rsidRPr="00CE2AC2">
        <w:rPr>
          <w:lang w:val="en-US"/>
        </w:rPr>
        <w:tab/>
        <w:t>139</w:t>
      </w:r>
    </w:p>
    <w:p w:rsidR="001C4C31" w:rsidRPr="00CE2AC2" w:rsidRDefault="001C4C31" w:rsidP="001C4C31">
      <w:pPr>
        <w:spacing w:after="120"/>
        <w:ind w:left="0" w:firstLine="0"/>
        <w:rPr>
          <w:lang w:val="en-US"/>
        </w:rPr>
      </w:pPr>
      <w:r w:rsidRPr="00CE2AC2">
        <w:rPr>
          <w:lang w:val="en-US"/>
        </w:rPr>
        <w:t>Figure D.4 – Peer-to-peer data exchange in  the OSI model</w:t>
      </w:r>
      <w:r w:rsidRPr="00CE2AC2">
        <w:rPr>
          <w:lang w:val="en-US"/>
        </w:rPr>
        <w:tab/>
        <w:t>139</w:t>
      </w:r>
    </w:p>
    <w:p w:rsidR="001C4C31" w:rsidRPr="00CE2AC2" w:rsidRDefault="001C4C31" w:rsidP="001C4C31">
      <w:pPr>
        <w:spacing w:after="120"/>
        <w:ind w:left="0" w:firstLine="0"/>
        <w:rPr>
          <w:lang w:val="en-US"/>
        </w:rPr>
      </w:pPr>
      <w:r w:rsidRPr="00CE2AC2">
        <w:rPr>
          <w:lang w:val="en-US"/>
        </w:rPr>
        <w:t>Figure D.5 – Relationship of OSI services to protocol data units (PDUs)</w:t>
      </w:r>
      <w:r w:rsidRPr="00CE2AC2">
        <w:rPr>
          <w:lang w:val="en-US"/>
        </w:rPr>
        <w:tab/>
        <w:t>140</w:t>
      </w:r>
    </w:p>
    <w:p w:rsidR="001C4C31" w:rsidRPr="00CE2AC2" w:rsidRDefault="001C4C31" w:rsidP="001C4C31">
      <w:pPr>
        <w:spacing w:after="120"/>
        <w:ind w:left="0" w:firstLine="0"/>
        <w:rPr>
          <w:lang w:val="en-US"/>
        </w:rPr>
      </w:pPr>
      <w:r w:rsidRPr="00CE2AC2">
        <w:rPr>
          <w:lang w:val="en-US"/>
        </w:rPr>
        <w:t>Figure D.6 – OSI model addressing</w:t>
      </w:r>
      <w:r w:rsidRPr="00CE2AC2">
        <w:rPr>
          <w:lang w:val="en-US"/>
        </w:rPr>
        <w:tab/>
        <w:t>141</w:t>
      </w:r>
    </w:p>
    <w:p w:rsidR="001C4C31" w:rsidRPr="00CE2AC2" w:rsidRDefault="001C4C31" w:rsidP="001C4C31">
      <w:pPr>
        <w:spacing w:after="120"/>
        <w:ind w:left="0" w:firstLine="0"/>
        <w:rPr>
          <w:lang w:val="en-US"/>
        </w:rPr>
      </w:pPr>
      <w:r w:rsidRPr="00CE2AC2">
        <w:rPr>
          <w:lang w:val="en-US"/>
        </w:rPr>
        <w:t>Figure G.1 – Example encoding of  GOOSE A-Profile</w:t>
      </w:r>
      <w:r w:rsidRPr="00CE2AC2">
        <w:rPr>
          <w:lang w:val="en-US"/>
        </w:rPr>
        <w:tab/>
        <w:t>145</w:t>
      </w:r>
    </w:p>
    <w:p w:rsidR="001C4C31" w:rsidRPr="00CE2AC2" w:rsidRDefault="001C4C31" w:rsidP="001C4C31">
      <w:pPr>
        <w:spacing w:after="120"/>
        <w:ind w:left="0" w:firstLine="0"/>
        <w:rPr>
          <w:lang w:val="en-US"/>
        </w:rPr>
      </w:pPr>
      <w:r w:rsidRPr="00CE2AC2">
        <w:rPr>
          <w:lang w:val="en-US"/>
        </w:rPr>
        <w:t>Table 1 – Equivalent commands</w:t>
      </w:r>
      <w:r w:rsidRPr="00CE2AC2">
        <w:rPr>
          <w:lang w:val="en-US"/>
        </w:rPr>
        <w:tab/>
        <w:t>57</w:t>
      </w:r>
    </w:p>
    <w:p w:rsidR="001C4C31" w:rsidRPr="00CE2AC2" w:rsidRDefault="001C4C31" w:rsidP="001C4C31">
      <w:pPr>
        <w:spacing w:after="120"/>
        <w:ind w:left="0" w:firstLine="0"/>
        <w:rPr>
          <w:lang w:val="en-US"/>
        </w:rPr>
      </w:pPr>
      <w:r w:rsidRPr="00CE2AC2">
        <w:rPr>
          <w:lang w:val="en-US"/>
        </w:rPr>
        <w:t>Table 2 – R-MSVCB class definition</w:t>
      </w:r>
      <w:r w:rsidRPr="00CE2AC2">
        <w:rPr>
          <w:lang w:val="en-US"/>
        </w:rPr>
        <w:tab/>
        <w:t>58</w:t>
      </w:r>
    </w:p>
    <w:p w:rsidR="001C4C31" w:rsidRPr="00CE2AC2" w:rsidRDefault="001C4C31" w:rsidP="001C4C31">
      <w:pPr>
        <w:spacing w:after="120"/>
        <w:ind w:left="0" w:firstLine="0"/>
        <w:rPr>
          <w:lang w:val="en-US"/>
        </w:rPr>
      </w:pPr>
      <w:r w:rsidRPr="00CE2AC2">
        <w:rPr>
          <w:lang w:val="en-US"/>
        </w:rPr>
        <w:t>Table 3 – R-GoCB definition</w:t>
      </w:r>
      <w:r w:rsidRPr="00CE2AC2">
        <w:rPr>
          <w:lang w:val="en-US"/>
        </w:rPr>
        <w:tab/>
        <w:t>59</w:t>
      </w:r>
    </w:p>
    <w:p w:rsidR="001C4C31" w:rsidRPr="00CE2AC2" w:rsidRDefault="001C4C31" w:rsidP="001C4C31">
      <w:pPr>
        <w:spacing w:after="120"/>
        <w:ind w:left="0" w:firstLine="0"/>
        <w:rPr>
          <w:lang w:val="en-US"/>
        </w:rPr>
      </w:pPr>
      <w:r w:rsidRPr="00CE2AC2">
        <w:rPr>
          <w:lang w:val="en-US"/>
        </w:rPr>
        <w:t>Table 4 – Current PHYCOMADDR structure</w:t>
      </w:r>
      <w:r w:rsidRPr="00CE2AC2">
        <w:rPr>
          <w:lang w:val="en-US"/>
        </w:rPr>
        <w:tab/>
        <w:t>60</w:t>
      </w:r>
    </w:p>
    <w:p w:rsidR="001C4C31" w:rsidRPr="00CE2AC2" w:rsidRDefault="001C4C31" w:rsidP="001C4C31">
      <w:pPr>
        <w:spacing w:after="120"/>
        <w:ind w:left="0" w:firstLine="0"/>
        <w:rPr>
          <w:lang w:val="en-US"/>
        </w:rPr>
      </w:pPr>
      <w:r w:rsidRPr="00CE2AC2">
        <w:rPr>
          <w:lang w:val="en-US"/>
        </w:rPr>
        <w:t>Table 5 – UDPCOMADDR structure</w:t>
      </w:r>
      <w:r w:rsidRPr="00CE2AC2">
        <w:rPr>
          <w:lang w:val="en-US"/>
        </w:rPr>
        <w:tab/>
        <w:t>60</w:t>
      </w:r>
    </w:p>
    <w:p w:rsidR="001C4C31" w:rsidRPr="00CE2AC2" w:rsidRDefault="001C4C31" w:rsidP="001C4C31">
      <w:pPr>
        <w:spacing w:after="120"/>
        <w:ind w:left="0" w:firstLine="0"/>
        <w:rPr>
          <w:lang w:val="en-US"/>
        </w:rPr>
      </w:pPr>
      <w:r w:rsidRPr="00CE2AC2">
        <w:rPr>
          <w:lang w:val="en-US"/>
        </w:rPr>
        <w:t>Table 6 – Extension to ClcMth to allow P-Class and M-Class</w:t>
      </w:r>
      <w:r w:rsidRPr="00CE2AC2">
        <w:rPr>
          <w:lang w:val="en-US"/>
        </w:rPr>
        <w:tab/>
        <w:t>65</w:t>
      </w:r>
    </w:p>
    <w:p w:rsidR="001C4C31" w:rsidRPr="00CE2AC2" w:rsidRDefault="001C4C31" w:rsidP="001C4C31">
      <w:pPr>
        <w:spacing w:after="120"/>
        <w:ind w:left="0" w:firstLine="0"/>
        <w:rPr>
          <w:lang w:val="en-US"/>
        </w:rPr>
      </w:pPr>
      <w:r w:rsidRPr="00CE2AC2">
        <w:rPr>
          <w:lang w:val="en-US"/>
        </w:rPr>
        <w:t>Table 7 – Example encodings of  SPDU length</w:t>
      </w:r>
      <w:r w:rsidRPr="00CE2AC2">
        <w:rPr>
          <w:lang w:val="en-US"/>
        </w:rPr>
        <w:tab/>
        <w:t>74</w:t>
      </w:r>
    </w:p>
    <w:p w:rsidR="001C4C31" w:rsidRPr="00CE2AC2" w:rsidRDefault="001C4C31" w:rsidP="001C4C31">
      <w:pPr>
        <w:spacing w:after="120"/>
        <w:ind w:left="0" w:firstLine="0"/>
        <w:rPr>
          <w:lang w:val="en-US"/>
        </w:rPr>
      </w:pPr>
      <w:r w:rsidRPr="00CE2AC2">
        <w:rPr>
          <w:lang w:val="en-US"/>
        </w:rPr>
        <w:t>Table 8 – IEC 61850 Ethertyp</w:t>
      </w:r>
    </w:p>
    <w:p w:rsidR="001C4C31" w:rsidRPr="00CE2AC2" w:rsidRDefault="001C4C31" w:rsidP="001C4C31">
      <w:pPr>
        <w:spacing w:after="120"/>
        <w:ind w:left="0" w:firstLine="0"/>
        <w:rPr>
          <w:lang w:val="en-US"/>
        </w:rPr>
      </w:pPr>
      <w:r w:rsidRPr="00CE2AC2">
        <w:rPr>
          <w:lang w:val="en-US"/>
        </w:rPr>
        <w:t>Figure 22 – General service mappings</w:t>
      </w:r>
      <w:r w:rsidRPr="00CE2AC2">
        <w:rPr>
          <w:lang w:val="en-US"/>
        </w:rPr>
        <w:tab/>
        <w:t>66</w:t>
      </w:r>
    </w:p>
    <w:p w:rsidR="001C4C31" w:rsidRPr="00CE2AC2" w:rsidRDefault="001C4C31" w:rsidP="001C4C31">
      <w:pPr>
        <w:spacing w:after="120"/>
        <w:ind w:left="0" w:firstLine="0"/>
        <w:rPr>
          <w:lang w:val="en-US"/>
        </w:rPr>
      </w:pPr>
      <w:r w:rsidRPr="00CE2AC2">
        <w:rPr>
          <w:lang w:val="en-US"/>
        </w:rPr>
        <w:t>Table 9 – Allowed values for MAC signature value calculations</w:t>
      </w:r>
      <w:r w:rsidRPr="00CE2AC2">
        <w:rPr>
          <w:lang w:val="en-US"/>
        </w:rPr>
        <w:tab/>
        <w:t>84</w:t>
      </w:r>
    </w:p>
    <w:p w:rsidR="001C4C31" w:rsidRPr="00CE2AC2" w:rsidRDefault="001C4C31" w:rsidP="001C4C31">
      <w:pPr>
        <w:spacing w:after="120"/>
        <w:ind w:left="0" w:firstLine="0"/>
        <w:rPr>
          <w:lang w:val="en-US"/>
        </w:rPr>
      </w:pPr>
      <w:r w:rsidRPr="00CE2AC2">
        <w:rPr>
          <w:lang w:val="en-US"/>
        </w:rPr>
        <w:t>Table 10 – RFC-3547 assigned Hash identifiers</w:t>
      </w:r>
      <w:r w:rsidRPr="00CE2AC2">
        <w:rPr>
          <w:lang w:val="en-US"/>
        </w:rPr>
        <w:tab/>
        <w:t>86</w:t>
      </w:r>
    </w:p>
    <w:p w:rsidR="001C4C31" w:rsidRPr="00CE2AC2" w:rsidRDefault="001C4C31" w:rsidP="001C4C31">
      <w:pPr>
        <w:spacing w:after="120"/>
        <w:ind w:left="0" w:firstLine="0"/>
        <w:rPr>
          <w:lang w:val="en-US"/>
        </w:rPr>
      </w:pPr>
      <w:r w:rsidRPr="00CE2AC2">
        <w:rPr>
          <w:lang w:val="en-US"/>
        </w:rPr>
        <w:t>Table 11 – RFC-3547 assigned payload identifiers</w:t>
      </w:r>
      <w:r w:rsidRPr="00CE2AC2">
        <w:rPr>
          <w:lang w:val="en-US"/>
        </w:rPr>
        <w:tab/>
        <w:t>86</w:t>
      </w:r>
    </w:p>
    <w:p w:rsidR="001C4C31" w:rsidRPr="00CE2AC2" w:rsidRDefault="001C4C31" w:rsidP="001C4C31">
      <w:pPr>
        <w:spacing w:after="120"/>
        <w:ind w:left="0" w:firstLine="0"/>
        <w:rPr>
          <w:lang w:val="en-US"/>
        </w:rPr>
      </w:pPr>
      <w:r w:rsidRPr="00CE2AC2">
        <w:rPr>
          <w:lang w:val="en-US"/>
        </w:rPr>
        <w:t>Table 12 – IEC/TR 61850-90-5 assigned payload identifiers</w:t>
      </w:r>
      <w:r w:rsidRPr="00CE2AC2">
        <w:rPr>
          <w:lang w:val="en-US"/>
        </w:rPr>
        <w:tab/>
        <w:t>87</w:t>
      </w:r>
    </w:p>
    <w:p w:rsidR="001C4C31" w:rsidRPr="00CE2AC2" w:rsidRDefault="001C4C31" w:rsidP="001C4C31">
      <w:pPr>
        <w:spacing w:after="120"/>
        <w:ind w:left="0" w:firstLine="0"/>
        <w:rPr>
          <w:lang w:val="en-US"/>
        </w:rPr>
      </w:pPr>
      <w:r w:rsidRPr="00CE2AC2">
        <w:rPr>
          <w:lang w:val="en-US"/>
        </w:rPr>
        <w:lastRenderedPageBreak/>
        <w:t>Table 13 – RFC-3547 key download type identifiers</w:t>
      </w:r>
      <w:r w:rsidRPr="00CE2AC2">
        <w:rPr>
          <w:lang w:val="en-US"/>
        </w:rPr>
        <w:tab/>
        <w:t>92</w:t>
      </w:r>
    </w:p>
    <w:p w:rsidR="001C4C31" w:rsidRPr="00CE2AC2" w:rsidRDefault="001C4C31" w:rsidP="001C4C31">
      <w:pPr>
        <w:spacing w:after="120"/>
        <w:ind w:left="0" w:firstLine="0"/>
        <w:rPr>
          <w:lang w:val="en-US"/>
        </w:rPr>
      </w:pPr>
      <w:r w:rsidRPr="00CE2AC2">
        <w:rPr>
          <w:lang w:val="en-US"/>
        </w:rPr>
        <w:t>Table 14 – IEC/TR 61850-90-5 key download type identifiers</w:t>
      </w:r>
      <w:r w:rsidRPr="00CE2AC2">
        <w:rPr>
          <w:lang w:val="en-US"/>
        </w:rPr>
        <w:tab/>
        <w:t>92</w:t>
      </w:r>
    </w:p>
    <w:p w:rsidR="001C4C31" w:rsidRPr="00CE2AC2" w:rsidRDefault="001C4C31" w:rsidP="001C4C31">
      <w:pPr>
        <w:spacing w:after="120"/>
        <w:ind w:left="0" w:firstLine="0"/>
        <w:rPr>
          <w:lang w:val="en-US"/>
        </w:rPr>
      </w:pPr>
      <w:r w:rsidRPr="00CE2AC2">
        <w:rPr>
          <w:lang w:val="en-US"/>
        </w:rPr>
        <w:t>Table 15 – UDP field implementation requirements</w:t>
      </w:r>
      <w:r w:rsidRPr="00CE2AC2">
        <w:rPr>
          <w:lang w:val="en-US"/>
        </w:rPr>
        <w:tab/>
        <w:t>96</w:t>
      </w:r>
    </w:p>
    <w:p w:rsidR="001C4C31" w:rsidRPr="00CE2AC2" w:rsidRDefault="001C4C31" w:rsidP="001C4C31">
      <w:pPr>
        <w:spacing w:after="120"/>
        <w:ind w:left="0" w:firstLine="0"/>
        <w:rPr>
          <w:lang w:val="en-US"/>
        </w:rPr>
      </w:pPr>
      <w:r w:rsidRPr="00CE2AC2">
        <w:rPr>
          <w:lang w:val="en-US"/>
        </w:rPr>
        <w:t>Table 16 – Network protocol conformance implementation statement (PICS) for IPv4</w:t>
      </w:r>
    </w:p>
    <w:p w:rsidR="001C4C31" w:rsidRPr="00CE2AC2" w:rsidRDefault="001C4C31" w:rsidP="001C4C31">
      <w:pPr>
        <w:spacing w:after="120"/>
        <w:ind w:left="0" w:firstLine="0"/>
        <w:rPr>
          <w:lang w:val="en-US"/>
        </w:rPr>
      </w:pPr>
      <w:r w:rsidRPr="00CE2AC2">
        <w:rPr>
          <w:lang w:val="en-US"/>
        </w:rPr>
        <w:t>based T-Profiles</w:t>
      </w:r>
      <w:r w:rsidRPr="00CE2AC2">
        <w:rPr>
          <w:lang w:val="en-US"/>
        </w:rPr>
        <w:tab/>
        <w:t>97</w:t>
      </w:r>
    </w:p>
    <w:p w:rsidR="001C4C31" w:rsidRPr="00CE2AC2" w:rsidRDefault="001C4C31" w:rsidP="001C4C31">
      <w:pPr>
        <w:spacing w:after="120"/>
        <w:ind w:left="0" w:firstLine="0"/>
        <w:rPr>
          <w:lang w:val="en-US"/>
        </w:rPr>
      </w:pPr>
      <w:r w:rsidRPr="00CE2AC2">
        <w:rPr>
          <w:lang w:val="en-US"/>
        </w:rPr>
        <w:t>Table 17 – Addition of TmLeaps  in LTIM</w:t>
      </w:r>
      <w:r w:rsidRPr="00CE2AC2">
        <w:rPr>
          <w:lang w:val="en-US"/>
        </w:rPr>
        <w:tab/>
        <w:t>112</w:t>
      </w:r>
    </w:p>
    <w:p w:rsidR="001C4C31" w:rsidRPr="00CE2AC2" w:rsidRDefault="001C4C31" w:rsidP="001C4C31">
      <w:pPr>
        <w:spacing w:after="120"/>
        <w:ind w:left="0" w:firstLine="0"/>
        <w:rPr>
          <w:lang w:val="en-US"/>
        </w:rPr>
      </w:pPr>
      <w:r w:rsidRPr="00CE2AC2">
        <w:rPr>
          <w:lang w:val="en-US"/>
        </w:rPr>
        <w:t>Table 18 – Addition of TmLok  in LTMS</w:t>
      </w:r>
      <w:r w:rsidRPr="00CE2AC2">
        <w:rPr>
          <w:lang w:val="en-US"/>
        </w:rPr>
        <w:tab/>
        <w:t>113</w:t>
      </w:r>
    </w:p>
    <w:p w:rsidR="001C4C31" w:rsidRPr="00CE2AC2" w:rsidRDefault="001C4C31" w:rsidP="001C4C31">
      <w:pPr>
        <w:spacing w:after="120"/>
        <w:ind w:left="0" w:firstLine="0"/>
        <w:rPr>
          <w:lang w:val="en-US"/>
        </w:rPr>
      </w:pPr>
      <w:r w:rsidRPr="00CE2AC2">
        <w:rPr>
          <w:lang w:val="en-US"/>
        </w:rPr>
        <w:t>Table C.1 – Migration steps from  C37.118 to IEC 61850</w:t>
      </w:r>
      <w:r w:rsidRPr="00CE2AC2">
        <w:rPr>
          <w:lang w:val="en-US"/>
        </w:rPr>
        <w:tab/>
        <w:t>137</w:t>
      </w:r>
    </w:p>
    <w:p w:rsidR="001C4C31" w:rsidRDefault="001C4C31" w:rsidP="001C4C31">
      <w:pPr>
        <w:spacing w:after="120"/>
        <w:ind w:left="0" w:firstLine="0"/>
        <w:jc w:val="cente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Pr="00D33687" w:rsidRDefault="001C4C31" w:rsidP="001C4C31">
      <w:pPr>
        <w:tabs>
          <w:tab w:val="left" w:pos="0"/>
        </w:tabs>
        <w:ind w:left="720"/>
        <w:jc w:val="center"/>
        <w:rPr>
          <w:bCs/>
        </w:rPr>
      </w:pPr>
      <w:r>
        <w:rPr>
          <w:noProof/>
          <w:lang w:val="en-US"/>
        </w:rPr>
        <w:lastRenderedPageBreak/>
        <mc:AlternateContent>
          <mc:Choice Requires="wps">
            <w:drawing>
              <wp:anchor distT="4294967295" distB="4294967295" distL="114300" distR="114300" simplePos="0" relativeHeight="251661312" behindDoc="0" locked="0" layoutInCell="1" allowOverlap="1">
                <wp:simplePos x="0" y="0"/>
                <wp:positionH relativeFrom="column">
                  <wp:posOffset>1866900</wp:posOffset>
                </wp:positionH>
                <wp:positionV relativeFrom="paragraph">
                  <wp:posOffset>242569</wp:posOffset>
                </wp:positionV>
                <wp:extent cx="2600325" cy="0"/>
                <wp:effectExtent l="0" t="0" r="2857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FDFB54" id="Straight Connector 20"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7pt,19.1pt" to="351.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" strokecolor="windowText" strokeweight=".5pt">
                <v:stroke joinstyle="miter"/>
                <o:lock v:ext="edit" shapetype="f"/>
              </v:line>
            </w:pict>
          </mc:Fallback>
        </mc:AlternateContent>
      </w:r>
      <w:r w:rsidRPr="00EF2D2B">
        <w:rPr>
          <w:bCs/>
        </w:rPr>
        <w:t>ОЛОН УЛСЫН ЦАХИЛГААН ТЕХНИКИЙН КОМИСС</w:t>
      </w:r>
    </w:p>
    <w:p w:rsidR="001C4C31" w:rsidRDefault="001C4C31" w:rsidP="001C4C31">
      <w:pPr>
        <w:spacing w:after="120"/>
        <w:ind w:left="0" w:firstLine="0"/>
        <w:rPr>
          <w:b/>
        </w:rPr>
      </w:pPr>
    </w:p>
    <w:p w:rsidR="001C4C31" w:rsidRPr="00EF2D2B" w:rsidRDefault="001C4C31" w:rsidP="001C4C31">
      <w:pPr>
        <w:tabs>
          <w:tab w:val="left" w:pos="0"/>
        </w:tabs>
        <w:spacing w:before="92"/>
        <w:ind w:left="1790" w:right="1740"/>
        <w:jc w:val="center"/>
        <w:rPr>
          <w:b/>
        </w:rPr>
      </w:pPr>
      <w:r w:rsidRPr="00731F96">
        <w:rPr>
          <w:b/>
        </w:rPr>
        <w:t>ЭРЧИМ ХҮЧНИЙ АВТОМАТЖУУЛАЛТЫН СИСТЕМ БА ХАРИЛЦАА ХОЛБООНЫ СҮЛЖЭЭ –</w:t>
      </w:r>
    </w:p>
    <w:p w:rsidR="001C4C31" w:rsidRPr="00CE2AC2" w:rsidRDefault="001C4C31" w:rsidP="001C4C31">
      <w:pPr>
        <w:tabs>
          <w:tab w:val="left" w:pos="0"/>
        </w:tabs>
        <w:ind w:left="1790" w:right="1739"/>
        <w:jc w:val="center"/>
        <w:rPr>
          <w:b/>
        </w:rPr>
      </w:pPr>
      <w:r w:rsidRPr="00EF2D2B">
        <w:rPr>
          <w:b/>
        </w:rPr>
        <w:t>Хэсэг 90-5: IEEE C37.118-ийн дагуу синхрофазорын мэдээллийг да</w:t>
      </w:r>
      <w:r>
        <w:rPr>
          <w:b/>
        </w:rPr>
        <w:t>мжуулахад IEC 61850-ийг ашиглах</w:t>
      </w:r>
    </w:p>
    <w:p w:rsidR="001C4C31" w:rsidRPr="00072C1A" w:rsidRDefault="001C4C31" w:rsidP="001C4C31">
      <w:pPr>
        <w:spacing w:after="120"/>
        <w:jc w:val="center"/>
      </w:pPr>
      <w:r w:rsidRPr="00072C1A">
        <w:t>ӨМНӨХ ҮГ</w:t>
      </w:r>
    </w:p>
    <w:p w:rsidR="001C4C31" w:rsidRPr="00F06EE2" w:rsidRDefault="001C4C31" w:rsidP="00472036">
      <w:pPr>
        <w:pStyle w:val="ListParagraph"/>
        <w:numPr>
          <w:ilvl w:val="0"/>
          <w:numId w:val="3"/>
        </w:numPr>
        <w:spacing w:after="160"/>
        <w:ind w:left="0" w:firstLine="0"/>
      </w:pPr>
      <w:r>
        <w:t xml:space="preserve">Олон Улсын Цахилгаан Техникийн Комисс (ОУЦТК) нь бүх үндэстний Цахилгаан техникийн хороог (ОУЦТК-ын Үндэсний хороод) нэгтгэсэн дэлхий нийтийн стандартчиллын байгууллага юм. ОУЦТК-ын зорилго нь цахилгаан болон электроникийн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Стандартуудыг бэлтгэн нийтэлдэг. Стандартууд бэлтгэх ажлыг техникийн хороодод үүрэг болгох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оролцоно. ОУЦТК нь хоёр байгууллага хоорондын гэрээгээр тодорхойлсон нөхцөлийн дагуу Олон Улсын Стандартчиллын Байгууллагатай (ОУСБ) нягт хамтран ажилладаг. </w:t>
      </w:r>
    </w:p>
    <w:p w:rsidR="001C4C31" w:rsidRPr="00CE2AC2" w:rsidRDefault="001C4C31" w:rsidP="00472036">
      <w:pPr>
        <w:pStyle w:val="ListParagraph"/>
        <w:numPr>
          <w:ilvl w:val="0"/>
          <w:numId w:val="3"/>
        </w:numPr>
        <w:spacing w:after="160"/>
        <w:ind w:left="0" w:firstLine="0"/>
      </w:pPr>
      <w:bookmarkStart w:id="1" w:name="_Hlk533340681"/>
      <w:r w:rsidRPr="00CE2AC2">
        <w:t>Олон улсын цахилгаан техникийн комисс (ОУЦТК) нь бүх үндэсний цахилгаан техникийн хороодыг (ОУЦТК -ийн үндэсний хороод) багтаасан дэлхийн стандартчиллын байгууллага юм. ОУЦТК-ийн зорилго нь цахилгаан ба электроникийн салбарт стандартчиллын талаарх бүх асуудлаар олон улсын хамтын ажиллагааг дэмжихэд оршино. Энэ зорилгоор болон бусад үйл ажиллагаанаас гадна ОУЦТК нь Олон улсын стандарт, техникийн нөхцөл, техникийн тайлан, олон нийтэд нээлттэй танилцуулга (PAS), гарын авлага (цаашид " ОУЦТК-ийн хэвлэл (үүд)" гэх) нийтлэв.Тэдгээрийн бэлтгэл ажлыг техникийн хороонд даалгасан; Энэхүү бэлтгэл ажилд холбогдох үндэсний цахилгаан техникийн хороо(ОУЦТК-ын Үндэсний Хороо) оролцож болно. Энэхүү бэлтгэл ажилд ОУЦТК-той хамтран ажилладаг олон улсын, төрийн болон төрийн бус байгууллагууд оролцож байна. ОУЦТК нь хоёр байгууллагын хооронд байгуулсан гэрээ, тодорхойлсон нөхцөлийн дагуу Олон улсын стандартчиллын байгууллага (ОУСБ) -тай нягт хамтран ажилладаг.</w:t>
      </w:r>
    </w:p>
    <w:p w:rsidR="001C4C31" w:rsidRPr="00CE2AC2" w:rsidRDefault="001C4C31" w:rsidP="00472036">
      <w:pPr>
        <w:pStyle w:val="ListParagraph"/>
        <w:numPr>
          <w:ilvl w:val="0"/>
          <w:numId w:val="3"/>
        </w:numPr>
        <w:spacing w:after="160"/>
        <w:ind w:left="0" w:firstLine="0"/>
      </w:pPr>
      <w:r w:rsidRPr="00CE2AC2">
        <w:t>Техникийн асуудлаар ОУЦТК-ийн албан ёсны шийдвэр, хэлэлцээрүүд нь техникийн хороо тус бүрийг сонирхсон ОУЦТК-ын Үндэсний хорооноос төлөөлөгчид оролцдог тул холбогдох сэдвээр олон улсын санал бодлыг илэрхийлдэг.</w:t>
      </w:r>
    </w:p>
    <w:p w:rsidR="001C4C31" w:rsidRPr="00CE2AC2" w:rsidRDefault="001C4C31" w:rsidP="00472036">
      <w:pPr>
        <w:pStyle w:val="ListParagraph"/>
        <w:numPr>
          <w:ilvl w:val="0"/>
          <w:numId w:val="3"/>
        </w:numPr>
        <w:spacing w:after="160"/>
        <w:ind w:left="0" w:firstLine="0"/>
      </w:pPr>
      <w:r w:rsidRPr="00CE2AC2">
        <w:t>ОУЦТК-ийн хэвлэл нь олон улсын хэрэглээний талаархи зөвлөмжийн хэлбэртэй байдаг бөгөөд энэ утгаараа ОУЦТК-ны үндэсний хорооноос хүлээн авдаг. ОУЦТК хэвлэлүүдийн техникийн агуулгыг үнэн зөв эсэхийг баталгаажуулахын тулд хүчин чармайлт гаргадаг боловч ОУЦТК-ыг ашиглах арга, эсвэл ямар нэгэн хэрэглэгч буруу тайлбарласан тохиолдолд хариуцлага хүлээхгүй.</w:t>
      </w:r>
    </w:p>
    <w:p w:rsidR="001C4C31" w:rsidRPr="00CE2AC2" w:rsidRDefault="001C4C31" w:rsidP="00472036">
      <w:pPr>
        <w:pStyle w:val="ListParagraph"/>
        <w:numPr>
          <w:ilvl w:val="0"/>
          <w:numId w:val="3"/>
        </w:numPr>
        <w:spacing w:after="160"/>
        <w:ind w:left="0" w:firstLine="0"/>
      </w:pPr>
      <w:r w:rsidRPr="00CE2AC2">
        <w:t xml:space="preserve">Олон улсын нэгдмэл байдлыг хангах үүднээс ОУЦТК-ын үндэсний хороо нь үндэсний болон бүс нутгийн хэвлэлд ОУЦТК-ын нийтлэлийг  ил тод нийтлүүлэх </w:t>
      </w:r>
      <w:r w:rsidRPr="00CE2AC2">
        <w:lastRenderedPageBreak/>
        <w:t>үүрэгтэй. ОУЦТК-ын нийтлэл ба тухайн улсын болон бүс нутгийн холбогдох хэвлэлийн хоорондох ялгааг төгсгөлд нь тодорхой зааж өгсөн болно.</w:t>
      </w:r>
    </w:p>
    <w:p w:rsidR="001C4C31" w:rsidRPr="00CE2AC2" w:rsidRDefault="001C4C31" w:rsidP="00472036">
      <w:pPr>
        <w:pStyle w:val="ListParagraph"/>
        <w:numPr>
          <w:ilvl w:val="0"/>
          <w:numId w:val="3"/>
        </w:numPr>
        <w:spacing w:after="160"/>
        <w:ind w:left="0" w:firstLine="0"/>
      </w:pPr>
      <w:r w:rsidRPr="00CE2AC2">
        <w:t>ОУЦТК өөрөө тохирлын баталгаажуулалтыг өгдөггүй. Бие даасан баталгаажуулалтын байгууллагууд тохирлын үнэлгээний үйлчилгээ үзүүлдэг бөгөөд зарим газарт ОУЦТК-ын тохирлын тэмдгүүдэд хандах боломжийг олгодог. ОУЦТК нь бие даасан гэрчилгээжүүлэх байгууллагуудын явуулж буй аливаа үйлчилгээг хариуцахгүй.</w:t>
      </w:r>
    </w:p>
    <w:p w:rsidR="001C4C31" w:rsidRPr="00CE2AC2" w:rsidRDefault="001C4C31" w:rsidP="00472036">
      <w:pPr>
        <w:pStyle w:val="ListParagraph"/>
        <w:numPr>
          <w:ilvl w:val="0"/>
          <w:numId w:val="3"/>
        </w:numPr>
        <w:spacing w:after="160"/>
        <w:ind w:left="0" w:firstLine="0"/>
      </w:pPr>
      <w:r w:rsidRPr="00CE2AC2">
        <w:t>Бүх хэрэглэгчид энэ хэвлэлийн хамгийн сүүлийн хувилбартай байх ёстой.</w:t>
      </w:r>
    </w:p>
    <w:p w:rsidR="001C4C31" w:rsidRPr="00CE2AC2" w:rsidRDefault="001C4C31" w:rsidP="00472036">
      <w:pPr>
        <w:pStyle w:val="ListParagraph"/>
        <w:numPr>
          <w:ilvl w:val="0"/>
          <w:numId w:val="3"/>
        </w:numPr>
        <w:spacing w:after="160"/>
        <w:ind w:left="0" w:firstLine="0"/>
      </w:pPr>
      <w:r w:rsidRPr="00CE2AC2">
        <w:t>Хүний биед гэмтэл учруулах, эд хөрөнгийн хохирол учирсан болон бусад төрлийн аливаа хохирол, байгалийн давагдашгүй хүчин зүйлээс үүсэх шууд болон шууд бус хохирол ба энэхүү ОУЦТК-ын хэвлэл, бусад ОУЦТК-ын хэвлэлийг хэвлэн нийтлэх, ашиглах, хамааралтай холбоотой зардал (хууль ёсны хураамжийг оруулаад)-д , эсхүл ямар ч хариуцлага хүлээхгүй.</w:t>
      </w:r>
    </w:p>
    <w:p w:rsidR="001C4C31" w:rsidRPr="00CE2AC2" w:rsidRDefault="001C4C31" w:rsidP="00472036">
      <w:pPr>
        <w:pStyle w:val="ListParagraph"/>
        <w:numPr>
          <w:ilvl w:val="0"/>
          <w:numId w:val="3"/>
        </w:numPr>
        <w:spacing w:after="160"/>
        <w:ind w:left="0" w:firstLine="0"/>
      </w:pPr>
      <w:r w:rsidRPr="00CE2AC2">
        <w:t>Энэхүү хэвлэлд дурдсан норматив ишлэлд анхаарал хандуулж байна. Ашигласан материалыг ашиглах нь энэ хэвлэлийг зөв ашиглахад зайлшгүй шаардлагатай.</w:t>
      </w:r>
    </w:p>
    <w:p w:rsidR="001C4C31" w:rsidRPr="00CE2AC2" w:rsidRDefault="001C4C31" w:rsidP="001C4C31">
      <w:pPr>
        <w:pStyle w:val="ListParagraph"/>
        <w:spacing w:after="160"/>
        <w:ind w:left="0" w:firstLine="0"/>
      </w:pPr>
      <w:r w:rsidRPr="00CE2AC2">
        <w:t>Энэхүү ОУЦТК-ын хэвлэлийн зарим элемент нь патентын эрхийн субьект байж болох тал дээр анхаарлаа хандуулж байна. ОУЦТК нь бусад патентын эрхийг тодорхойлох хариуцлага хүлээхгүй.</w:t>
      </w:r>
    </w:p>
    <w:p w:rsidR="001C4C31" w:rsidRPr="00CE2AC2" w:rsidRDefault="001C4C31" w:rsidP="001C4C31">
      <w:pPr>
        <w:pStyle w:val="ListParagraph"/>
        <w:spacing w:after="160"/>
        <w:ind w:left="0" w:firstLine="0"/>
      </w:pPr>
      <w:r w:rsidRPr="00CE2AC2">
        <w:t>ОУЦТК –ын техникийн хорооны үндсэн ажил бол Олон улсын стандартыг бэлтгэх явдал юм. Гэсэн хэдий ч, техникийн хороо нь олон улсын стандартын дагуу нийтлэгдсэн, жишээ нь "theart of state" -ээс өөр төрлийн мэдээлэл цуглуулсан тохиолдолд техникийн тайланг нийтлэхийг санал болгож болно.</w:t>
      </w:r>
    </w:p>
    <w:p w:rsidR="001C4C31" w:rsidRPr="00CE2AC2" w:rsidRDefault="001C4C31" w:rsidP="001C4C31">
      <w:pPr>
        <w:pStyle w:val="ListParagraph"/>
        <w:spacing w:after="160"/>
        <w:ind w:left="0" w:firstLine="0"/>
      </w:pPr>
      <w:r w:rsidRPr="00CE2AC2">
        <w:t>Техникийн тайлан болох IEC 61850-90-5, ОУЦТК-ын техникийн хороо 57: Эрчим хүчний системийн удирдлага, холбогдох мэдээлэл солилцох.</w:t>
      </w:r>
    </w:p>
    <w:p w:rsidR="001C4C31" w:rsidRPr="00CE2AC2" w:rsidRDefault="001C4C31" w:rsidP="001C4C31">
      <w:pPr>
        <w:pStyle w:val="ListParagraph"/>
        <w:spacing w:after="160"/>
        <w:ind w:left="0" w:firstLine="0"/>
      </w:pPr>
      <w:r w:rsidRPr="00CE2AC2">
        <w:t>Энэхүү техникийн тайлангийн текстийг дараах баримт бичигт үндэслэв:</w:t>
      </w:r>
    </w:p>
    <w:tbl>
      <w:tblPr>
        <w:tblStyle w:val="TableGrid"/>
        <w:tblW w:w="0" w:type="auto"/>
        <w:tblInd w:w="1638" w:type="dxa"/>
        <w:tblLook w:val="04A0" w:firstRow="1" w:lastRow="0" w:firstColumn="1" w:lastColumn="0" w:noHBand="0" w:noVBand="1"/>
      </w:tblPr>
      <w:tblGrid>
        <w:gridCol w:w="3240"/>
        <w:gridCol w:w="3240"/>
      </w:tblGrid>
      <w:tr w:rsidR="001C4C31" w:rsidRPr="009A6FE9" w:rsidTr="001C4C31">
        <w:trPr>
          <w:trHeight w:val="285"/>
        </w:trPr>
        <w:tc>
          <w:tcPr>
            <w:tcW w:w="3240" w:type="dxa"/>
          </w:tcPr>
          <w:bookmarkEnd w:id="1"/>
          <w:p w:rsidR="001C4C31" w:rsidRPr="00EF2D2B" w:rsidRDefault="001C4C31" w:rsidP="001C4C31">
            <w:pPr>
              <w:pStyle w:val="TableParagraph"/>
              <w:tabs>
                <w:tab w:val="left" w:pos="0"/>
              </w:tabs>
              <w:spacing w:line="276" w:lineRule="auto"/>
              <w:ind w:left="519" w:right="518"/>
              <w:jc w:val="center"/>
              <w:rPr>
                <w:sz w:val="24"/>
                <w:szCs w:val="24"/>
                <w:lang w:val="mn-MN"/>
              </w:rPr>
            </w:pPr>
            <w:r w:rsidRPr="00EF2D2B">
              <w:rPr>
                <w:sz w:val="24"/>
                <w:szCs w:val="24"/>
                <w:lang w:val="mn-MN"/>
              </w:rPr>
              <w:t>Лавлагаа төсөл</w:t>
            </w:r>
          </w:p>
        </w:tc>
        <w:tc>
          <w:tcPr>
            <w:tcW w:w="3240" w:type="dxa"/>
          </w:tcPr>
          <w:p w:rsidR="001C4C31" w:rsidRPr="00EF2D2B" w:rsidRDefault="001C4C31" w:rsidP="001C4C31">
            <w:pPr>
              <w:pStyle w:val="TableParagraph"/>
              <w:tabs>
                <w:tab w:val="left" w:pos="0"/>
              </w:tabs>
              <w:spacing w:line="276" w:lineRule="auto"/>
              <w:ind w:left="9"/>
              <w:jc w:val="center"/>
              <w:rPr>
                <w:sz w:val="24"/>
                <w:szCs w:val="24"/>
                <w:lang w:val="mn-MN"/>
              </w:rPr>
            </w:pPr>
            <w:r w:rsidRPr="00EF2D2B">
              <w:rPr>
                <w:sz w:val="24"/>
                <w:szCs w:val="24"/>
                <w:lang w:val="mn-MN"/>
              </w:rPr>
              <w:t>Санал хураалтын тайлан</w:t>
            </w:r>
          </w:p>
        </w:tc>
      </w:tr>
      <w:tr w:rsidR="001C4C31" w:rsidRPr="009A6FE9" w:rsidTr="001C4C31">
        <w:trPr>
          <w:trHeight w:val="300"/>
        </w:trPr>
        <w:tc>
          <w:tcPr>
            <w:tcW w:w="3240" w:type="dxa"/>
          </w:tcPr>
          <w:p w:rsidR="001C4C31" w:rsidRPr="00EF2D2B" w:rsidRDefault="001C4C31" w:rsidP="001C4C31">
            <w:pPr>
              <w:pStyle w:val="TableParagraph"/>
              <w:tabs>
                <w:tab w:val="left" w:pos="0"/>
              </w:tabs>
              <w:spacing w:line="276" w:lineRule="auto"/>
              <w:ind w:left="519" w:right="519"/>
              <w:jc w:val="center"/>
              <w:rPr>
                <w:sz w:val="24"/>
                <w:szCs w:val="24"/>
                <w:lang w:val="mn-MN"/>
              </w:rPr>
            </w:pPr>
            <w:r w:rsidRPr="00EF2D2B">
              <w:rPr>
                <w:sz w:val="24"/>
                <w:szCs w:val="24"/>
                <w:lang w:val="mn-MN"/>
              </w:rPr>
              <w:t>57/1144/DTR</w:t>
            </w:r>
          </w:p>
        </w:tc>
        <w:tc>
          <w:tcPr>
            <w:tcW w:w="3240" w:type="dxa"/>
          </w:tcPr>
          <w:p w:rsidR="001C4C31" w:rsidRPr="00731F96" w:rsidRDefault="001C4C31" w:rsidP="001C4C31">
            <w:pPr>
              <w:pStyle w:val="TableParagraph"/>
              <w:tabs>
                <w:tab w:val="left" w:pos="0"/>
              </w:tabs>
              <w:spacing w:line="276" w:lineRule="auto"/>
              <w:ind w:left="519" w:right="519"/>
              <w:jc w:val="center"/>
              <w:rPr>
                <w:sz w:val="24"/>
                <w:szCs w:val="24"/>
                <w:lang w:val="mn-MN"/>
              </w:rPr>
            </w:pPr>
            <w:r w:rsidRPr="00731F96">
              <w:rPr>
                <w:sz w:val="24"/>
                <w:szCs w:val="24"/>
                <w:lang w:val="mn-MN"/>
              </w:rPr>
              <w:t>57/1207/RVC</w:t>
            </w:r>
          </w:p>
        </w:tc>
      </w:tr>
    </w:tbl>
    <w:p w:rsidR="001C4C31" w:rsidRPr="00760608" w:rsidRDefault="001C4C31" w:rsidP="001C4C31">
      <w:pPr>
        <w:spacing w:after="120"/>
        <w:ind w:left="0" w:firstLine="0"/>
      </w:pPr>
    </w:p>
    <w:p w:rsidR="001C4C31" w:rsidRPr="00CE2AC2" w:rsidRDefault="001C4C31" w:rsidP="001C4C31">
      <w:pPr>
        <w:pStyle w:val="ListParagraph"/>
        <w:spacing w:after="160"/>
        <w:ind w:left="0" w:firstLine="0"/>
      </w:pPr>
      <w:r w:rsidRPr="00CE2AC2">
        <w:t>Энэхүү техникийн тайланг батлах санал хураалтын талаарх бүрэн мэдээллийг дээрх хүснэгтэд заасан санал хураалтын тайлангаас авах боломжтой. Энэхүү техникийн тайланг ОУЦТК ба IEEE хамтарч бэлтгэсэн.IEC TC 57 WG 10-ийн гишүүд, IEEE-ийн эрчим хүч, эрчим хүчний нийгэмлэг / IEEE-ийн эрчим хүчний системийн релений хорооноос бүрдсэн ажлын хэсэг нь IEC TC 57 WG 10-ийн ээлжит уулзалтууд болон IEEE-ийн эрчим хүч, эрчим хүчний нийгэмлэг / IEEE-ийн эрчим хүчний системийн релений хорооны тогтмол уулзалтууд дээр ажлын тайлангийн хамт энэхүү тайланг бэлтгэсэн. Техникийн тайланг батлуулж, нийтэлсний дараа үр дүнг IEC 61850-ийн холбогдох хэсэгт нэмэлт, өөрчлөлт оруулах байдлаар нэгтгэнэ.</w:t>
      </w:r>
    </w:p>
    <w:p w:rsidR="001C4C31" w:rsidRPr="00CE2AC2" w:rsidRDefault="001C4C31" w:rsidP="001C4C31">
      <w:pPr>
        <w:pStyle w:val="ListParagraph"/>
        <w:spacing w:after="160"/>
        <w:ind w:left="0" w:firstLine="0"/>
      </w:pPr>
      <w:r w:rsidRPr="00CE2AC2">
        <w:t>Энэхүү нийтлэлийг ОУСБ / ОУЦТК зааврын 2-р хэсгийн дагуу боловсруулсан болно.</w:t>
      </w:r>
    </w:p>
    <w:p w:rsidR="001C4C31" w:rsidRPr="00F70ADC" w:rsidRDefault="001C4C31" w:rsidP="001C4C31">
      <w:pPr>
        <w:pStyle w:val="ListParagraph"/>
        <w:spacing w:after="160"/>
        <w:ind w:left="0" w:firstLine="0"/>
        <w:rPr>
          <w:i/>
        </w:rPr>
      </w:pPr>
      <w:r w:rsidRPr="00F70ADC">
        <w:t>Ерөнхий гарчиг дор</w:t>
      </w:r>
      <w:r w:rsidRPr="00F70ADC">
        <w:rPr>
          <w:i/>
        </w:rPr>
        <w:t xml:space="preserve"> IEC 61850 цувралын бүх хэсгүүдийн жагсаалтыг: Цахилгаан хангамжийн автоматжуулалтын систем ба харилцаа холбооны сүлжээг ОУЦТК –ын вэбсайтаас харж болно. </w:t>
      </w:r>
    </w:p>
    <w:p w:rsidR="001C4C31" w:rsidRPr="00CE2AC2" w:rsidRDefault="001C4C31" w:rsidP="001C4C31">
      <w:pPr>
        <w:pStyle w:val="ListParagraph"/>
        <w:spacing w:after="160"/>
        <w:ind w:left="0" w:firstLine="0"/>
      </w:pPr>
      <w:r w:rsidRPr="00CE2AC2">
        <w:lastRenderedPageBreak/>
        <w:t>Тус комиссоос тус хэвлэлийн агуулгад тусгайлан нийтэлсэн мэдээлэлд "http://webstore.iec.ch" дор ОУЦТК –ын вэбсайт дээр заасан өдөр хүртэл өөрчлөгдөхгүй байхаар шийдвэрлэв. Энэ өдөр нийтлэл гарах болно.</w:t>
      </w:r>
    </w:p>
    <w:p w:rsidR="001C4C31" w:rsidRPr="00EF2D2B" w:rsidRDefault="001C4C31" w:rsidP="00472036">
      <w:pPr>
        <w:pStyle w:val="Header"/>
        <w:numPr>
          <w:ilvl w:val="1"/>
          <w:numId w:val="2"/>
        </w:numPr>
        <w:tabs>
          <w:tab w:val="clear" w:pos="4513"/>
          <w:tab w:val="clear" w:pos="9026"/>
        </w:tabs>
        <w:spacing w:line="276" w:lineRule="auto"/>
        <w:ind w:left="851" w:hanging="284"/>
      </w:pPr>
      <w:r w:rsidRPr="00CE2AC2">
        <w:t>дахин баталсан,</w:t>
      </w:r>
    </w:p>
    <w:p w:rsidR="001C4C31" w:rsidRPr="00EF2D2B" w:rsidRDefault="001C4C31" w:rsidP="00472036">
      <w:pPr>
        <w:pStyle w:val="Header"/>
        <w:numPr>
          <w:ilvl w:val="1"/>
          <w:numId w:val="2"/>
        </w:numPr>
        <w:tabs>
          <w:tab w:val="clear" w:pos="4513"/>
          <w:tab w:val="clear" w:pos="9026"/>
        </w:tabs>
        <w:spacing w:line="276" w:lineRule="auto"/>
        <w:ind w:left="851" w:hanging="284"/>
      </w:pPr>
      <w:r w:rsidRPr="00CE2AC2">
        <w:t>эргүүлэн татсан,</w:t>
      </w:r>
    </w:p>
    <w:p w:rsidR="001C4C31" w:rsidRDefault="001C4C31" w:rsidP="00472036">
      <w:pPr>
        <w:pStyle w:val="Header"/>
        <w:numPr>
          <w:ilvl w:val="1"/>
          <w:numId w:val="2"/>
        </w:numPr>
        <w:tabs>
          <w:tab w:val="clear" w:pos="4513"/>
          <w:tab w:val="clear" w:pos="9026"/>
        </w:tabs>
        <w:spacing w:line="276" w:lineRule="auto"/>
        <w:ind w:left="851" w:hanging="284"/>
      </w:pPr>
      <w:r w:rsidRPr="00CE2AC2">
        <w:t>шинэчилсэн хэвлэлээр сольж, эсвэл</w:t>
      </w:r>
    </w:p>
    <w:p w:rsidR="001C4C31" w:rsidRPr="00EF2D2B" w:rsidRDefault="001C4C31" w:rsidP="00472036">
      <w:pPr>
        <w:pStyle w:val="Header"/>
        <w:numPr>
          <w:ilvl w:val="1"/>
          <w:numId w:val="2"/>
        </w:numPr>
        <w:tabs>
          <w:tab w:val="clear" w:pos="4513"/>
          <w:tab w:val="clear" w:pos="9026"/>
        </w:tabs>
        <w:spacing w:line="276" w:lineRule="auto"/>
        <w:ind w:left="851" w:hanging="284"/>
      </w:pPr>
      <w:r>
        <w:t>нэмэлт оруулсан.</w:t>
      </w:r>
    </w:p>
    <w:p w:rsidR="001C4C31" w:rsidRDefault="001C4C31" w:rsidP="001C4C31">
      <w:pPr>
        <w:spacing w:after="120"/>
        <w:ind w:left="0" w:firstLine="0"/>
      </w:pPr>
      <w:r>
        <w:rPr>
          <w:noProof/>
          <w:lang w:val="en-US"/>
        </w:rPr>
        <mc:AlternateContent>
          <mc:Choice Requires="wps">
            <w:drawing>
              <wp:anchor distT="0" distB="0" distL="0" distR="0" simplePos="0" relativeHeight="251662336" behindDoc="1" locked="0" layoutInCell="1" allowOverlap="1">
                <wp:simplePos x="0" y="0"/>
                <wp:positionH relativeFrom="page">
                  <wp:posOffset>1050925</wp:posOffset>
                </wp:positionH>
                <wp:positionV relativeFrom="paragraph">
                  <wp:posOffset>142240</wp:posOffset>
                </wp:positionV>
                <wp:extent cx="6092825" cy="941070"/>
                <wp:effectExtent l="0" t="0" r="22225" b="11430"/>
                <wp:wrapTopAndBottom/>
                <wp:docPr id="1677"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94107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80958" w:rsidRPr="00493473" w:rsidRDefault="00D80958" w:rsidP="001C4C31">
                            <w:pPr>
                              <w:pStyle w:val="ListParagraph"/>
                              <w:spacing w:after="0"/>
                              <w:ind w:left="0" w:firstLine="0"/>
                              <w:rPr>
                                <w:b/>
                                <w:bCs/>
                                <w:color w:val="000000"/>
                              </w:rPr>
                            </w:pPr>
                            <w:r w:rsidRPr="00493473">
                              <w:rPr>
                                <w:b/>
                                <w:bCs/>
                                <w:color w:val="000000"/>
                              </w:rPr>
                              <w:t>ЧУХАЛ тэмдэглэл - Энэхүү нийтлэлийн нүүр хуудсанд байрлах 'colour inside' лого нь түүний агуулгыг зөв ойлгоход хэрэгтэй гэж үзсэн өнгө агуулж байгааг харуулж байна. Тиймээс хэрэглэгчид энэ баримт бичгийг өнгөт принтер ашиглан хэвлэх хэрэгтэй.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7" o:spid="_x0000_s1026" type="#_x0000_t202" style="position:absolute;left:0;text-align:left;margin-left:82.75pt;margin-top:11.2pt;width:479.75pt;height:74.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" filled="f" strokeweight=".72pt">
                <v:textbox inset="0,0,0,0">
                  <w:txbxContent>
                    <w:p w:rsidR="00D80958" w:rsidRPr="00493473" w:rsidRDefault="00D80958" w:rsidP="001C4C31">
                      <w:pPr>
                        <w:pStyle w:val="ListParagraph"/>
                        <w:spacing w:after="0"/>
                        <w:ind w:left="0" w:firstLine="0"/>
                        <w:rPr>
                          <w:b/>
                          <w:bCs/>
                          <w:color w:val="000000"/>
                        </w:rPr>
                      </w:pPr>
                      <w:r w:rsidRPr="00493473">
                        <w:rPr>
                          <w:b/>
                          <w:bCs/>
                          <w:color w:val="000000"/>
                        </w:rPr>
                        <w:t>ЧУХАЛ тэмдэглэл - Энэхүү нийтлэлийн нүүр хуудсанд байрлах 'colour inside' лого нь түүний агуулгыг зөв ойлгоход хэрэгтэй гэж үзсэн өнгө агуулж байгааг харуулж байна. Тиймээс хэрэглэгчид энэ баримт бичгийг өнгөт принтер ашиглан хэвлэх хэрэгтэй.</w:t>
                      </w:r>
                    </w:p>
                  </w:txbxContent>
                </v:textbox>
                <w10:wrap type="topAndBottom" anchorx="page"/>
              </v:shape>
            </w:pict>
          </mc:Fallback>
        </mc:AlternateContent>
      </w:r>
    </w:p>
    <w:p w:rsidR="001C4C31" w:rsidRPr="00CE2AC2" w:rsidRDefault="001C4C31" w:rsidP="001C4C31">
      <w:pPr>
        <w:spacing w:after="120"/>
        <w:ind w:left="0" w:firstLine="0"/>
      </w:pPr>
      <w:r w:rsidRPr="00CE2AC2">
        <w:t>Энэхүү хэвлэлийн хоёрдогч хэлээр гаргасан хувилбарыг хожим гаргаж болно.</w:t>
      </w:r>
    </w:p>
    <w:p w:rsidR="001C4C31" w:rsidRPr="003C3B02" w:rsidRDefault="001C4C31" w:rsidP="001C4C31">
      <w:pPr>
        <w:spacing w:after="120"/>
        <w:ind w:left="0" w:firstLine="0"/>
        <w:jc w:val="left"/>
        <w:rPr>
          <w:rFonts w:eastAsia="Calibri"/>
          <w:bCs/>
          <w:szCs w:val="22"/>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Default="001C4C31" w:rsidP="001C4C31">
      <w:pPr>
        <w:spacing w:after="120"/>
        <w:ind w:left="0" w:firstLine="0"/>
        <w:rPr>
          <w:b/>
        </w:rPr>
      </w:pPr>
    </w:p>
    <w:p w:rsidR="001C4C31" w:rsidRPr="00BE6137" w:rsidRDefault="001C4C31" w:rsidP="001C4C31">
      <w:pPr>
        <w:spacing w:after="80"/>
        <w:jc w:val="center"/>
      </w:pPr>
      <w:r w:rsidRPr="00BE6137">
        <w:lastRenderedPageBreak/>
        <w:t>INTERNATIONAL ELECTROTECHNICAL COMMISSION</w:t>
      </w:r>
    </w:p>
    <w:p w:rsidR="001C4C31" w:rsidRPr="00D33687" w:rsidRDefault="001C4C31" w:rsidP="001C4C31">
      <w:pPr>
        <w:spacing w:after="80"/>
        <w:jc w:val="center"/>
      </w:pPr>
      <w:r>
        <w:rPr>
          <w:noProof/>
          <w:lang w:val="en-US"/>
        </w:rPr>
        <mc:AlternateContent>
          <mc:Choice Requires="wps">
            <w:drawing>
              <wp:anchor distT="4294967295" distB="4294967295" distL="114300" distR="114300" simplePos="0" relativeHeight="251663360" behindDoc="0" locked="0" layoutInCell="1" allowOverlap="1">
                <wp:simplePos x="0" y="0"/>
                <wp:positionH relativeFrom="column">
                  <wp:posOffset>2757170</wp:posOffset>
                </wp:positionH>
                <wp:positionV relativeFrom="paragraph">
                  <wp:posOffset>96519</wp:posOffset>
                </wp:positionV>
                <wp:extent cx="923925" cy="0"/>
                <wp:effectExtent l="0" t="0" r="28575" b="19050"/>
                <wp:wrapNone/>
                <wp:docPr id="1420" name="Straight Arrow Connector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3BABFF" id="_x0000_t32" coordsize="21600,21600" o:spt="32" o:oned="t" path="m,l21600,21600e" filled="f">
                <v:path arrowok="t" fillok="f" o:connecttype="none"/>
                <o:lock v:ext="edit" shapetype="t"/>
              </v:shapetype>
              <v:shape id="Straight Arrow Connector 1420" o:spid="_x0000_s1026" type="#_x0000_t32" style="position:absolute;margin-left:217.1pt;margin-top:7.6pt;width:72.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"/>
            </w:pict>
          </mc:Fallback>
        </mc:AlternateContent>
      </w:r>
    </w:p>
    <w:p w:rsidR="001C4C31" w:rsidRPr="00EF2D2B" w:rsidRDefault="001C4C31" w:rsidP="001C4C31">
      <w:pPr>
        <w:tabs>
          <w:tab w:val="left" w:pos="0"/>
        </w:tabs>
        <w:spacing w:before="92"/>
        <w:ind w:left="1790" w:right="1740"/>
        <w:jc w:val="center"/>
        <w:rPr>
          <w:b/>
        </w:rPr>
      </w:pPr>
      <w:r w:rsidRPr="00EF2D2B">
        <w:rPr>
          <w:b/>
        </w:rPr>
        <w:t>COMMUNICATION NETWORKS AND SYSTEMS FOR POWER UTILITY AUTOMATION –</w:t>
      </w:r>
    </w:p>
    <w:p w:rsidR="001C4C31" w:rsidRPr="00EF2D2B" w:rsidRDefault="001C4C31" w:rsidP="001C4C31">
      <w:pPr>
        <w:tabs>
          <w:tab w:val="left" w:pos="0"/>
        </w:tabs>
        <w:ind w:left="1790" w:right="1739"/>
        <w:jc w:val="center"/>
        <w:rPr>
          <w:b/>
        </w:rPr>
      </w:pPr>
      <w:r w:rsidRPr="00EF2D2B">
        <w:rPr>
          <w:b/>
        </w:rPr>
        <w:t>Part 90-5: Use of IEC 61850 to transmit synchrophasor information according to IEEE C37.118</w:t>
      </w:r>
    </w:p>
    <w:p w:rsidR="001C4C31" w:rsidRDefault="001C4C31" w:rsidP="001C4C31">
      <w:pPr>
        <w:spacing w:after="120"/>
        <w:ind w:left="0" w:firstLine="0"/>
        <w:rPr>
          <w:b/>
        </w:rPr>
      </w:pPr>
    </w:p>
    <w:p w:rsidR="001C4C31" w:rsidRDefault="001C4C31" w:rsidP="001C4C31">
      <w:pPr>
        <w:spacing w:after="120"/>
        <w:ind w:left="0" w:firstLine="0"/>
        <w:jc w:val="center"/>
      </w:pPr>
      <w:r>
        <w:t xml:space="preserve">FOREWORD </w:t>
      </w:r>
    </w:p>
    <w:p w:rsidR="001C4C31" w:rsidRPr="00CE2AC2" w:rsidRDefault="001C4C31" w:rsidP="001C4C31">
      <w:pPr>
        <w:pStyle w:val="ListParagraph"/>
        <w:spacing w:after="160"/>
        <w:ind w:left="0" w:firstLine="0"/>
      </w:pPr>
      <w:r>
        <w:rPr>
          <w:lang w:val="en-US"/>
        </w:rPr>
        <w:t xml:space="preserve">1 </w:t>
      </w:r>
      <w:r w:rsidRPr="00CE2AC2">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 governmental organizations liaising with the IEC  also participate in  this  preparation. IEC collaborates closely  with the International Organization for Standardization (ISO) in accordance with conditions determined by agreement between the two organizations.</w:t>
      </w:r>
    </w:p>
    <w:p w:rsidR="001C4C31" w:rsidRPr="00CE2AC2" w:rsidRDefault="001C4C31" w:rsidP="001C4C31">
      <w:pPr>
        <w:pStyle w:val="ListParagraph"/>
        <w:spacing w:after="160"/>
        <w:ind w:left="0" w:firstLine="0"/>
        <w:rPr>
          <w:lang w:val="en-US"/>
        </w:rPr>
      </w:pPr>
      <w:r>
        <w:rPr>
          <w:lang w:val="en-US"/>
        </w:rPr>
        <w:t xml:space="preserve">2 </w:t>
      </w:r>
      <w:r w:rsidRPr="00CE2AC2">
        <w:rPr>
          <w:lang w:val="en-US"/>
        </w:rPr>
        <w:t>The formal decisions or agreements of IEC on technical matters express, as nearly as possible, an international consensus of opinion on the relevant subjects since each technical committee has representation from all interested IEC National Committees.</w:t>
      </w:r>
    </w:p>
    <w:p w:rsidR="001C4C31" w:rsidRPr="00CE2AC2" w:rsidRDefault="001C4C31" w:rsidP="001C4C31">
      <w:pPr>
        <w:pStyle w:val="ListParagraph"/>
        <w:spacing w:after="160"/>
        <w:ind w:left="0" w:firstLine="0"/>
        <w:rPr>
          <w:lang w:val="en-US"/>
        </w:rPr>
      </w:pPr>
      <w:r>
        <w:rPr>
          <w:lang w:val="en-US"/>
        </w:rPr>
        <w:t xml:space="preserve">3 </w:t>
      </w:r>
      <w:r w:rsidRPr="00CE2AC2">
        <w:rPr>
          <w:lang w:val="en-US"/>
        </w:rPr>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rsidR="001C4C31" w:rsidRPr="00CE2AC2" w:rsidRDefault="001C4C31" w:rsidP="001C4C31">
      <w:pPr>
        <w:pStyle w:val="ListParagraph"/>
        <w:spacing w:after="160"/>
        <w:ind w:left="0" w:firstLine="0"/>
        <w:rPr>
          <w:lang w:val="en-US"/>
        </w:rPr>
      </w:pPr>
      <w:r>
        <w:rPr>
          <w:lang w:val="en-US"/>
        </w:rPr>
        <w:t xml:space="preserve">4 </w:t>
      </w:r>
      <w:r w:rsidRPr="00CE2AC2">
        <w:rPr>
          <w:lang w:val="en-US"/>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1C4C31" w:rsidRPr="00CE2AC2" w:rsidRDefault="001C4C31" w:rsidP="001C4C31">
      <w:pPr>
        <w:pStyle w:val="ListParagraph"/>
        <w:spacing w:after="160"/>
        <w:ind w:left="0" w:firstLine="0"/>
        <w:rPr>
          <w:lang w:val="en-US"/>
        </w:rPr>
      </w:pPr>
      <w:r>
        <w:rPr>
          <w:lang w:val="en-US"/>
        </w:rPr>
        <w:t xml:space="preserve">5 </w:t>
      </w:r>
      <w:r w:rsidRPr="00CE2AC2">
        <w:rPr>
          <w:lang w:val="en-US"/>
        </w:rPr>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rsidR="001C4C31" w:rsidRPr="00CE2AC2" w:rsidRDefault="001C4C31" w:rsidP="001C4C31">
      <w:pPr>
        <w:pStyle w:val="ListParagraph"/>
        <w:spacing w:after="160"/>
        <w:ind w:left="0" w:firstLine="0"/>
        <w:rPr>
          <w:lang w:val="en-US"/>
        </w:rPr>
      </w:pPr>
      <w:r>
        <w:rPr>
          <w:lang w:val="en-US"/>
        </w:rPr>
        <w:t xml:space="preserve">6 </w:t>
      </w:r>
      <w:r w:rsidRPr="00CE2AC2">
        <w:rPr>
          <w:lang w:val="en-US"/>
        </w:rPr>
        <w:t>All users should ensure that they have the latest edition of this publication.</w:t>
      </w:r>
    </w:p>
    <w:p w:rsidR="001C4C31" w:rsidRPr="00CE2AC2" w:rsidRDefault="001C4C31" w:rsidP="001C4C31">
      <w:pPr>
        <w:pStyle w:val="ListParagraph"/>
        <w:spacing w:after="160"/>
        <w:ind w:left="0" w:firstLine="0"/>
        <w:rPr>
          <w:lang w:val="en-US"/>
        </w:rPr>
      </w:pPr>
      <w:r>
        <w:rPr>
          <w:lang w:val="en-US"/>
        </w:rPr>
        <w:t xml:space="preserve">7 </w:t>
      </w:r>
      <w:r w:rsidRPr="00CE2AC2">
        <w:rPr>
          <w:lang w:val="en-US"/>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rsidR="001C4C31" w:rsidRPr="00CE2AC2" w:rsidRDefault="001C4C31" w:rsidP="001C4C31">
      <w:pPr>
        <w:pStyle w:val="ListParagraph"/>
        <w:spacing w:after="160"/>
        <w:ind w:left="0" w:firstLine="0"/>
        <w:rPr>
          <w:lang w:val="en-US"/>
        </w:rPr>
      </w:pPr>
      <w:r>
        <w:rPr>
          <w:lang w:val="en-US"/>
        </w:rPr>
        <w:lastRenderedPageBreak/>
        <w:t xml:space="preserve">8 </w:t>
      </w:r>
      <w:r w:rsidRPr="00CE2AC2">
        <w:rPr>
          <w:lang w:val="en-US"/>
        </w:rPr>
        <w:t>Attention is drawn to the Normative references cited in this publication. Use of the referenced publications is indispensable for the correct application of this publication.</w:t>
      </w:r>
    </w:p>
    <w:p w:rsidR="001C4C31" w:rsidRPr="00CE2AC2" w:rsidRDefault="001C4C31" w:rsidP="001C4C31">
      <w:pPr>
        <w:pStyle w:val="ListParagraph"/>
        <w:spacing w:after="160"/>
        <w:ind w:left="0" w:firstLine="0"/>
        <w:rPr>
          <w:lang w:val="en-US"/>
        </w:rPr>
      </w:pPr>
      <w:r>
        <w:rPr>
          <w:lang w:val="en-US"/>
        </w:rPr>
        <w:t xml:space="preserve">9 </w:t>
      </w:r>
      <w:r w:rsidRPr="00CE2AC2">
        <w:rPr>
          <w:lang w:val="en-US"/>
        </w:rPr>
        <w:t>Attention is drawn to the possibility that some of the elements of this  IEC Publication may be  the  subject of  patent rights. IEC shall not be held responsible for identifying any or all such patent rights.</w:t>
      </w:r>
    </w:p>
    <w:p w:rsidR="001C4C31" w:rsidRPr="00CE2AC2" w:rsidRDefault="001C4C31" w:rsidP="001C4C31">
      <w:pPr>
        <w:pStyle w:val="ListParagraph"/>
        <w:spacing w:after="160"/>
        <w:ind w:left="0" w:firstLine="0"/>
        <w:rPr>
          <w:lang w:val="en-US"/>
        </w:rPr>
      </w:pPr>
      <w:r w:rsidRPr="00CE2AC2">
        <w:rPr>
          <w:lang w:val="en-US"/>
        </w:rPr>
        <w:t>The main task of IEC technical committees is to prepare International Standards. However, a technical committee may propose the publication of a technical report when it has collected data of a different kind from that which is normally published as an International Standard, for example "state of the art".</w:t>
      </w:r>
    </w:p>
    <w:p w:rsidR="001C4C31" w:rsidRPr="00CE2AC2" w:rsidRDefault="001C4C31" w:rsidP="001C4C31">
      <w:pPr>
        <w:pStyle w:val="ListParagraph"/>
        <w:spacing w:after="160"/>
        <w:ind w:left="0" w:firstLine="0"/>
        <w:rPr>
          <w:lang w:val="en-US"/>
        </w:rPr>
      </w:pPr>
      <w:r w:rsidRPr="00CE2AC2">
        <w:rPr>
          <w:lang w:val="en-US"/>
        </w:rPr>
        <w:t>IEC 61850-90-5, which is a technical report, has been prepared by IEC  technical committee 57: Power systems management and associated information exchange.</w:t>
      </w:r>
    </w:p>
    <w:p w:rsidR="001C4C31" w:rsidRPr="00CE2AC2" w:rsidRDefault="001C4C31" w:rsidP="001C4C31">
      <w:pPr>
        <w:pStyle w:val="ListParagraph"/>
        <w:spacing w:after="160"/>
        <w:ind w:left="0" w:firstLine="0"/>
        <w:rPr>
          <w:lang w:val="en-US"/>
        </w:rPr>
      </w:pPr>
      <w:r w:rsidRPr="00CE2AC2">
        <w:rPr>
          <w:lang w:val="en-US"/>
        </w:rPr>
        <w:t>The text of this technical report is based on the following documents:</w:t>
      </w:r>
    </w:p>
    <w:tbl>
      <w:tblPr>
        <w:tblStyle w:val="TableGrid"/>
        <w:tblW w:w="0" w:type="auto"/>
        <w:tblInd w:w="1998" w:type="dxa"/>
        <w:tblLook w:val="04A0" w:firstRow="1" w:lastRow="0" w:firstColumn="1" w:lastColumn="0" w:noHBand="0" w:noVBand="1"/>
      </w:tblPr>
      <w:tblGrid>
        <w:gridCol w:w="2928"/>
        <w:gridCol w:w="3012"/>
      </w:tblGrid>
      <w:tr w:rsidR="001C4C31" w:rsidTr="001C4C31">
        <w:tc>
          <w:tcPr>
            <w:tcW w:w="2928" w:type="dxa"/>
          </w:tcPr>
          <w:p w:rsidR="001C4C31" w:rsidRPr="00EF2D2B" w:rsidRDefault="001C4C31" w:rsidP="001C4C31">
            <w:pPr>
              <w:pStyle w:val="TableParagraph"/>
              <w:tabs>
                <w:tab w:val="left" w:pos="0"/>
              </w:tabs>
              <w:spacing w:line="276" w:lineRule="auto"/>
              <w:ind w:left="519" w:right="518"/>
              <w:jc w:val="center"/>
              <w:rPr>
                <w:sz w:val="24"/>
                <w:szCs w:val="24"/>
                <w:lang w:val="mn-MN"/>
              </w:rPr>
            </w:pPr>
            <w:r w:rsidRPr="00EF2D2B">
              <w:rPr>
                <w:sz w:val="24"/>
                <w:szCs w:val="24"/>
                <w:lang w:val="mn-MN"/>
              </w:rPr>
              <w:t>Enquiry draft</w:t>
            </w:r>
          </w:p>
        </w:tc>
        <w:tc>
          <w:tcPr>
            <w:tcW w:w="3012" w:type="dxa"/>
          </w:tcPr>
          <w:p w:rsidR="001C4C31" w:rsidRPr="00EF2D2B" w:rsidRDefault="001C4C31" w:rsidP="001C4C31">
            <w:pPr>
              <w:pStyle w:val="TableParagraph"/>
              <w:tabs>
                <w:tab w:val="left" w:pos="0"/>
              </w:tabs>
              <w:spacing w:line="276" w:lineRule="auto"/>
              <w:ind w:left="519" w:right="519"/>
              <w:jc w:val="center"/>
              <w:rPr>
                <w:sz w:val="24"/>
                <w:szCs w:val="24"/>
                <w:lang w:val="mn-MN"/>
              </w:rPr>
            </w:pPr>
            <w:r w:rsidRPr="00EF2D2B">
              <w:rPr>
                <w:sz w:val="24"/>
                <w:szCs w:val="24"/>
                <w:lang w:val="mn-MN"/>
              </w:rPr>
              <w:t>Report on voting</w:t>
            </w:r>
          </w:p>
        </w:tc>
      </w:tr>
      <w:tr w:rsidR="001C4C31" w:rsidTr="001C4C31">
        <w:tc>
          <w:tcPr>
            <w:tcW w:w="2928" w:type="dxa"/>
          </w:tcPr>
          <w:p w:rsidR="001C4C31" w:rsidRPr="00EF2D2B" w:rsidRDefault="001C4C31" w:rsidP="001C4C31">
            <w:pPr>
              <w:pStyle w:val="TableParagraph"/>
              <w:tabs>
                <w:tab w:val="left" w:pos="0"/>
              </w:tabs>
              <w:spacing w:line="276" w:lineRule="auto"/>
              <w:ind w:left="519" w:right="519"/>
              <w:jc w:val="center"/>
              <w:rPr>
                <w:sz w:val="24"/>
                <w:szCs w:val="24"/>
                <w:lang w:val="mn-MN"/>
              </w:rPr>
            </w:pPr>
            <w:r w:rsidRPr="00EF2D2B">
              <w:rPr>
                <w:sz w:val="24"/>
                <w:szCs w:val="24"/>
                <w:lang w:val="mn-MN"/>
              </w:rPr>
              <w:t>57/1144/DTR</w:t>
            </w:r>
          </w:p>
        </w:tc>
        <w:tc>
          <w:tcPr>
            <w:tcW w:w="3012" w:type="dxa"/>
          </w:tcPr>
          <w:p w:rsidR="001C4C31" w:rsidRPr="00731F96" w:rsidRDefault="001C4C31" w:rsidP="001C4C31">
            <w:pPr>
              <w:pStyle w:val="TableParagraph"/>
              <w:tabs>
                <w:tab w:val="left" w:pos="0"/>
              </w:tabs>
              <w:spacing w:line="276" w:lineRule="auto"/>
              <w:ind w:left="519" w:right="519"/>
              <w:jc w:val="center"/>
              <w:rPr>
                <w:sz w:val="24"/>
                <w:szCs w:val="24"/>
                <w:lang w:val="mn-MN"/>
              </w:rPr>
            </w:pPr>
            <w:r w:rsidRPr="00731F96">
              <w:rPr>
                <w:sz w:val="24"/>
                <w:szCs w:val="24"/>
                <w:lang w:val="mn-MN"/>
              </w:rPr>
              <w:t>57/1207/RVC</w:t>
            </w:r>
          </w:p>
        </w:tc>
      </w:tr>
    </w:tbl>
    <w:p w:rsidR="001C4C31" w:rsidRPr="00CE2AC2" w:rsidRDefault="001C4C31" w:rsidP="001C4C31">
      <w:pPr>
        <w:pStyle w:val="ListParagraph"/>
        <w:spacing w:after="160"/>
        <w:ind w:left="0" w:firstLine="0"/>
        <w:rPr>
          <w:lang w:val="en-US"/>
        </w:rPr>
      </w:pPr>
      <w:r w:rsidRPr="00CE2AC2">
        <w:rPr>
          <w:lang w:val="en-US"/>
        </w:rPr>
        <w:t>Full information on the voting for the approval of this technical report can be found in the report on voting indicated in the above table.</w:t>
      </w:r>
    </w:p>
    <w:p w:rsidR="001C4C31" w:rsidRPr="00CE2AC2" w:rsidRDefault="001C4C31" w:rsidP="001C4C31">
      <w:pPr>
        <w:pStyle w:val="ListParagraph"/>
        <w:spacing w:after="160"/>
        <w:ind w:left="0" w:firstLine="0"/>
        <w:rPr>
          <w:lang w:val="en-US"/>
        </w:rPr>
      </w:pPr>
      <w:r w:rsidRPr="00CE2AC2">
        <w:rPr>
          <w:lang w:val="en-US"/>
        </w:rPr>
        <w:t>This technical report has been prepared in a joint effort between IEC and IEEE. A task force consisting of members from the IEC TC 57 WG 10 as well as the IEEE Power and Energy Society/IEEE Power System Relay Committee has prepared that report with task force  meetings both at the regular meetings of IEC TC 57 WG 10 as well as at the regular meetings   of the IEEE Power and Energy Society/IEEE Power System Relay Committee. Once the technical report is approved and published, the results will be integrated as amendments into the relevant parts of IEC 61850.</w:t>
      </w:r>
    </w:p>
    <w:p w:rsidR="001C4C31" w:rsidRPr="00CE2AC2" w:rsidRDefault="001C4C31" w:rsidP="001C4C31">
      <w:pPr>
        <w:pStyle w:val="ListParagraph"/>
        <w:spacing w:after="160"/>
        <w:ind w:left="0" w:firstLine="0"/>
        <w:rPr>
          <w:lang w:val="en-US"/>
        </w:rPr>
      </w:pPr>
      <w:r w:rsidRPr="00CE2AC2">
        <w:rPr>
          <w:lang w:val="en-US"/>
        </w:rPr>
        <w:t>This publication has been drafted in accordance with the ISO/IEC Directives, Part 2.</w:t>
      </w:r>
    </w:p>
    <w:p w:rsidR="001C4C31" w:rsidRPr="00CE2AC2" w:rsidRDefault="001C4C31" w:rsidP="001C4C31">
      <w:pPr>
        <w:pStyle w:val="ListParagraph"/>
        <w:spacing w:after="160"/>
        <w:ind w:left="0" w:firstLine="0"/>
        <w:rPr>
          <w:lang w:val="en-US"/>
        </w:rPr>
      </w:pPr>
      <w:r w:rsidRPr="00CE2AC2">
        <w:rPr>
          <w:lang w:val="en-US"/>
        </w:rPr>
        <w:t>A list of all parts of the IEC 61850 series, under the general title: Communication networks and systems for power utility automation, can be found on the IEC website.</w:t>
      </w:r>
    </w:p>
    <w:p w:rsidR="001C4C31" w:rsidRPr="00CE2AC2" w:rsidRDefault="001C4C31" w:rsidP="001C4C31">
      <w:pPr>
        <w:pStyle w:val="ListParagraph"/>
        <w:spacing w:after="160"/>
        <w:ind w:left="0" w:firstLine="0"/>
        <w:rPr>
          <w:lang w:val="en-US"/>
        </w:rPr>
      </w:pPr>
      <w:r w:rsidRPr="00CE2AC2">
        <w:rPr>
          <w:lang w:val="en-US"/>
        </w:rPr>
        <w:t>The committee has decided that the contents of  this publication will remain unchanged until  the stability date indicated on the IEC web site under</w:t>
      </w:r>
    </w:p>
    <w:p w:rsidR="001C4C31" w:rsidRPr="00CE2AC2" w:rsidRDefault="001C4C31" w:rsidP="001C4C31">
      <w:pPr>
        <w:pStyle w:val="ListParagraph"/>
        <w:spacing w:after="160"/>
        <w:ind w:left="0" w:firstLine="0"/>
        <w:rPr>
          <w:lang w:val="en-US"/>
        </w:rPr>
      </w:pPr>
      <w:r w:rsidRPr="00CE2AC2">
        <w:rPr>
          <w:lang w:val="en-US"/>
        </w:rPr>
        <w:t>"</w:t>
      </w:r>
      <w:hyperlink r:id="rId15">
        <w:r w:rsidRPr="00CE2AC2">
          <w:rPr>
            <w:lang w:val="en-US"/>
          </w:rPr>
          <w:t>http://webstore.iec.ch"</w:t>
        </w:r>
      </w:hyperlink>
      <w:r w:rsidRPr="00CE2AC2">
        <w:rPr>
          <w:lang w:val="en-US"/>
        </w:rPr>
        <w:t xml:space="preserve"> in  the  data related to the specific publication. At this date, the publication will be</w:t>
      </w:r>
    </w:p>
    <w:p w:rsidR="001C4C31" w:rsidRPr="005A49F4" w:rsidRDefault="001C4C31" w:rsidP="001C4C31">
      <w:pPr>
        <w:pStyle w:val="ListParagraph"/>
        <w:numPr>
          <w:ilvl w:val="0"/>
          <w:numId w:val="1"/>
        </w:numPr>
        <w:spacing w:after="120"/>
        <w:rPr>
          <w:b/>
        </w:rPr>
      </w:pPr>
      <w:r>
        <w:t xml:space="preserve">reconfirmed; </w:t>
      </w:r>
    </w:p>
    <w:p w:rsidR="001C4C31" w:rsidRPr="005A49F4" w:rsidRDefault="001C4C31" w:rsidP="001C4C31">
      <w:pPr>
        <w:pStyle w:val="ListParagraph"/>
        <w:numPr>
          <w:ilvl w:val="0"/>
          <w:numId w:val="1"/>
        </w:numPr>
        <w:spacing w:after="120"/>
        <w:rPr>
          <w:b/>
        </w:rPr>
      </w:pPr>
      <w:r>
        <w:t xml:space="preserve"> withdrawn; </w:t>
      </w:r>
    </w:p>
    <w:p w:rsidR="001C4C31" w:rsidRPr="005A49F4" w:rsidRDefault="001C4C31" w:rsidP="001C4C31">
      <w:pPr>
        <w:pStyle w:val="ListParagraph"/>
        <w:numPr>
          <w:ilvl w:val="0"/>
          <w:numId w:val="1"/>
        </w:numPr>
        <w:spacing w:after="120"/>
        <w:rPr>
          <w:b/>
        </w:rPr>
      </w:pPr>
      <w:r>
        <w:t xml:space="preserve"> replaced by a revised edition, or </w:t>
      </w:r>
    </w:p>
    <w:p w:rsidR="001C4C31" w:rsidRPr="001626E4" w:rsidRDefault="001C4C31" w:rsidP="001C4C31">
      <w:pPr>
        <w:pStyle w:val="ListParagraph"/>
        <w:numPr>
          <w:ilvl w:val="0"/>
          <w:numId w:val="1"/>
        </w:numPr>
        <w:spacing w:after="120"/>
        <w:rPr>
          <w:b/>
        </w:rPr>
      </w:pPr>
      <w:r>
        <w:rPr>
          <w:noProof/>
          <w:lang w:val="en-US"/>
        </w:rPr>
        <mc:AlternateContent>
          <mc:Choice Requires="wps">
            <w:drawing>
              <wp:anchor distT="0" distB="0" distL="0" distR="0" simplePos="0" relativeHeight="251664384" behindDoc="1" locked="0" layoutInCell="1" allowOverlap="1" wp14:anchorId="61390CEF" wp14:editId="64B20BE8">
                <wp:simplePos x="0" y="0"/>
                <wp:positionH relativeFrom="page">
                  <wp:posOffset>1186815</wp:posOffset>
                </wp:positionH>
                <wp:positionV relativeFrom="paragraph">
                  <wp:posOffset>299720</wp:posOffset>
                </wp:positionV>
                <wp:extent cx="5840730" cy="1022985"/>
                <wp:effectExtent l="0" t="0" r="26670" b="2476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022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80958" w:rsidRPr="00493473" w:rsidRDefault="00D80958" w:rsidP="001C4C31">
                            <w:pPr>
                              <w:pStyle w:val="ListParagraph"/>
                              <w:spacing w:after="0"/>
                              <w:ind w:left="0" w:firstLine="0"/>
                              <w:rPr>
                                <w:b/>
                                <w:bCs/>
                                <w:color w:val="000000"/>
                              </w:rPr>
                            </w:pPr>
                            <w:r w:rsidRPr="00493473">
                              <w:rPr>
                                <w:b/>
                                <w:bCs/>
                                <w:color w:val="000000"/>
                              </w:rPr>
                              <w:t>IMPORTANT – The 'colour inside' logo on the cover page of this publication indicates that it contains colours which  are considered to be useful  for the correct  understanding of its contents. Users should therefore print this document using a colour printer.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90CEF" id="Text Box 15" o:spid="_x0000_s1027" type="#_x0000_t202" style="position:absolute;left:0;text-align:left;margin-left:93.45pt;margin-top:23.6pt;width:459.9pt;height:80.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" filled="f" strokeweight=".72pt">
                <v:textbox inset="0,0,0,0">
                  <w:txbxContent>
                    <w:p w:rsidR="00D80958" w:rsidRPr="00493473" w:rsidRDefault="00D80958" w:rsidP="001C4C31">
                      <w:pPr>
                        <w:pStyle w:val="ListParagraph"/>
                        <w:spacing w:after="0"/>
                        <w:ind w:left="0" w:firstLine="0"/>
                        <w:rPr>
                          <w:b/>
                          <w:bCs/>
                          <w:color w:val="000000"/>
                        </w:rPr>
                      </w:pPr>
                      <w:r w:rsidRPr="00493473">
                        <w:rPr>
                          <w:b/>
                          <w:bCs/>
                          <w:color w:val="000000"/>
                        </w:rPr>
                        <w:t>IMPORTANT – The 'colour inside' logo on the cover page of this publication indicates that it contains colours which  are considered to be useful  for the correct  understanding of its contents. Users should therefore print this document using a colour printer.</w:t>
                      </w:r>
                    </w:p>
                  </w:txbxContent>
                </v:textbox>
                <w10:wrap type="topAndBottom" anchorx="page"/>
              </v:shape>
            </w:pict>
          </mc:Fallback>
        </mc:AlternateContent>
      </w:r>
      <w:r>
        <w:t xml:space="preserve"> amended.</w:t>
      </w:r>
    </w:p>
    <w:p w:rsidR="001C4C31" w:rsidRDefault="001C4C31" w:rsidP="001C4C31">
      <w:pPr>
        <w:spacing w:after="120"/>
        <w:ind w:left="0" w:firstLine="0"/>
        <w:rPr>
          <w:b/>
        </w:rPr>
      </w:pPr>
    </w:p>
    <w:p w:rsidR="001C4C31" w:rsidRPr="00CE2AC2" w:rsidRDefault="001C4C31" w:rsidP="001C4C31">
      <w:pPr>
        <w:pStyle w:val="ListParagraph"/>
        <w:spacing w:after="160"/>
        <w:ind w:left="0" w:firstLine="0"/>
        <w:rPr>
          <w:lang w:val="en-US"/>
        </w:rPr>
      </w:pPr>
      <w:r w:rsidRPr="00CE2AC2">
        <w:rPr>
          <w:lang w:val="en-US"/>
        </w:rPr>
        <w:t>A bilingual version of this publication may be issued at a later date.</w:t>
      </w:r>
    </w:p>
    <w:p w:rsidR="001C4C31" w:rsidRPr="00DE0785" w:rsidRDefault="001C4C31" w:rsidP="001C4C31">
      <w:pPr>
        <w:spacing w:after="120"/>
        <w:ind w:left="0" w:firstLine="0"/>
        <w:jc w:val="center"/>
        <w:rPr>
          <w:b/>
          <w:color w:val="000000" w:themeColor="text1"/>
        </w:rPr>
      </w:pPr>
      <w:r w:rsidRPr="00DE0785">
        <w:rPr>
          <w:b/>
          <w:color w:val="000000" w:themeColor="text1"/>
        </w:rPr>
        <w:lastRenderedPageBreak/>
        <w:t>УДИРТГАЛ</w:t>
      </w:r>
    </w:p>
    <w:p w:rsidR="001C4C31" w:rsidRPr="00EF2D2B" w:rsidRDefault="001C4C31" w:rsidP="001C4C31">
      <w:pPr>
        <w:pStyle w:val="ListParagraph"/>
        <w:spacing w:after="0"/>
        <w:ind w:left="0" w:firstLine="0"/>
        <w:rPr>
          <w:bCs/>
          <w:color w:val="000000"/>
        </w:rPr>
      </w:pPr>
      <w:r w:rsidRPr="00EF2D2B">
        <w:rPr>
          <w:bCs/>
          <w:color w:val="000000"/>
        </w:rPr>
        <w:t>PMU-ийн хэмжсэн, тооцоолсон синхрофазорын өгөгдлийг цахилгаан эрчим хүчний сүлжээний нөхцөл байдлыг үнэлэх</w:t>
      </w:r>
      <w:r>
        <w:rPr>
          <w:bCs/>
          <w:color w:val="000000"/>
        </w:rPr>
        <w:t>эд хэрэгтэй мэдээлэл гэж үздэг.</w:t>
      </w:r>
    </w:p>
    <w:p w:rsidR="001C4C31" w:rsidRPr="00EF2D2B" w:rsidRDefault="001C4C31" w:rsidP="001C4C31">
      <w:pPr>
        <w:pStyle w:val="ListParagraph"/>
        <w:spacing w:after="0"/>
        <w:ind w:left="0" w:firstLine="0"/>
        <w:rPr>
          <w:bCs/>
          <w:color w:val="000000"/>
        </w:rPr>
      </w:pPr>
      <w:r w:rsidRPr="00EF2D2B">
        <w:rPr>
          <w:bCs/>
          <w:color w:val="000000"/>
        </w:rPr>
        <w:t>Синхрофазорын өгөгдлийг алс зайд дамжуулахын тулд синхрофазор ба холбогдох мессежний форматыг IEEE</w:t>
      </w:r>
      <w:r>
        <w:rPr>
          <w:bCs/>
          <w:color w:val="000000"/>
        </w:rPr>
        <w:t xml:space="preserve"> C37.118-д тодорхойлсон болно. </w:t>
      </w:r>
    </w:p>
    <w:p w:rsidR="001C4C31" w:rsidRDefault="001C4C31" w:rsidP="001C4C31">
      <w:pPr>
        <w:pStyle w:val="ListParagraph"/>
        <w:ind w:left="0" w:firstLine="0"/>
      </w:pPr>
      <w:r w:rsidRPr="00EF2D2B">
        <w:rPr>
          <w:bCs/>
          <w:color w:val="000000"/>
        </w:rPr>
        <w:t xml:space="preserve">IEEE C37.118 стандартын дагуу харилцаа холбоо нь ашиглах боломжтой, сайн ажиллаж байгаа нь нотлогдож байгаа ч IEC 61850-ийн үзэл баримтлалд нийцсэн харилцааны механизмтай болох хүсэлтэй байна. Үүнийг хэрхэн яаж хийх талаар энэхүү </w:t>
      </w:r>
      <w:r>
        <w:rPr>
          <w:bCs/>
          <w:color w:val="000000"/>
        </w:rPr>
        <w:t>баримт бичигт тусгагдсан болно.</w:t>
      </w:r>
    </w:p>
    <w:p w:rsidR="001C4C31" w:rsidRDefault="001C4C31" w:rsidP="001C4C31">
      <w:pPr>
        <w:spacing w:after="120"/>
        <w:ind w:left="0" w:firstLine="0"/>
        <w:rPr>
          <w:b/>
        </w:rPr>
      </w:pPr>
    </w:p>
    <w:p w:rsidR="001C4C31" w:rsidRPr="007930D7" w:rsidRDefault="001C4C31" w:rsidP="001C4C31">
      <w:pPr>
        <w:spacing w:after="120"/>
        <w:ind w:left="0" w:firstLine="0"/>
        <w:jc w:val="center"/>
        <w:rPr>
          <w:b/>
        </w:rPr>
      </w:pPr>
      <w:r>
        <w:rPr>
          <w:b/>
        </w:rPr>
        <w:t>INTRODUCTION</w:t>
      </w:r>
    </w:p>
    <w:p w:rsidR="001C4C31" w:rsidRPr="00EF2D2B" w:rsidRDefault="001C4C31" w:rsidP="001C4C31">
      <w:pPr>
        <w:pStyle w:val="ListParagraph"/>
        <w:spacing w:after="0"/>
        <w:ind w:left="0" w:firstLine="0"/>
        <w:rPr>
          <w:bCs/>
          <w:color w:val="000000"/>
        </w:rPr>
      </w:pPr>
      <w:r w:rsidRPr="00EF2D2B">
        <w:rPr>
          <w:bCs/>
          <w:color w:val="000000"/>
        </w:rPr>
        <w:t>Synchrophasor data as measured and calculated by PMUs are considered to be useful information to assess the condition of the electrical power net</w:t>
      </w:r>
      <w:r>
        <w:rPr>
          <w:bCs/>
          <w:color w:val="000000"/>
        </w:rPr>
        <w:t>work.</w:t>
      </w:r>
    </w:p>
    <w:p w:rsidR="001C4C31" w:rsidRPr="00EF2D2B" w:rsidRDefault="001C4C31" w:rsidP="001C4C31">
      <w:pPr>
        <w:pStyle w:val="ListParagraph"/>
        <w:spacing w:after="0"/>
        <w:ind w:left="0" w:firstLine="0"/>
        <w:rPr>
          <w:bCs/>
          <w:color w:val="000000"/>
        </w:rPr>
      </w:pPr>
      <w:r w:rsidRPr="00EF2D2B">
        <w:rPr>
          <w:bCs/>
          <w:color w:val="000000"/>
        </w:rPr>
        <w:t>The synchrophasors and related message formats to transmit synchrophasor data over long distanc</w:t>
      </w:r>
      <w:r>
        <w:rPr>
          <w:bCs/>
          <w:color w:val="000000"/>
        </w:rPr>
        <w:t>es are defined in IEEE C37.118.</w:t>
      </w:r>
    </w:p>
    <w:p w:rsidR="001C4C31" w:rsidRPr="00EF2D2B" w:rsidRDefault="001C4C31" w:rsidP="001C4C31">
      <w:pPr>
        <w:pStyle w:val="ListParagraph"/>
        <w:spacing w:after="0"/>
        <w:ind w:left="0" w:firstLine="0"/>
        <w:rPr>
          <w:bCs/>
          <w:color w:val="000000"/>
        </w:rPr>
      </w:pPr>
      <w:r w:rsidRPr="00EF2D2B">
        <w:rPr>
          <w:bCs/>
          <w:color w:val="000000"/>
        </w:rPr>
        <w:t>Even though the communication according to IEEE C37.118 has proven to be  usable  and  work well, there is a desire to have a communication mechanism that is compliant to the  concept of IEC 61850. This document lays out how this shall be done.</w:t>
      </w: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Default="001C4C31" w:rsidP="001C4C31">
      <w:pPr>
        <w:spacing w:after="120"/>
        <w:ind w:left="0" w:firstLine="0"/>
      </w:pPr>
    </w:p>
    <w:p w:rsidR="001C4C31" w:rsidRPr="0047774C" w:rsidRDefault="001C4C31" w:rsidP="001C4C31">
      <w:pPr>
        <w:spacing w:after="120"/>
        <w:ind w:left="0" w:firstLine="0"/>
        <w:rPr>
          <w:lang w:val="en-US"/>
        </w:rPr>
      </w:pPr>
    </w:p>
    <w:p w:rsidR="001C4C31" w:rsidRDefault="001C4C31" w:rsidP="001C4C31">
      <w:pPr>
        <w:pStyle w:val="Title"/>
        <w:spacing w:line="276" w:lineRule="auto"/>
        <w:jc w:val="both"/>
        <w:outlineLvl w:val="0"/>
        <w:rPr>
          <w:rFonts w:ascii="Arial" w:hAnsi="Arial" w:cs="Arial"/>
          <w:szCs w:val="24"/>
        </w:rPr>
      </w:pPr>
    </w:p>
    <w:p w:rsidR="001C4C31" w:rsidRDefault="001C4C31" w:rsidP="001C4C31">
      <w:pPr>
        <w:pStyle w:val="Title"/>
        <w:spacing w:line="276" w:lineRule="auto"/>
        <w:outlineLvl w:val="0"/>
        <w:rPr>
          <w:rFonts w:ascii="Arial" w:hAnsi="Arial" w:cs="Arial"/>
          <w:szCs w:val="24"/>
        </w:rPr>
      </w:pPr>
    </w:p>
    <w:p w:rsidR="001C4C31" w:rsidRPr="00364A3A" w:rsidRDefault="001C4C31" w:rsidP="001C4C31">
      <w:pPr>
        <w:pStyle w:val="Title"/>
        <w:spacing w:line="276" w:lineRule="auto"/>
        <w:outlineLvl w:val="0"/>
        <w:rPr>
          <w:rFonts w:ascii="Arial" w:hAnsi="Arial" w:cs="Arial"/>
          <w:szCs w:val="24"/>
        </w:rPr>
      </w:pPr>
      <w:r w:rsidRPr="00364A3A">
        <w:rPr>
          <w:rFonts w:ascii="Arial" w:hAnsi="Arial" w:cs="Arial"/>
          <w:szCs w:val="24"/>
        </w:rPr>
        <w:lastRenderedPageBreak/>
        <w:t>МОНГОЛ УЛСЫН СТАНДАРТ</w:t>
      </w:r>
    </w:p>
    <w:p w:rsidR="001C4C31" w:rsidRPr="00364A3A" w:rsidRDefault="001C4C31" w:rsidP="001C4C31">
      <w:pPr>
        <w:pStyle w:val="Title"/>
        <w:spacing w:line="276" w:lineRule="auto"/>
        <w:jc w:val="both"/>
        <w:rPr>
          <w:rFonts w:ascii="Arial" w:hAnsi="Arial" w:cs="Arial"/>
          <w:b w:val="0"/>
          <w:bCs w:val="0"/>
          <w:szCs w:val="24"/>
          <w:lang w:val="sv-SE"/>
        </w:rPr>
      </w:pPr>
    </w:p>
    <w:p w:rsidR="001C4C31" w:rsidRPr="00364A3A" w:rsidRDefault="001C4C31" w:rsidP="001C4C31">
      <w:pPr>
        <w:pStyle w:val="Title"/>
        <w:spacing w:line="276" w:lineRule="auto"/>
        <w:jc w:val="both"/>
        <w:outlineLvl w:val="0"/>
        <w:rPr>
          <w:rFonts w:ascii="Arial" w:hAnsi="Arial" w:cs="Arial"/>
          <w:bCs w:val="0"/>
          <w:szCs w:val="24"/>
        </w:rPr>
      </w:pPr>
      <w:r w:rsidRPr="004D5744">
        <w:rPr>
          <w:rFonts w:ascii="Arial" w:hAnsi="Arial" w:cs="Arial"/>
          <w:bCs w:val="0"/>
          <w:szCs w:val="24"/>
          <w:lang w:val="sv-SE"/>
        </w:rPr>
        <w:t>Ангилалтын</w:t>
      </w:r>
      <w:r>
        <w:rPr>
          <w:rFonts w:ascii="Arial" w:hAnsi="Arial" w:cs="Arial"/>
          <w:bCs w:val="0"/>
          <w:szCs w:val="24"/>
          <w:lang w:val="sv-SE"/>
        </w:rPr>
        <w:t xml:space="preserve">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056"/>
      </w:tblGrid>
      <w:tr w:rsidR="001C4C31" w:rsidRPr="00364A3A" w:rsidTr="001C4C31">
        <w:trPr>
          <w:trHeight w:val="1436"/>
        </w:trPr>
        <w:tc>
          <w:tcPr>
            <w:tcW w:w="6300" w:type="dxa"/>
            <w:vAlign w:val="center"/>
          </w:tcPr>
          <w:p w:rsidR="001C4C31" w:rsidRPr="007930D7" w:rsidRDefault="001C4C31" w:rsidP="001C4C31">
            <w:pPr>
              <w:spacing w:after="0" w:line="240" w:lineRule="auto"/>
              <w:ind w:left="0" w:firstLine="0"/>
              <w:rPr>
                <w:b/>
              </w:rPr>
            </w:pPr>
            <w:r w:rsidRPr="007930D7">
              <w:rPr>
                <w:b/>
              </w:rPr>
              <w:t>ЭРЧИМ ХҮЧНИЙ АВТОМАТЖУУЛАЛТЫН СИСТЕМ БА ХАРИЛЦАА ХОЛБООНЫ СҮЛЖЭЭ –</w:t>
            </w:r>
          </w:p>
          <w:p w:rsidR="001C4C31" w:rsidRPr="00E908DD" w:rsidRDefault="001C4C31" w:rsidP="001C4C31">
            <w:pPr>
              <w:spacing w:after="0" w:line="240" w:lineRule="auto"/>
              <w:ind w:left="0" w:firstLine="0"/>
            </w:pPr>
            <w:r w:rsidRPr="007930D7">
              <w:rPr>
                <w:b/>
              </w:rPr>
              <w:t>Хэсэг 90-5: IEEE C37.118-ийн дагуу синхрофазорын мэдээллийг дамжуулахад IEC 61850-ийг ашиглах</w:t>
            </w:r>
          </w:p>
        </w:tc>
        <w:tc>
          <w:tcPr>
            <w:tcW w:w="3056" w:type="dxa"/>
          </w:tcPr>
          <w:p w:rsidR="001C4C31" w:rsidRDefault="001C4C31" w:rsidP="001C4C31">
            <w:pPr>
              <w:pStyle w:val="Title"/>
              <w:spacing w:line="276" w:lineRule="auto"/>
              <w:jc w:val="both"/>
              <w:outlineLvl w:val="0"/>
              <w:rPr>
                <w:rFonts w:ascii="Arial" w:hAnsi="Arial" w:cs="Arial"/>
                <w:bCs w:val="0"/>
                <w:szCs w:val="24"/>
                <w:lang w:val="en-US"/>
              </w:rPr>
            </w:pPr>
          </w:p>
          <w:p w:rsidR="001C4C31" w:rsidRDefault="001C4C31" w:rsidP="001C4C31">
            <w:pPr>
              <w:pStyle w:val="Title"/>
              <w:spacing w:line="276" w:lineRule="auto"/>
              <w:jc w:val="both"/>
              <w:outlineLvl w:val="0"/>
              <w:rPr>
                <w:rFonts w:ascii="Arial" w:hAnsi="Arial" w:cs="Arial"/>
                <w:bCs w:val="0"/>
                <w:szCs w:val="24"/>
                <w:lang w:val="en-US"/>
              </w:rPr>
            </w:pPr>
          </w:p>
          <w:p w:rsidR="001C4C31" w:rsidRDefault="001C4C31" w:rsidP="001C4C31">
            <w:pPr>
              <w:pStyle w:val="Title"/>
              <w:spacing w:line="276" w:lineRule="auto"/>
              <w:jc w:val="both"/>
              <w:outlineLvl w:val="0"/>
              <w:rPr>
                <w:rFonts w:ascii="Arial" w:hAnsi="Arial" w:cs="Arial"/>
                <w:bCs w:val="0"/>
                <w:szCs w:val="24"/>
                <w:lang w:val="en-US"/>
              </w:rPr>
            </w:pPr>
            <w:r>
              <w:rPr>
                <w:rFonts w:ascii="Arial" w:hAnsi="Arial" w:cs="Arial"/>
                <w:bCs w:val="0"/>
                <w:szCs w:val="24"/>
                <w:lang w:val="en-US"/>
              </w:rPr>
              <w:t xml:space="preserve">MNS </w:t>
            </w:r>
            <w:r w:rsidRPr="00364A3A">
              <w:rPr>
                <w:rFonts w:ascii="Arial" w:hAnsi="Arial" w:cs="Arial"/>
                <w:bCs w:val="0"/>
                <w:szCs w:val="24"/>
              </w:rPr>
              <w:t>I</w:t>
            </w:r>
            <w:r>
              <w:rPr>
                <w:rFonts w:ascii="Arial" w:hAnsi="Arial" w:cs="Arial"/>
                <w:bCs w:val="0"/>
                <w:szCs w:val="24"/>
                <w:lang w:val="en-US"/>
              </w:rPr>
              <w:t>EC/TR 61850-90-5:2021</w:t>
            </w:r>
          </w:p>
          <w:p w:rsidR="001C4C31" w:rsidRPr="00DE1B88" w:rsidRDefault="001C4C31" w:rsidP="001C4C31">
            <w:pPr>
              <w:pStyle w:val="Title"/>
              <w:spacing w:line="276" w:lineRule="auto"/>
              <w:outlineLvl w:val="0"/>
              <w:rPr>
                <w:rFonts w:ascii="Cambria Math" w:hAnsi="Cambria Math" w:cs="Arial"/>
                <w:b w:val="0"/>
                <w:bCs w:val="0"/>
                <w:szCs w:val="24"/>
                <w:lang w:val="en-US"/>
              </w:rPr>
            </w:pPr>
          </w:p>
        </w:tc>
      </w:tr>
      <w:tr w:rsidR="001C4C31" w:rsidRPr="00364A3A" w:rsidTr="001C4C31">
        <w:tc>
          <w:tcPr>
            <w:tcW w:w="6300" w:type="dxa"/>
            <w:vAlign w:val="center"/>
          </w:tcPr>
          <w:p w:rsidR="001C4C31" w:rsidRPr="007930D7" w:rsidRDefault="001C4C31" w:rsidP="001C4C31">
            <w:pPr>
              <w:spacing w:after="0" w:line="240" w:lineRule="auto"/>
              <w:ind w:left="0" w:firstLine="0"/>
              <w:rPr>
                <w:b/>
              </w:rPr>
            </w:pPr>
            <w:r w:rsidRPr="007930D7">
              <w:rPr>
                <w:b/>
              </w:rPr>
              <w:t>COMMUNICATION NETWORKS AND SYSTEMS FOR POWER UTILITY AUTOMATION –</w:t>
            </w:r>
          </w:p>
          <w:p w:rsidR="001C4C31" w:rsidRPr="00DA70A7" w:rsidRDefault="001C4C31" w:rsidP="001C4C31">
            <w:pPr>
              <w:spacing w:after="0" w:line="240" w:lineRule="auto"/>
              <w:ind w:left="0" w:firstLine="0"/>
              <w:rPr>
                <w:b/>
              </w:rPr>
            </w:pPr>
            <w:r w:rsidRPr="007930D7">
              <w:rPr>
                <w:b/>
              </w:rPr>
              <w:t>Part 90-5: Use of IEC 61850 to transmit synchrophasor information according to IEEE C37.118</w:t>
            </w:r>
          </w:p>
        </w:tc>
        <w:tc>
          <w:tcPr>
            <w:tcW w:w="3056" w:type="dxa"/>
            <w:vAlign w:val="center"/>
          </w:tcPr>
          <w:p w:rsidR="001C4C31" w:rsidRDefault="001C4C31" w:rsidP="001C4C31">
            <w:pPr>
              <w:pStyle w:val="Title"/>
              <w:spacing w:line="276" w:lineRule="auto"/>
              <w:jc w:val="both"/>
              <w:outlineLvl w:val="0"/>
              <w:rPr>
                <w:rFonts w:ascii="Arial" w:hAnsi="Arial" w:cs="Arial"/>
                <w:bCs w:val="0"/>
                <w:szCs w:val="24"/>
                <w:lang w:val="en-US"/>
              </w:rPr>
            </w:pPr>
            <w:r w:rsidRPr="00364A3A">
              <w:rPr>
                <w:rFonts w:ascii="Arial" w:hAnsi="Arial" w:cs="Arial"/>
                <w:bCs w:val="0"/>
                <w:szCs w:val="24"/>
              </w:rPr>
              <w:t>I</w:t>
            </w:r>
            <w:r>
              <w:rPr>
                <w:rFonts w:ascii="Arial" w:hAnsi="Arial" w:cs="Arial"/>
                <w:bCs w:val="0"/>
                <w:szCs w:val="24"/>
                <w:lang w:val="en-US"/>
              </w:rPr>
              <w:t>EC/TR 61850-90-5</w:t>
            </w:r>
          </w:p>
          <w:p w:rsidR="001C4C31" w:rsidRPr="00C2384D" w:rsidRDefault="001C4C31" w:rsidP="001C4C31">
            <w:pPr>
              <w:pStyle w:val="Title"/>
              <w:spacing w:line="276" w:lineRule="auto"/>
              <w:jc w:val="both"/>
              <w:outlineLvl w:val="0"/>
              <w:rPr>
                <w:rFonts w:ascii="Arial" w:hAnsi="Arial" w:cs="Arial"/>
                <w:b w:val="0"/>
                <w:bCs w:val="0"/>
                <w:szCs w:val="24"/>
                <w:lang w:val="en-US"/>
              </w:rPr>
            </w:pPr>
            <w:r>
              <w:rPr>
                <w:rFonts w:ascii="Arial" w:hAnsi="Arial" w:cs="Arial"/>
                <w:bCs w:val="0"/>
                <w:szCs w:val="24"/>
                <w:lang w:val="en-US"/>
              </w:rPr>
              <w:t>edition 1.0 2012-05</w:t>
            </w:r>
          </w:p>
        </w:tc>
      </w:tr>
    </w:tbl>
    <w:p w:rsidR="001C4C31" w:rsidRPr="00EA05D2" w:rsidRDefault="001C4C31" w:rsidP="001C4C31">
      <w:pPr>
        <w:spacing w:before="120" w:after="0"/>
        <w:ind w:left="630" w:hanging="630"/>
        <w:rPr>
          <w:rFonts w:eastAsia="Times New Roman"/>
        </w:rPr>
      </w:pPr>
      <w:r w:rsidRPr="00EA05D2">
        <w:rPr>
          <w:rFonts w:eastAsia="Times New Roman"/>
        </w:rPr>
        <w:t>СХЗГ-ын даргын  2021 оны … дугаар с</w:t>
      </w:r>
      <w:r>
        <w:rPr>
          <w:rFonts w:eastAsia="Times New Roman"/>
        </w:rPr>
        <w:t xml:space="preserve">арын ... -ны өдрийн ... дугаар тушаалаар </w:t>
      </w:r>
      <w:r w:rsidRPr="00EA05D2">
        <w:rPr>
          <w:rFonts w:eastAsia="Times New Roman"/>
        </w:rPr>
        <w:t>батлав.</w:t>
      </w:r>
    </w:p>
    <w:p w:rsidR="001C4C31" w:rsidRDefault="001C4C31" w:rsidP="001C4C31">
      <w:pPr>
        <w:spacing w:before="120" w:after="0"/>
        <w:ind w:left="630" w:hanging="630"/>
        <w:rPr>
          <w:rFonts w:eastAsia="Times New Roman"/>
        </w:rPr>
      </w:pPr>
      <w:r w:rsidRPr="00EA05D2">
        <w:rPr>
          <w:rFonts w:eastAsia="Times New Roman"/>
        </w:rPr>
        <w:t>Энэ стандартыг 2021 оны ... дүгээр сарын ...-ний өдрөөс эхлэн дагаж мөрдөнө.</w:t>
      </w:r>
    </w:p>
    <w:p w:rsidR="001C4C31" w:rsidRPr="00215C5A" w:rsidRDefault="001C4C31" w:rsidP="001C4C31">
      <w:pPr>
        <w:spacing w:before="120" w:after="0"/>
        <w:ind w:left="0" w:firstLine="0"/>
      </w:pPr>
    </w:p>
    <w:tbl>
      <w:tblPr>
        <w:tblStyle w:val="TableGrid"/>
        <w:tblW w:w="0" w:type="auto"/>
        <w:tblLook w:val="04A0" w:firstRow="1" w:lastRow="0" w:firstColumn="1" w:lastColumn="0" w:noHBand="0" w:noVBand="1"/>
      </w:tblPr>
      <w:tblGrid>
        <w:gridCol w:w="4746"/>
        <w:gridCol w:w="4598"/>
      </w:tblGrid>
      <w:tr w:rsidR="001C4C31" w:rsidTr="001C4C31">
        <w:tc>
          <w:tcPr>
            <w:tcW w:w="4746" w:type="dxa"/>
          </w:tcPr>
          <w:p w:rsidR="001C4C31" w:rsidRPr="00C2384D" w:rsidRDefault="001C4C31" w:rsidP="001C4C31">
            <w:pPr>
              <w:tabs>
                <w:tab w:val="left" w:pos="0"/>
              </w:tabs>
              <w:ind w:left="0" w:firstLine="0"/>
              <w:rPr>
                <w:rFonts w:eastAsia="Calibri"/>
                <w:b/>
                <w:szCs w:val="22"/>
              </w:rPr>
            </w:pPr>
            <w:r w:rsidRPr="00C2384D">
              <w:rPr>
                <w:rFonts w:eastAsia="Calibri"/>
                <w:b/>
                <w:szCs w:val="22"/>
              </w:rPr>
              <w:t>1 Хамрах хүрээ</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61850-ийн энэ хэсэг нь PMUs, PDCs WAMPAC (Өргөн зурвасын Хяналт, Хамгаалалт ба Удирдлага) болон хяналтын төвийн программуудын хооронд синхрофазорын өгөгдлийг солилцох арга замыг өгдөг. Өгөгдлийг IEEE C37.118-2005 стандартын хүрээнд багтаасан тохиолдолд IECE1818 стандартын үзэл баримтлалд нийцсэн байдлаар өгөгдлийг зөөвөрлөнө. </w:t>
            </w:r>
          </w:p>
          <w:p w:rsidR="001C4C31" w:rsidRPr="00C2384D" w:rsidRDefault="001C4C31" w:rsidP="001C4C31">
            <w:pPr>
              <w:tabs>
                <w:tab w:val="left" w:pos="0"/>
              </w:tabs>
              <w:ind w:left="0" w:firstLine="0"/>
              <w:rPr>
                <w:rFonts w:eastAsia="Calibri"/>
                <w:szCs w:val="22"/>
              </w:rPr>
            </w:pPr>
            <w:r w:rsidRPr="00C2384D">
              <w:rPr>
                <w:rFonts w:eastAsia="Calibri"/>
                <w:szCs w:val="22"/>
              </w:rPr>
              <w:t>Гэсэн хэдий ч, анхан шатны хамрах хүрээ, хэрэглээний тохиолдлыг харгалзан энэхүү баримт бичиг нь IEC 61850-8-1 GOOSE ба IEC 61850-9-2 SV багцуудад чиглүүлэгчийн профайлыг өгдөг. Эдгээр чиглүүлэгч багцуудыг IEC 61850-ийн ерөнхий өгөгдөл, мөн синхрофазорын өгөгдөл дамжуулахад ашиглаж болно.</w:t>
            </w:r>
          </w:p>
          <w:p w:rsidR="001C4C31" w:rsidRPr="00C2384D" w:rsidRDefault="001C4C31" w:rsidP="001C4C31">
            <w:pPr>
              <w:tabs>
                <w:tab w:val="left" w:pos="0"/>
              </w:tabs>
              <w:ind w:left="0" w:firstLine="0"/>
              <w:rPr>
                <w:rFonts w:eastAsia="Calibri"/>
                <w:b/>
                <w:szCs w:val="22"/>
              </w:rPr>
            </w:pPr>
            <w:r w:rsidRPr="00C2384D">
              <w:rPr>
                <w:rFonts w:eastAsia="Calibri"/>
                <w:b/>
                <w:szCs w:val="22"/>
              </w:rPr>
              <w:t>2 Норматив эшлэл</w:t>
            </w:r>
          </w:p>
          <w:p w:rsidR="001C4C31" w:rsidRPr="00C2384D" w:rsidRDefault="001C4C31" w:rsidP="001C4C31">
            <w:pPr>
              <w:tabs>
                <w:tab w:val="left" w:pos="0"/>
              </w:tabs>
              <w:ind w:left="0" w:firstLine="0"/>
              <w:rPr>
                <w:rFonts w:eastAsia="Calibri"/>
                <w:szCs w:val="22"/>
              </w:rPr>
            </w:pPr>
            <w:r w:rsidRPr="00C2384D">
              <w:rPr>
                <w:rFonts w:eastAsia="Calibri"/>
                <w:szCs w:val="22"/>
              </w:rPr>
              <w:t>Дараах баримт бичгүүдийг бүхэлд нь эсвэл хэсэгч</w:t>
            </w:r>
            <w:r w:rsidR="00D80958">
              <w:rPr>
                <w:rFonts w:eastAsia="Calibri"/>
                <w:szCs w:val="22"/>
              </w:rPr>
              <w:t>лэн энэ баримт бичигт норматив э</w:t>
            </w:r>
            <w:r w:rsidRPr="00C2384D">
              <w:rPr>
                <w:rFonts w:eastAsia="Calibri"/>
                <w:szCs w:val="22"/>
              </w:rPr>
              <w:t xml:space="preserve">шлэл байдлаар зааж өгсөн бөгөөд түүнийг хэрэглэх зайлшгүй шаардлагатай юм. Огноо хийсэн лавлагааны хувьд зөвхөн дурдсан хувилбар хамаарна. Тэмдэглэгдээгүй </w:t>
            </w:r>
            <w:r w:rsidRPr="00C2384D">
              <w:rPr>
                <w:rFonts w:eastAsia="Calibri"/>
                <w:szCs w:val="22"/>
              </w:rPr>
              <w:lastRenderedPageBreak/>
              <w:t>лавлагааны хувьд лавлагаа бүхий баримт бичгийн хамгийн сүүлийн хувилбар (үүнд нэмэлт өөрчлөлт оруулах) хамаарна.</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61850-2:2003, </w:t>
            </w:r>
            <w:r w:rsidRPr="00C2384D">
              <w:rPr>
                <w:rFonts w:eastAsia="Calibri"/>
                <w:i/>
                <w:szCs w:val="22"/>
              </w:rPr>
              <w:t>Дэд станцын харилцаа холбооны сүлжээ ба систем – Хэсэг 2: Тайлбар толь</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61850-6:2009, </w:t>
            </w:r>
            <w:r w:rsidRPr="00C2384D">
              <w:rPr>
                <w:rFonts w:eastAsia="Calibri"/>
                <w:i/>
                <w:szCs w:val="22"/>
              </w:rPr>
              <w:t>Дэд станцын харилцаа холбооны сүлжээ ба систем – Хэсэг 6: IED-тэй холбогдох цахилгааны дэд станцын холбооны тохиргооны тайлбар хэл</w:t>
            </w:r>
          </w:p>
          <w:p w:rsidR="001C4C31" w:rsidRPr="00C2384D" w:rsidRDefault="001C4C31" w:rsidP="001C4C31">
            <w:pPr>
              <w:tabs>
                <w:tab w:val="left" w:pos="0"/>
              </w:tabs>
              <w:ind w:left="0" w:firstLine="0"/>
              <w:rPr>
                <w:rFonts w:eastAsia="Calibri"/>
                <w:szCs w:val="22"/>
              </w:rPr>
            </w:pPr>
            <w:r w:rsidRPr="00C2384D">
              <w:rPr>
                <w:rFonts w:eastAsia="Calibri"/>
                <w:szCs w:val="22"/>
              </w:rPr>
              <w:t>IEC 61850-7-1,</w:t>
            </w:r>
            <w:r w:rsidRPr="00C2384D">
              <w:rPr>
                <w:rFonts w:eastAsia="Calibri"/>
                <w:i/>
                <w:szCs w:val="22"/>
              </w:rPr>
              <w:t xml:space="preserve"> Эрчим хүчний системийн автоматжуулалтын харилцаа холбооны сүлжээ ба систем – Хэсэг 7-1: Харилцаа холбооны үндсэн бүтэц – Зарчим ба загварууд</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61850-7-2, </w:t>
            </w:r>
            <w:r w:rsidRPr="00C2384D">
              <w:rPr>
                <w:rFonts w:eastAsia="Calibri"/>
                <w:i/>
                <w:szCs w:val="22"/>
              </w:rPr>
              <w:t>Дэд станцын харилцаа холбооны сүлжээ ба систем – Хэсэг 7-2: Мэдээлэл ба харилцаа холбооны үндсэн бүтэц – Абстракт харилцаа холбооны үйлчилгээний интерфейс (ACSI)</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61850-7-3, </w:t>
            </w:r>
            <w:r w:rsidRPr="00C2384D">
              <w:rPr>
                <w:rFonts w:eastAsia="Calibri"/>
                <w:i/>
                <w:szCs w:val="22"/>
              </w:rPr>
              <w:t>Цахилгаан хангамжийн автоматжуулалтын харилцаа холбооны сүлжээ ба систем – Хэсэг 7-3: Харилцаа холбооны үндсэн бүтэц – Нийтлэг өгөгдлийн ангилал (класс)</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61850-7-4:2010, </w:t>
            </w:r>
            <w:r w:rsidRPr="00C2384D">
              <w:rPr>
                <w:rFonts w:eastAsia="Calibri"/>
                <w:i/>
                <w:szCs w:val="22"/>
              </w:rPr>
              <w:t>Цахилгаан хангамжийн автоматжуулалтын харилцаа холбооны сүлжээ ба систем – Хэсэг 7-4: Харилцаа холбооны үндсэн бүтэц – Логик зангилаа ба өгөгдлийн объектуудын ангиллуудын нийцэлт</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61850-8-1:2011, </w:t>
            </w:r>
            <w:r w:rsidRPr="00C2384D">
              <w:rPr>
                <w:rFonts w:eastAsia="Calibri"/>
                <w:i/>
                <w:szCs w:val="22"/>
              </w:rPr>
              <w:t>Эрчим  хүчний системийн  автоматжуулалтын харилцаа холбооны сүлжээ ба систем – Хэсэг 8-1: Тодорхой харилцаа холбооны үйлчилгээний зураглал (SCSM) – MMS (ISO 9506-1 ба ISO 9506-2) ба ISO/IEC8802-3-аар зураглал гаргах</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 61850-9-2:2010, </w:t>
            </w:r>
            <w:r w:rsidRPr="00C2384D">
              <w:rPr>
                <w:rFonts w:eastAsia="Calibri"/>
                <w:bCs w:val="0"/>
                <w:i/>
                <w:sz w:val="24"/>
                <w:szCs w:val="22"/>
                <w:lang w:val="mn-MN"/>
              </w:rPr>
              <w:t xml:space="preserve">Эрчим  хүчний системийн автоматжуулалтын харилцаа холбооны сүлжээ ба систем – </w:t>
            </w:r>
            <w:r w:rsidRPr="00C2384D">
              <w:rPr>
                <w:rFonts w:eastAsia="Calibri"/>
                <w:bCs w:val="0"/>
                <w:i/>
                <w:sz w:val="24"/>
                <w:szCs w:val="22"/>
                <w:lang w:val="mn-MN"/>
              </w:rPr>
              <w:lastRenderedPageBreak/>
              <w:t>Хэсэг 9-2: Тодорхой харилцаа холбооны үйлчилгээний зураглал  (SCSM)  –  ISO/IEC8802-3 стандартын дагуу түүвэрлэсэн утгууд</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IEC/TR 61850-90-1, </w:t>
            </w:r>
            <w:r w:rsidRPr="00C2384D">
              <w:rPr>
                <w:rFonts w:eastAsia="Calibri"/>
                <w:bCs w:val="0"/>
                <w:i/>
                <w:sz w:val="24"/>
                <w:szCs w:val="22"/>
                <w:lang w:val="mn-MN"/>
              </w:rPr>
              <w:t>Эрчим  хүчний системийн</w:t>
            </w:r>
            <w:r w:rsidRPr="00C2384D" w:rsidDel="00A76153">
              <w:rPr>
                <w:rFonts w:eastAsia="Calibri"/>
                <w:bCs w:val="0"/>
                <w:i/>
                <w:sz w:val="24"/>
                <w:szCs w:val="22"/>
                <w:lang w:val="mn-MN"/>
              </w:rPr>
              <w:t xml:space="preserve"> </w:t>
            </w:r>
            <w:r w:rsidRPr="00C2384D">
              <w:rPr>
                <w:rFonts w:eastAsia="Calibri"/>
                <w:bCs w:val="0"/>
                <w:i/>
                <w:sz w:val="24"/>
                <w:szCs w:val="22"/>
                <w:lang w:val="mn-MN"/>
              </w:rPr>
              <w:t>автоматжуулалтын харилцаа холбооны сүлжээ ба систем – Хэсэг 90-1: IEC 61850 стандартыг дэд станцуудын хоорондын харилцаа холбоонд ашиглах</w:t>
            </w:r>
            <w:r w:rsidRPr="00C2384D">
              <w:rPr>
                <w:rFonts w:eastAsia="Calibri"/>
                <w:bCs w:val="0"/>
                <w:sz w:val="24"/>
                <w:szCs w:val="22"/>
                <w:lang w:val="mn-MN"/>
              </w:rPr>
              <w:t xml:space="preserve"> </w:t>
            </w:r>
          </w:p>
          <w:p w:rsidR="001C4C31" w:rsidRPr="00C2384D"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IEC/TS 62351-1, </w:t>
            </w:r>
            <w:r w:rsidRPr="00C2384D">
              <w:rPr>
                <w:rFonts w:eastAsia="Calibri"/>
                <w:bCs w:val="0"/>
                <w:i/>
                <w:sz w:val="24"/>
                <w:szCs w:val="22"/>
                <w:lang w:val="mn-MN"/>
              </w:rPr>
              <w:t>Эрчим хүчний системийн менежмент ба холбогдох мэдээлэл солилцоо – Мэдээлэл харилцаа холбооны аюулгүй байдал – Хэсэг 1: Харилцаа холбооны сүлжээ ба системийн аюулгүй байдал – Аюулгүй байдлын асуудлын танилцуулга</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IEC/TS 62351-6:2007, </w:t>
            </w:r>
            <w:r w:rsidRPr="00C2384D">
              <w:rPr>
                <w:rFonts w:eastAsia="Calibri"/>
                <w:bCs w:val="0"/>
                <w:i/>
                <w:sz w:val="24"/>
                <w:szCs w:val="22"/>
                <w:lang w:val="mn-MN"/>
              </w:rPr>
              <w:t>Эрчим хүчний системийн менежмент ба холбогдох мэдээлэл солилцоо – Мэдээлэл харилцаа холбооны аюулгүй байдал – Хэсэг 6: IEC 61850-ын дагуух аюулгүй байдал</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ISO/IEC8802-3:2000, </w:t>
            </w:r>
            <w:r w:rsidRPr="00C2384D">
              <w:rPr>
                <w:rFonts w:eastAsia="Calibri"/>
                <w:bCs w:val="0"/>
                <w:i/>
                <w:sz w:val="24"/>
                <w:szCs w:val="22"/>
                <w:lang w:val="mn-MN"/>
              </w:rPr>
              <w:t>Мэдээллийн технологи – Теле холбоо ба системүүдийн хоорондын мэдээлэл солилцоо – Орон нутгийн ба томоохон хотын сүлжээ – Тавигдах шаардлага – Хэсэг 3: Сөрөг үйлдлийн мэдрэгчтэй олон хандалттай мэдээлэл дамжуулагчийн хандалтын арга ба физик түвшний шаардлагууд</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ISO/IEC 19772, </w:t>
            </w:r>
            <w:r w:rsidRPr="00C2384D">
              <w:rPr>
                <w:rFonts w:eastAsia="Calibri"/>
                <w:bCs w:val="0"/>
                <w:i/>
                <w:sz w:val="24"/>
                <w:szCs w:val="22"/>
                <w:lang w:val="mn-MN"/>
              </w:rPr>
              <w:t>Мэдээллийн технологи – Аюулгүй байдлыг хангах техник хэрэгсэл  –  Баталгаажсан шифрлэлт  Түүнчлэн NIST SP800-38D</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ITU-T X.234, </w:t>
            </w:r>
            <w:r w:rsidRPr="00C2384D">
              <w:rPr>
                <w:rFonts w:eastAsia="Calibri"/>
                <w:bCs w:val="0"/>
                <w:sz w:val="24"/>
                <w:szCs w:val="22"/>
                <w:lang w:val="mn-MN"/>
              </w:rPr>
              <w:t>Мэдээллийн технологи –OSI холболтын горимгүй тээвэрлэлт (дамжуулалт)-ийн үйлчилгээний протокол Нэмж засварласан 1: Холболтын горимгүйгээр олон хаягаар дамжуулалт хийх боломжийг нэмэгдүүлэх</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802.1Q, </w:t>
            </w:r>
            <w:r w:rsidRPr="00C2384D">
              <w:rPr>
                <w:rFonts w:eastAsia="Calibri"/>
                <w:bCs w:val="0"/>
                <w:sz w:val="24"/>
                <w:szCs w:val="22"/>
                <w:lang w:val="mn-MN"/>
              </w:rPr>
              <w:t>Виртуал гүүрэн орон нутгийн (локал) сүлжээ</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lastRenderedPageBreak/>
              <w:t xml:space="preserve">IEEE C37.118.1, </w:t>
            </w:r>
            <w:r w:rsidRPr="00C2384D">
              <w:rPr>
                <w:rFonts w:eastAsia="Calibri"/>
                <w:bCs w:val="0"/>
                <w:sz w:val="24"/>
                <w:szCs w:val="22"/>
                <w:lang w:val="mn-MN"/>
              </w:rPr>
              <w:t>Эрчим хүчний системд синхрон хэмжилт хийх стандарт</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C37.118.2:2011, </w:t>
            </w:r>
            <w:r w:rsidRPr="00C2384D">
              <w:rPr>
                <w:rFonts w:eastAsia="Calibri"/>
                <w:bCs w:val="0"/>
                <w:sz w:val="24"/>
                <w:szCs w:val="22"/>
                <w:lang w:val="mn-MN"/>
              </w:rPr>
              <w:t>Эрчим хүчний системийн өгөгдөл, мэдээллийг синхрон дамжуулах стандарт</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NIST </w:t>
            </w:r>
            <w:r w:rsidRPr="00C2384D">
              <w:rPr>
                <w:rFonts w:eastAsia="Calibri"/>
                <w:bCs w:val="0"/>
                <w:sz w:val="24"/>
                <w:szCs w:val="22"/>
                <w:lang w:val="mn-MN"/>
              </w:rPr>
              <w:t>Тусгай хэвлэл 800-38D, Блок шифрийн горимыг ашиглах зөвлөмж: Galois/Counter Mode (GCM) ба GMAC</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768, </w:t>
            </w:r>
            <w:r w:rsidRPr="00C2384D">
              <w:rPr>
                <w:rFonts w:eastAsia="Calibri"/>
                <w:bCs w:val="0"/>
                <w:sz w:val="24"/>
                <w:szCs w:val="22"/>
                <w:lang w:val="mn-MN"/>
              </w:rPr>
              <w:t>Хэрэглэгчийн датаграм протокол</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791, </w:t>
            </w:r>
            <w:r w:rsidRPr="00C2384D">
              <w:rPr>
                <w:rFonts w:eastAsia="Calibri"/>
                <w:bCs w:val="0"/>
                <w:sz w:val="24"/>
                <w:szCs w:val="22"/>
                <w:lang w:val="mn-MN"/>
              </w:rPr>
              <w:t>Интернэт протокол DARPA Интернэт программын протокол тодорхойлолт</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 RFC 793, </w:t>
            </w:r>
            <w:r w:rsidRPr="00C2384D">
              <w:rPr>
                <w:rFonts w:eastAsia="Calibri"/>
                <w:bCs w:val="0"/>
                <w:sz w:val="24"/>
                <w:szCs w:val="22"/>
                <w:lang w:val="mn-MN"/>
              </w:rPr>
              <w:t>Дамжуулалтын хяналтын протокол</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826, </w:t>
            </w:r>
            <w:r w:rsidRPr="00C2384D">
              <w:rPr>
                <w:rFonts w:eastAsia="Calibri"/>
                <w:bCs w:val="0"/>
                <w:sz w:val="24"/>
                <w:szCs w:val="22"/>
                <w:lang w:val="mn-MN"/>
              </w:rPr>
              <w:t>Этернэт хаяг тодорхойлох протокол</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894, </w:t>
            </w:r>
            <w:r w:rsidRPr="00C2384D">
              <w:rPr>
                <w:rFonts w:eastAsia="Calibri"/>
                <w:bCs w:val="0"/>
                <w:sz w:val="24"/>
                <w:szCs w:val="22"/>
                <w:lang w:val="mn-MN"/>
              </w:rPr>
              <w:t>IP Datagram-ыг Этернэтээр дамжуулах стандарт</w:t>
            </w:r>
            <w:r>
              <w:rPr>
                <w:rFonts w:eastAsia="Calibri"/>
                <w:bCs w:val="0"/>
                <w:sz w:val="24"/>
                <w:szCs w:val="22"/>
                <w:lang w:val="mn-MN"/>
              </w:rPr>
              <w:t xml:space="preserve"> </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1108 </w:t>
            </w:r>
            <w:r w:rsidRPr="00C2384D">
              <w:rPr>
                <w:rFonts w:eastAsia="Calibri"/>
                <w:bCs w:val="0"/>
                <w:sz w:val="24"/>
                <w:szCs w:val="22"/>
                <w:lang w:val="mn-MN"/>
              </w:rPr>
              <w:t>сүлжээ, АНУ-ын Батлан хамгаалах Яамны интернэтийн аюулгүй байдлын хувилбарууд</w:t>
            </w:r>
            <w:r>
              <w:rPr>
                <w:rFonts w:eastAsia="Calibri"/>
                <w:bCs w:val="0"/>
                <w:sz w:val="24"/>
                <w:szCs w:val="22"/>
                <w:lang w:val="mn-MN"/>
              </w:rPr>
              <w:t xml:space="preserve"> </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1240 </w:t>
            </w:r>
            <w:r w:rsidRPr="00C2384D">
              <w:rPr>
                <w:rFonts w:eastAsia="Calibri"/>
                <w:bCs w:val="0"/>
                <w:sz w:val="24"/>
                <w:szCs w:val="22"/>
                <w:lang w:val="mn-MN"/>
              </w:rPr>
              <w:t>протокол, UDP-ын дээд талд байрлах OSI холболтгүй дамжуулалтын үйлчилгээ Хувилбар:1</w:t>
            </w:r>
          </w:p>
          <w:p w:rsidR="001C4C31" w:rsidRPr="00C2384D"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2104, </w:t>
            </w:r>
            <w:r w:rsidRPr="00C2384D">
              <w:rPr>
                <w:rFonts w:eastAsia="Calibri"/>
                <w:bCs w:val="0"/>
                <w:sz w:val="24"/>
                <w:szCs w:val="22"/>
                <w:lang w:val="mn-MN"/>
              </w:rPr>
              <w:t>HMAC: Мэдээлэл баталгаажуулах түлхүүр RFC 2406, IP Аюулгүй байдлын ачааллын хавсралт IP, RFC 2407, Мэдээлэл солилцооны протоколын интернэт түлхүүр (IKEv1)</w:t>
            </w:r>
          </w:p>
          <w:p w:rsidR="001C4C31" w:rsidRPr="00C2384D" w:rsidRDefault="001C4C31" w:rsidP="001C4C31">
            <w:pPr>
              <w:tabs>
                <w:tab w:val="left" w:pos="0"/>
              </w:tabs>
              <w:ind w:left="0" w:right="14" w:firstLine="0"/>
              <w:rPr>
                <w:rFonts w:eastAsia="Calibri"/>
                <w:szCs w:val="22"/>
              </w:rPr>
            </w:pPr>
            <w:r w:rsidRPr="00C2384D">
              <w:rPr>
                <w:rFonts w:eastAsia="Calibri"/>
                <w:szCs w:val="22"/>
              </w:rPr>
              <w:t xml:space="preserve">RFC 2474, IPv4 ба IPv6 дээрх ялгаатай үйлчилгээний талбарын тодорхойлолт </w:t>
            </w:r>
          </w:p>
          <w:p w:rsidR="001C4C31" w:rsidRPr="00C2384D" w:rsidRDefault="001C4C31" w:rsidP="001C4C31">
            <w:pPr>
              <w:tabs>
                <w:tab w:val="left" w:pos="0"/>
              </w:tabs>
              <w:ind w:left="0" w:right="14" w:firstLine="0"/>
              <w:rPr>
                <w:rFonts w:eastAsia="Calibri"/>
                <w:szCs w:val="22"/>
              </w:rPr>
            </w:pPr>
            <w:r w:rsidRPr="00C2384D">
              <w:rPr>
                <w:rFonts w:eastAsia="Calibri"/>
                <w:szCs w:val="22"/>
              </w:rPr>
              <w:t>RFC 2991, Unicast ба Multicast Next-Hop сонголтын олон замын асуудлууд</w:t>
            </w:r>
          </w:p>
          <w:p w:rsidR="001C4C31" w:rsidRPr="00C2384D" w:rsidRDefault="001C4C31" w:rsidP="001C4C31">
            <w:pPr>
              <w:tabs>
                <w:tab w:val="left" w:pos="0"/>
              </w:tabs>
              <w:ind w:left="0" w:right="14" w:firstLine="0"/>
              <w:rPr>
                <w:rFonts w:eastAsia="Calibri"/>
                <w:szCs w:val="22"/>
              </w:rPr>
            </w:pPr>
            <w:r w:rsidRPr="00C2384D">
              <w:rPr>
                <w:rFonts w:eastAsia="Calibri"/>
                <w:szCs w:val="22"/>
              </w:rPr>
              <w:t>RFC 3168, IP-ийн хэт ачааллын талаарх анхааруулгын нэмэлт</w:t>
            </w:r>
          </w:p>
          <w:p w:rsidR="001C4C31" w:rsidRPr="00C2384D" w:rsidRDefault="001C4C31" w:rsidP="001C4C31">
            <w:pPr>
              <w:tabs>
                <w:tab w:val="left" w:pos="0"/>
              </w:tabs>
              <w:ind w:left="0" w:right="14" w:firstLine="0"/>
              <w:rPr>
                <w:rFonts w:eastAsia="Calibri"/>
                <w:szCs w:val="22"/>
              </w:rPr>
            </w:pPr>
            <w:r w:rsidRPr="00C2384D">
              <w:rPr>
                <w:rFonts w:eastAsia="Calibri"/>
                <w:szCs w:val="22"/>
              </w:rPr>
              <w:t>RFC3246, PHB-ын хурдасгасан үйлчилгээ</w:t>
            </w:r>
          </w:p>
          <w:p w:rsidR="001C4C31" w:rsidRPr="00C2384D" w:rsidRDefault="001C4C31" w:rsidP="001C4C31">
            <w:pPr>
              <w:tabs>
                <w:tab w:val="left" w:pos="0"/>
              </w:tabs>
              <w:ind w:left="0" w:right="14" w:firstLine="0"/>
              <w:rPr>
                <w:rFonts w:eastAsia="Calibri"/>
                <w:szCs w:val="22"/>
              </w:rPr>
            </w:pPr>
            <w:r w:rsidRPr="00C2384D">
              <w:rPr>
                <w:rFonts w:eastAsia="Calibri"/>
                <w:szCs w:val="22"/>
              </w:rPr>
              <w:t xml:space="preserve">RFC 3376, Менежментийн протоколын интернэт групп, Хувилбар 3 </w:t>
            </w:r>
          </w:p>
          <w:p w:rsidR="001C4C31" w:rsidRPr="00C2384D" w:rsidRDefault="001C4C31" w:rsidP="001C4C31">
            <w:pPr>
              <w:tabs>
                <w:tab w:val="left" w:pos="0"/>
              </w:tabs>
              <w:ind w:left="0" w:right="14" w:firstLine="0"/>
              <w:rPr>
                <w:rFonts w:eastAsia="Calibri"/>
                <w:szCs w:val="22"/>
              </w:rPr>
            </w:pPr>
            <w:r w:rsidRPr="00C2384D">
              <w:rPr>
                <w:rFonts w:eastAsia="Calibri"/>
                <w:szCs w:val="22"/>
              </w:rPr>
              <w:t>RFC 3547, Интерпретацийн домэйны групп</w:t>
            </w:r>
          </w:p>
          <w:p w:rsidR="001C4C31" w:rsidRPr="00C2384D" w:rsidRDefault="001C4C31" w:rsidP="001C4C31">
            <w:pPr>
              <w:tabs>
                <w:tab w:val="left" w:pos="0"/>
              </w:tabs>
              <w:ind w:left="0" w:right="14" w:firstLine="0"/>
              <w:rPr>
                <w:rFonts w:eastAsia="Calibri"/>
                <w:szCs w:val="22"/>
              </w:rPr>
            </w:pPr>
            <w:r w:rsidRPr="00C2384D">
              <w:rPr>
                <w:rFonts w:eastAsia="Calibri"/>
                <w:szCs w:val="22"/>
              </w:rPr>
              <w:t>RFC 5771, IANA IPv4-ийн Multicast хаяг оноох гарын авлага (заавар)</w:t>
            </w:r>
          </w:p>
          <w:p w:rsidR="001C4C31" w:rsidRPr="00C2384D" w:rsidRDefault="001C4C31" w:rsidP="001C4C31">
            <w:pPr>
              <w:tabs>
                <w:tab w:val="left" w:pos="0"/>
              </w:tabs>
              <w:ind w:left="0" w:right="14" w:firstLine="0"/>
              <w:rPr>
                <w:rFonts w:eastAsia="Calibri"/>
                <w:szCs w:val="22"/>
              </w:rPr>
            </w:pPr>
            <w:r w:rsidRPr="00C2384D">
              <w:rPr>
                <w:rFonts w:eastAsia="Calibri"/>
                <w:szCs w:val="22"/>
              </w:rPr>
              <w:lastRenderedPageBreak/>
              <w:t>UCA 61850-9-2LE-ийн хэрэглэгчийн групп - IEC 61850-9-2 стандартыг ашиглан трансформаторын төхөөрөмжүүдэд дижитал интерфейс хэрэглэх заавар</w:t>
            </w:r>
          </w:p>
          <w:p w:rsidR="001C4C31" w:rsidRPr="00C2384D" w:rsidRDefault="001C4C31" w:rsidP="001C4C31">
            <w:pPr>
              <w:tabs>
                <w:tab w:val="left" w:pos="0"/>
              </w:tabs>
              <w:ind w:left="0" w:firstLine="0"/>
              <w:rPr>
                <w:rFonts w:eastAsia="Calibri"/>
                <w:b/>
                <w:szCs w:val="22"/>
              </w:rPr>
            </w:pPr>
            <w:r w:rsidRPr="00C2384D">
              <w:rPr>
                <w:rFonts w:eastAsia="Calibri"/>
                <w:b/>
                <w:szCs w:val="22"/>
              </w:rPr>
              <w:t>3 Нэр томъёо ба тодорхойлолтууд</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Энэхүү баримт бичгийн зорилгоор IEC 61850-2, IEC 61850-7-2, IEEE C37.118.1-д заасан нэр томьёо, тодорхойлолт, мөн дараах зүйлийг ашиглана. </w:t>
            </w:r>
          </w:p>
          <w:p w:rsidR="001C4C31" w:rsidRPr="00C2384D" w:rsidRDefault="001C4C31" w:rsidP="001C4C31">
            <w:pPr>
              <w:tabs>
                <w:tab w:val="left" w:pos="0"/>
              </w:tabs>
              <w:ind w:left="0" w:firstLine="0"/>
              <w:rPr>
                <w:rFonts w:eastAsia="Calibri"/>
                <w:b/>
                <w:szCs w:val="22"/>
              </w:rPr>
            </w:pPr>
            <w:r w:rsidRPr="00C2384D">
              <w:rPr>
                <w:rFonts w:eastAsia="Calibri"/>
                <w:b/>
                <w:szCs w:val="22"/>
              </w:rPr>
              <w:t>3.1 IED хэрэгсэл</w:t>
            </w:r>
          </w:p>
          <w:p w:rsidR="001C4C31" w:rsidRPr="00C2384D" w:rsidRDefault="001C4C31" w:rsidP="001C4C31">
            <w:pPr>
              <w:tabs>
                <w:tab w:val="left" w:pos="0"/>
              </w:tabs>
              <w:ind w:left="0" w:firstLine="0"/>
              <w:rPr>
                <w:rFonts w:eastAsia="Calibri"/>
                <w:szCs w:val="22"/>
              </w:rPr>
            </w:pPr>
            <w:r w:rsidRPr="00C2384D">
              <w:rPr>
                <w:rFonts w:eastAsia="Calibri"/>
                <w:szCs w:val="22"/>
              </w:rPr>
              <w:t>ОУЦТК 61850-6 агуулгаар IED  тохиргооны хэрэгсэл эсвэл  IED тохируулагч</w:t>
            </w:r>
          </w:p>
          <w:p w:rsidR="001C4C31" w:rsidRPr="00C2384D" w:rsidRDefault="001C4C31" w:rsidP="001C4C31">
            <w:pPr>
              <w:tabs>
                <w:tab w:val="left" w:pos="0"/>
              </w:tabs>
              <w:ind w:left="0" w:firstLine="0"/>
              <w:rPr>
                <w:rFonts w:eastAsia="Calibri"/>
                <w:b/>
                <w:szCs w:val="22"/>
              </w:rPr>
            </w:pPr>
            <w:r w:rsidRPr="00C2384D">
              <w:rPr>
                <w:rFonts w:eastAsia="Calibri"/>
                <w:b/>
                <w:szCs w:val="22"/>
              </w:rPr>
              <w:t xml:space="preserve">3.2 nonce </w:t>
            </w:r>
          </w:p>
          <w:p w:rsidR="001C4C31" w:rsidRPr="00C2384D" w:rsidRDefault="001C4C31" w:rsidP="001C4C31">
            <w:pPr>
              <w:tabs>
                <w:tab w:val="left" w:pos="0"/>
              </w:tabs>
              <w:ind w:left="0" w:firstLine="0"/>
              <w:rPr>
                <w:rFonts w:eastAsia="Calibri"/>
                <w:szCs w:val="22"/>
              </w:rPr>
            </w:pPr>
            <w:r w:rsidRPr="00C2384D">
              <w:rPr>
                <w:rFonts w:eastAsia="Calibri"/>
                <w:szCs w:val="22"/>
              </w:rPr>
              <w:t>нэг удаа ашигласан дугаар</w:t>
            </w:r>
          </w:p>
          <w:p w:rsidR="001C4C31" w:rsidRPr="00C2384D" w:rsidRDefault="001C4C31" w:rsidP="001C4C31">
            <w:pPr>
              <w:tabs>
                <w:tab w:val="left" w:pos="0"/>
              </w:tabs>
              <w:ind w:left="0" w:firstLine="0"/>
              <w:rPr>
                <w:rFonts w:eastAsia="Calibri"/>
                <w:sz w:val="20"/>
                <w:szCs w:val="20"/>
              </w:rPr>
            </w:pPr>
            <w:r w:rsidRPr="00C2384D">
              <w:rPr>
                <w:rFonts w:eastAsia="Calibri"/>
                <w:sz w:val="20"/>
                <w:szCs w:val="20"/>
              </w:rPr>
              <w:t>Нэвтрэх 1-р тэмдэглэл: nonce гэдэг нь цаг хугацааны хувьд харилцан адилгүй байдаг боловч заримдаа маш том санамсаргүй тоог ашигладаг.</w:t>
            </w:r>
          </w:p>
          <w:p w:rsidR="001C4C31" w:rsidRPr="00C2384D" w:rsidRDefault="00D80958" w:rsidP="001C4C31">
            <w:pPr>
              <w:pStyle w:val="BodyText"/>
              <w:tabs>
                <w:tab w:val="left" w:pos="0"/>
              </w:tabs>
              <w:spacing w:line="276" w:lineRule="auto"/>
              <w:ind w:right="502"/>
              <w:jc w:val="both"/>
              <w:rPr>
                <w:rFonts w:eastAsia="Calibri"/>
                <w:b/>
                <w:bCs w:val="0"/>
                <w:sz w:val="24"/>
                <w:szCs w:val="22"/>
                <w:lang w:val="mn-MN"/>
              </w:rPr>
            </w:pPr>
            <w:r>
              <w:rPr>
                <w:rFonts w:eastAsia="Calibri"/>
                <w:b/>
                <w:bCs w:val="0"/>
                <w:sz w:val="24"/>
                <w:szCs w:val="22"/>
                <w:lang w:val="mn-MN"/>
              </w:rPr>
              <w:t>3.3 х</w:t>
            </w:r>
            <w:r w:rsidR="001C4C31" w:rsidRPr="00C2384D">
              <w:rPr>
                <w:rFonts w:eastAsia="Calibri"/>
                <w:b/>
                <w:bCs w:val="0"/>
                <w:sz w:val="24"/>
                <w:szCs w:val="22"/>
                <w:lang w:val="mn-MN"/>
              </w:rPr>
              <w:t>эсэг (хэсэгчилсэн) систем</w:t>
            </w:r>
          </w:p>
          <w:p w:rsidR="001C4C31" w:rsidRPr="00C2384D" w:rsidRDefault="001C4C31" w:rsidP="001C4C31">
            <w:pPr>
              <w:tabs>
                <w:tab w:val="left" w:pos="0"/>
              </w:tabs>
              <w:ind w:left="0" w:firstLine="0"/>
              <w:rPr>
                <w:rFonts w:eastAsia="Calibri"/>
                <w:szCs w:val="22"/>
              </w:rPr>
            </w:pPr>
            <w:r w:rsidRPr="00C2384D">
              <w:rPr>
                <w:rFonts w:eastAsia="Calibri"/>
                <w:szCs w:val="22"/>
              </w:rPr>
              <w:t>тодорхойлсон, өөртөө нийцсэн функц бүхий бүрэн системийн хэсэг</w:t>
            </w:r>
          </w:p>
          <w:p w:rsidR="001C4C31" w:rsidRPr="00C2384D" w:rsidRDefault="001C4C31" w:rsidP="001C4C31">
            <w:pPr>
              <w:tabs>
                <w:tab w:val="left" w:pos="0"/>
              </w:tabs>
              <w:ind w:left="0" w:firstLine="0"/>
              <w:rPr>
                <w:rFonts w:eastAsia="Calibri"/>
                <w:b/>
                <w:szCs w:val="22"/>
              </w:rPr>
            </w:pPr>
            <w:r w:rsidRPr="00C2384D">
              <w:rPr>
                <w:rFonts w:eastAsia="Calibri"/>
                <w:b/>
                <w:szCs w:val="22"/>
              </w:rPr>
              <w:t>3.4 төсөл</w:t>
            </w:r>
          </w:p>
          <w:p w:rsidR="001C4C31" w:rsidRPr="00C2384D" w:rsidRDefault="001C4C31" w:rsidP="001C4C31">
            <w:pPr>
              <w:tabs>
                <w:tab w:val="left" w:pos="0"/>
              </w:tabs>
              <w:ind w:left="0" w:firstLine="0"/>
              <w:rPr>
                <w:rFonts w:eastAsia="Calibri"/>
                <w:szCs w:val="22"/>
              </w:rPr>
            </w:pPr>
            <w:r w:rsidRPr="00C2384D">
              <w:rPr>
                <w:rFonts w:eastAsia="Calibri"/>
                <w:szCs w:val="22"/>
              </w:rPr>
              <w:t>IED-ийн багцыг эзэмшдэг системийн хэсэг нь ихэвчлэн нэг дэд станцад байрладаг бөгөөд нэг системийн тохиргооны хэрэгслээр зохицуулда</w:t>
            </w:r>
          </w:p>
          <w:p w:rsidR="001C4C31" w:rsidRPr="00C2384D" w:rsidRDefault="00D80958" w:rsidP="001C4C31">
            <w:pPr>
              <w:pStyle w:val="BodyText"/>
              <w:tabs>
                <w:tab w:val="left" w:pos="0"/>
              </w:tabs>
              <w:spacing w:line="276" w:lineRule="auto"/>
              <w:ind w:right="502"/>
              <w:jc w:val="both"/>
              <w:rPr>
                <w:rFonts w:eastAsia="Calibri"/>
                <w:b/>
                <w:bCs w:val="0"/>
                <w:sz w:val="24"/>
                <w:szCs w:val="22"/>
                <w:lang w:val="mn-MN"/>
              </w:rPr>
            </w:pPr>
            <w:r>
              <w:rPr>
                <w:rFonts w:eastAsia="Calibri"/>
                <w:b/>
                <w:bCs w:val="0"/>
                <w:sz w:val="24"/>
                <w:szCs w:val="22"/>
                <w:lang w:val="mn-MN"/>
              </w:rPr>
              <w:t>3.5 г</w:t>
            </w:r>
            <w:r w:rsidR="001C4C31" w:rsidRPr="00C2384D">
              <w:rPr>
                <w:rFonts w:eastAsia="Calibri"/>
                <w:b/>
                <w:bCs w:val="0"/>
                <w:sz w:val="24"/>
                <w:szCs w:val="22"/>
                <w:lang w:val="mn-MN"/>
              </w:rPr>
              <w:t>ейтвэй</w:t>
            </w:r>
          </w:p>
          <w:p w:rsidR="001C4C31" w:rsidRPr="00C2384D" w:rsidRDefault="001C4C31" w:rsidP="001C4C31">
            <w:pPr>
              <w:tabs>
                <w:tab w:val="left" w:pos="0"/>
              </w:tabs>
              <w:ind w:left="0" w:firstLine="0"/>
              <w:rPr>
                <w:rFonts w:eastAsia="Calibri"/>
                <w:szCs w:val="22"/>
              </w:rPr>
            </w:pPr>
            <w:r w:rsidRPr="00C2384D">
              <w:rPr>
                <w:rFonts w:eastAsia="Calibri"/>
                <w:szCs w:val="22"/>
              </w:rPr>
              <w:t>өөр өөр протокол ашигладаг хоёр сүлжээ хоорондын харилцаа холбоо / мэдээлэл солилцох боломжийг олгодог дотоод сүлжээ</w:t>
            </w:r>
          </w:p>
          <w:p w:rsidR="001C4C31" w:rsidRPr="00C2384D" w:rsidRDefault="001C4C31" w:rsidP="001C4C31">
            <w:pPr>
              <w:pStyle w:val="BodyText"/>
              <w:tabs>
                <w:tab w:val="left" w:pos="0"/>
              </w:tabs>
              <w:spacing w:line="276" w:lineRule="auto"/>
              <w:ind w:right="502"/>
              <w:jc w:val="both"/>
              <w:rPr>
                <w:rFonts w:eastAsia="Calibri"/>
                <w:b/>
                <w:bCs w:val="0"/>
                <w:sz w:val="24"/>
                <w:szCs w:val="22"/>
                <w:lang w:val="mn-MN"/>
              </w:rPr>
            </w:pPr>
            <w:r w:rsidRPr="00C2384D">
              <w:rPr>
                <w:rFonts w:eastAsia="Calibri"/>
                <w:b/>
                <w:bCs w:val="0"/>
                <w:sz w:val="24"/>
                <w:szCs w:val="22"/>
                <w:lang w:val="mn-MN"/>
              </w:rPr>
              <w:t>3.6 систем</w:t>
            </w:r>
          </w:p>
          <w:p w:rsidR="001C4C31" w:rsidRPr="00C2384D" w:rsidRDefault="001C4C31" w:rsidP="001C4C31">
            <w:pPr>
              <w:tabs>
                <w:tab w:val="left" w:pos="0"/>
              </w:tabs>
              <w:ind w:left="0" w:firstLine="0"/>
              <w:rPr>
                <w:rFonts w:eastAsia="Calibri"/>
                <w:szCs w:val="22"/>
              </w:rPr>
            </w:pPr>
            <w:r w:rsidRPr="00C2384D">
              <w:rPr>
                <w:rFonts w:eastAsia="Calibri"/>
                <w:szCs w:val="22"/>
              </w:rPr>
              <w:t>логик зангилаагаар дамжуулан "дэд станцын менежмент" гэх мэт ерөнхий үүргийг гүйцэтгэдэг бүх харилцагч хэрэглэгдэхүүн функцүүдийн нэгдэл</w:t>
            </w:r>
          </w:p>
          <w:p w:rsidR="001C4C31" w:rsidRPr="00C2384D" w:rsidRDefault="001C4C31" w:rsidP="001C4C31">
            <w:pPr>
              <w:tabs>
                <w:tab w:val="left" w:pos="0"/>
              </w:tabs>
              <w:ind w:left="0" w:firstLine="0"/>
              <w:rPr>
                <w:rFonts w:eastAsia="Calibri"/>
                <w:sz w:val="20"/>
                <w:szCs w:val="20"/>
              </w:rPr>
            </w:pPr>
            <w:r w:rsidRPr="00C2384D">
              <w:rPr>
                <w:rFonts w:eastAsia="Calibri"/>
                <w:sz w:val="20"/>
                <w:szCs w:val="20"/>
              </w:rPr>
              <w:t>Тайлбар 1: Бодит систем нь эдгээр функцийг байрлуулж буй бүх төхөөрөмж, бие биетэйгээ холбогдсон харилцаа холбооны сүлжээнээс бүрдэнэ.</w:t>
            </w:r>
          </w:p>
          <w:p w:rsidR="001C4C31" w:rsidRPr="00C2384D" w:rsidRDefault="001C4C31" w:rsidP="001C4C31">
            <w:pPr>
              <w:tabs>
                <w:tab w:val="left" w:pos="0"/>
              </w:tabs>
              <w:ind w:left="0" w:firstLine="0"/>
              <w:rPr>
                <w:rFonts w:eastAsia="Calibri"/>
                <w:b/>
                <w:szCs w:val="22"/>
              </w:rPr>
            </w:pPr>
            <w:r w:rsidRPr="00C2384D">
              <w:rPr>
                <w:rFonts w:eastAsia="Calibri"/>
                <w:b/>
                <w:szCs w:val="22"/>
              </w:rPr>
              <w:t>4 Товчилсон нэр томъёо</w:t>
            </w:r>
          </w:p>
          <w:p w:rsidR="001C4C31" w:rsidRPr="00C2384D" w:rsidRDefault="001C4C31" w:rsidP="001C4C31">
            <w:pPr>
              <w:tabs>
                <w:tab w:val="left" w:pos="0"/>
              </w:tabs>
              <w:ind w:left="0" w:firstLine="0"/>
              <w:rPr>
                <w:rFonts w:eastAsia="Calibri"/>
                <w:szCs w:val="22"/>
              </w:rPr>
            </w:pPr>
            <w:r w:rsidRPr="00C2384D">
              <w:rPr>
                <w:rFonts w:eastAsia="Calibri"/>
                <w:szCs w:val="22"/>
              </w:rPr>
              <w:t>Энэхүү баримт бичигт дараах товчлолууд хамаарна.</w:t>
            </w:r>
          </w:p>
          <w:p w:rsidR="001C4C31" w:rsidRPr="00C2384D" w:rsidRDefault="001C4C31" w:rsidP="001C4C31">
            <w:pPr>
              <w:tabs>
                <w:tab w:val="left" w:pos="0"/>
              </w:tabs>
              <w:ind w:left="0" w:firstLine="0"/>
              <w:rPr>
                <w:rFonts w:eastAsia="Calibri"/>
                <w:szCs w:val="22"/>
              </w:rPr>
            </w:pPr>
            <w:r w:rsidRPr="00C2384D">
              <w:rPr>
                <w:rFonts w:eastAsia="Calibri"/>
                <w:szCs w:val="22"/>
              </w:rPr>
              <w:lastRenderedPageBreak/>
              <w:t>APDU</w:t>
            </w:r>
            <w:r w:rsidRPr="00C2384D">
              <w:rPr>
                <w:rFonts w:eastAsia="Calibri"/>
                <w:szCs w:val="22"/>
              </w:rPr>
              <w:tab/>
              <w:t xml:space="preserve">   Хэрэглээний Протоколын Өгөгдлийн Нэгж</w:t>
            </w:r>
          </w:p>
          <w:p w:rsidR="001C4C31" w:rsidRPr="00C2384D" w:rsidRDefault="001C4C31" w:rsidP="001C4C31">
            <w:pPr>
              <w:tabs>
                <w:tab w:val="left" w:pos="0"/>
              </w:tabs>
              <w:ind w:left="0" w:firstLine="0"/>
              <w:rPr>
                <w:rFonts w:eastAsia="Calibri"/>
                <w:szCs w:val="22"/>
              </w:rPr>
            </w:pPr>
            <w:r w:rsidRPr="00C2384D">
              <w:rPr>
                <w:rFonts w:eastAsia="Calibri"/>
                <w:szCs w:val="22"/>
              </w:rPr>
              <w:t>A- Профайл Хэрэглээний Профайл</w:t>
            </w:r>
          </w:p>
          <w:p w:rsidR="001C4C31" w:rsidRPr="00C2384D" w:rsidRDefault="001C4C31" w:rsidP="001C4C31">
            <w:pPr>
              <w:tabs>
                <w:tab w:val="left" w:pos="0"/>
              </w:tabs>
              <w:ind w:left="0" w:firstLine="0"/>
              <w:rPr>
                <w:rFonts w:eastAsia="Calibri"/>
                <w:szCs w:val="22"/>
              </w:rPr>
            </w:pPr>
            <w:r w:rsidRPr="00C2384D">
              <w:rPr>
                <w:rFonts w:eastAsia="Calibri"/>
                <w:szCs w:val="22"/>
              </w:rPr>
              <w:t>CDC</w:t>
            </w:r>
            <w:r w:rsidRPr="00C2384D">
              <w:rPr>
                <w:rFonts w:eastAsia="Calibri"/>
                <w:szCs w:val="22"/>
              </w:rPr>
              <w:tab/>
              <w:t xml:space="preserve">    Нийтлэг Өгөгдлийн Анги</w:t>
            </w:r>
          </w:p>
          <w:p w:rsidR="001C4C31" w:rsidRPr="00C2384D" w:rsidRDefault="001C4C31" w:rsidP="001C4C31">
            <w:pPr>
              <w:tabs>
                <w:tab w:val="left" w:pos="0"/>
              </w:tabs>
              <w:ind w:left="0" w:firstLine="0"/>
              <w:rPr>
                <w:rFonts w:eastAsia="Calibri"/>
                <w:szCs w:val="22"/>
              </w:rPr>
            </w:pPr>
            <w:r w:rsidRPr="00C2384D">
              <w:rPr>
                <w:rFonts w:eastAsia="Calibri"/>
                <w:szCs w:val="22"/>
              </w:rPr>
              <w:t>CID</w:t>
            </w:r>
            <w:r w:rsidRPr="00C2384D">
              <w:rPr>
                <w:rFonts w:eastAsia="Calibri"/>
                <w:szCs w:val="22"/>
              </w:rPr>
              <w:tab/>
              <w:t xml:space="preserve">    Тохируулсан IED-Ийн Тайлбар</w:t>
            </w:r>
          </w:p>
          <w:p w:rsidR="001C4C31" w:rsidRPr="00C2384D" w:rsidRDefault="001C4C31" w:rsidP="001C4C31">
            <w:pPr>
              <w:tabs>
                <w:tab w:val="left" w:pos="0"/>
              </w:tabs>
              <w:ind w:left="0" w:firstLine="0"/>
              <w:rPr>
                <w:rFonts w:eastAsia="Calibri"/>
                <w:szCs w:val="22"/>
              </w:rPr>
            </w:pPr>
            <w:r w:rsidRPr="00C2384D">
              <w:rPr>
                <w:rFonts w:eastAsia="Calibri"/>
                <w:szCs w:val="22"/>
              </w:rPr>
              <w:t>CT</w:t>
            </w:r>
            <w:r w:rsidRPr="00C2384D">
              <w:rPr>
                <w:rFonts w:eastAsia="Calibri"/>
                <w:szCs w:val="22"/>
              </w:rPr>
              <w:tab/>
              <w:t xml:space="preserve">     Гүйдлийн Трансформатор</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DA </w:t>
            </w:r>
            <w:r w:rsidRPr="00C2384D">
              <w:rPr>
                <w:rFonts w:eastAsia="Calibri"/>
                <w:szCs w:val="22"/>
              </w:rPr>
              <w:tab/>
              <w:t xml:space="preserve">    Өгөгдөл Архивлагч</w:t>
            </w:r>
          </w:p>
          <w:p w:rsidR="001C4C31" w:rsidRPr="00C2384D" w:rsidRDefault="001C4C31" w:rsidP="001C4C31">
            <w:pPr>
              <w:tabs>
                <w:tab w:val="left" w:pos="0"/>
              </w:tabs>
              <w:ind w:left="0" w:firstLine="0"/>
              <w:rPr>
                <w:rFonts w:eastAsia="Calibri"/>
                <w:szCs w:val="22"/>
              </w:rPr>
            </w:pPr>
            <w:r w:rsidRPr="00C2384D">
              <w:rPr>
                <w:rFonts w:eastAsia="Calibri"/>
                <w:szCs w:val="22"/>
              </w:rPr>
              <w:t>DNS</w:t>
            </w:r>
            <w:r w:rsidRPr="00C2384D">
              <w:rPr>
                <w:rFonts w:eastAsia="Calibri"/>
                <w:szCs w:val="22"/>
              </w:rPr>
              <w:tab/>
              <w:t xml:space="preserve">    Домэйн Нэрийн Сервис</w:t>
            </w:r>
          </w:p>
          <w:p w:rsidR="001C4C31" w:rsidRPr="00C2384D" w:rsidRDefault="001C4C31" w:rsidP="001C4C31">
            <w:pPr>
              <w:tabs>
                <w:tab w:val="left" w:pos="0"/>
              </w:tabs>
              <w:ind w:left="0" w:firstLine="0"/>
              <w:rPr>
                <w:rFonts w:eastAsia="Calibri"/>
                <w:szCs w:val="22"/>
              </w:rPr>
            </w:pPr>
            <w:r w:rsidRPr="00C2384D">
              <w:rPr>
                <w:rFonts w:eastAsia="Calibri"/>
                <w:szCs w:val="22"/>
              </w:rPr>
              <w:t>DSCP</w:t>
            </w:r>
            <w:r w:rsidRPr="00C2384D">
              <w:rPr>
                <w:rFonts w:eastAsia="Calibri"/>
                <w:szCs w:val="22"/>
              </w:rPr>
              <w:tab/>
              <w:t xml:space="preserve">    Ялгаатай Сервис Кодын Цэг</w:t>
            </w:r>
          </w:p>
          <w:p w:rsidR="001C4C31" w:rsidRPr="00C2384D" w:rsidRDefault="001C4C31" w:rsidP="001C4C31">
            <w:pPr>
              <w:tabs>
                <w:tab w:val="left" w:pos="0"/>
              </w:tabs>
              <w:ind w:left="0" w:firstLine="0"/>
              <w:rPr>
                <w:rFonts w:eastAsia="Calibri"/>
                <w:szCs w:val="22"/>
              </w:rPr>
            </w:pPr>
            <w:r w:rsidRPr="00C2384D">
              <w:rPr>
                <w:rFonts w:eastAsia="Calibri"/>
                <w:szCs w:val="22"/>
              </w:rPr>
              <w:t>ECN</w:t>
            </w:r>
            <w:r w:rsidRPr="00C2384D">
              <w:rPr>
                <w:rFonts w:eastAsia="Calibri"/>
                <w:szCs w:val="22"/>
              </w:rPr>
              <w:tab/>
              <w:t xml:space="preserve">   Тодорхой Хэт Ачааллын Тэмдэглэл</w:t>
            </w:r>
          </w:p>
          <w:p w:rsidR="001C4C31" w:rsidRPr="00C2384D" w:rsidRDefault="001C4C31" w:rsidP="001C4C31">
            <w:pPr>
              <w:tabs>
                <w:tab w:val="left" w:pos="0"/>
              </w:tabs>
              <w:ind w:left="0" w:firstLine="0"/>
              <w:rPr>
                <w:rFonts w:eastAsia="Calibri"/>
                <w:szCs w:val="22"/>
              </w:rPr>
            </w:pPr>
            <w:r w:rsidRPr="00C2384D">
              <w:rPr>
                <w:rFonts w:eastAsia="Calibri"/>
                <w:szCs w:val="22"/>
              </w:rPr>
              <w:t>EF</w:t>
            </w:r>
            <w:r w:rsidRPr="00C2384D">
              <w:rPr>
                <w:rFonts w:eastAsia="Calibri"/>
                <w:szCs w:val="22"/>
              </w:rPr>
              <w:tab/>
              <w:t xml:space="preserve">     Хурдатгасан Дамжуулалт</w:t>
            </w:r>
          </w:p>
          <w:p w:rsidR="001C4C31" w:rsidRPr="00C2384D" w:rsidRDefault="001C4C31" w:rsidP="001C4C31">
            <w:pPr>
              <w:tabs>
                <w:tab w:val="left" w:pos="0"/>
              </w:tabs>
              <w:ind w:left="0" w:firstLine="0"/>
              <w:rPr>
                <w:rFonts w:eastAsia="Calibri"/>
                <w:szCs w:val="22"/>
              </w:rPr>
            </w:pPr>
            <w:r w:rsidRPr="00C2384D">
              <w:rPr>
                <w:rFonts w:eastAsia="Calibri"/>
                <w:szCs w:val="22"/>
              </w:rPr>
              <w:t>ESP</w:t>
            </w:r>
            <w:r w:rsidRPr="00C2384D">
              <w:rPr>
                <w:rFonts w:eastAsia="Calibri"/>
                <w:szCs w:val="22"/>
              </w:rPr>
              <w:tab/>
              <w:t xml:space="preserve">     Цахим Аюулгүй Байдлын Периметр</w:t>
            </w:r>
          </w:p>
          <w:p w:rsidR="001C4C31" w:rsidRPr="00C2384D" w:rsidRDefault="001C4C31" w:rsidP="001C4C31">
            <w:pPr>
              <w:tabs>
                <w:tab w:val="left" w:pos="0"/>
              </w:tabs>
              <w:ind w:left="0" w:firstLine="0"/>
              <w:rPr>
                <w:rFonts w:eastAsia="Calibri"/>
                <w:szCs w:val="22"/>
              </w:rPr>
            </w:pPr>
            <w:r w:rsidRPr="00C2384D">
              <w:rPr>
                <w:rFonts w:eastAsia="Calibri"/>
                <w:szCs w:val="22"/>
              </w:rPr>
              <w:t>ET</w:t>
            </w:r>
            <w:r w:rsidRPr="00C2384D">
              <w:rPr>
                <w:rFonts w:eastAsia="Calibri"/>
                <w:szCs w:val="22"/>
              </w:rPr>
              <w:tab/>
              <w:t xml:space="preserve">     Үйл явдлын триггер</w:t>
            </w:r>
          </w:p>
          <w:p w:rsidR="001C4C31" w:rsidRPr="00C2384D" w:rsidRDefault="001C4C31" w:rsidP="001C4C31">
            <w:pPr>
              <w:tabs>
                <w:tab w:val="left" w:pos="0"/>
              </w:tabs>
              <w:ind w:left="0" w:firstLine="0"/>
              <w:rPr>
                <w:rFonts w:eastAsia="Calibri"/>
                <w:szCs w:val="22"/>
              </w:rPr>
            </w:pPr>
            <w:r w:rsidRPr="00C2384D">
              <w:rPr>
                <w:rFonts w:eastAsia="Calibri"/>
                <w:szCs w:val="22"/>
              </w:rPr>
              <w:t>FACTS Тохируулгатай Хувьсах Гүйдлийн Цахилгаан Дамжуулах Систем</w:t>
            </w:r>
          </w:p>
          <w:p w:rsidR="001C4C31" w:rsidRPr="00C2384D" w:rsidRDefault="001C4C31" w:rsidP="001C4C31">
            <w:pPr>
              <w:tabs>
                <w:tab w:val="left" w:pos="0"/>
              </w:tabs>
              <w:ind w:left="0" w:firstLine="0"/>
              <w:rPr>
                <w:rFonts w:eastAsia="Calibri"/>
                <w:szCs w:val="22"/>
              </w:rPr>
            </w:pPr>
            <w:r w:rsidRPr="00C2384D">
              <w:rPr>
                <w:rFonts w:eastAsia="Calibri"/>
                <w:szCs w:val="22"/>
              </w:rPr>
              <w:t>FC</w:t>
            </w:r>
            <w:r w:rsidRPr="00C2384D">
              <w:rPr>
                <w:rFonts w:eastAsia="Calibri"/>
                <w:szCs w:val="22"/>
              </w:rPr>
              <w:tab/>
              <w:t xml:space="preserve"> Функциональ Хязгаарлалт</w:t>
            </w:r>
          </w:p>
          <w:p w:rsidR="001C4C31" w:rsidRPr="00C2384D" w:rsidRDefault="001C4C31" w:rsidP="001C4C31">
            <w:pPr>
              <w:tabs>
                <w:tab w:val="left" w:pos="0"/>
              </w:tabs>
              <w:ind w:left="0" w:firstLine="0"/>
              <w:rPr>
                <w:rFonts w:eastAsia="Calibri"/>
                <w:szCs w:val="22"/>
              </w:rPr>
            </w:pPr>
            <w:r w:rsidRPr="00C2384D">
              <w:rPr>
                <w:rFonts w:eastAsia="Calibri"/>
                <w:szCs w:val="22"/>
              </w:rPr>
              <w:t>FCD</w:t>
            </w:r>
            <w:r w:rsidRPr="00C2384D">
              <w:rPr>
                <w:rFonts w:eastAsia="Calibri"/>
                <w:szCs w:val="22"/>
              </w:rPr>
              <w:tab/>
              <w:t>Функциональ Хязгаарласан Өгөгдөл</w:t>
            </w:r>
          </w:p>
          <w:p w:rsidR="001C4C31" w:rsidRPr="00C2384D" w:rsidRDefault="001C4C31" w:rsidP="001C4C31">
            <w:pPr>
              <w:tabs>
                <w:tab w:val="left" w:pos="0"/>
              </w:tabs>
              <w:ind w:left="0" w:firstLine="0"/>
              <w:rPr>
                <w:rFonts w:eastAsia="Calibri"/>
                <w:szCs w:val="22"/>
              </w:rPr>
            </w:pPr>
            <w:r w:rsidRPr="00C2384D">
              <w:rPr>
                <w:rFonts w:eastAsia="Calibri"/>
                <w:szCs w:val="22"/>
              </w:rPr>
              <w:t>FCDA</w:t>
            </w:r>
            <w:r w:rsidRPr="00C2384D">
              <w:rPr>
                <w:rFonts w:eastAsia="Calibri"/>
                <w:szCs w:val="22"/>
              </w:rPr>
              <w:tab/>
              <w:t xml:space="preserve"> Функциональ Хязгаарласан Өгөгдлийн атрибут</w:t>
            </w:r>
          </w:p>
          <w:p w:rsidR="001C4C31" w:rsidRPr="00C2384D" w:rsidRDefault="001C4C31" w:rsidP="001C4C31">
            <w:pPr>
              <w:tabs>
                <w:tab w:val="left" w:pos="0"/>
              </w:tabs>
              <w:ind w:left="0" w:firstLine="0"/>
              <w:rPr>
                <w:rFonts w:eastAsia="Calibri"/>
                <w:szCs w:val="22"/>
              </w:rPr>
            </w:pPr>
            <w:r w:rsidRPr="00C2384D">
              <w:rPr>
                <w:rFonts w:eastAsia="Calibri"/>
                <w:szCs w:val="22"/>
              </w:rPr>
              <w:t>FSS</w:t>
            </w:r>
            <w:r w:rsidRPr="00C2384D">
              <w:rPr>
                <w:rFonts w:eastAsia="Calibri"/>
                <w:szCs w:val="22"/>
              </w:rPr>
              <w:tab/>
              <w:t xml:space="preserve"> Функциональ Программын Тодорхойлолт</w:t>
            </w:r>
          </w:p>
          <w:p w:rsidR="001C4C31" w:rsidRPr="00C2384D" w:rsidRDefault="001C4C31" w:rsidP="001C4C31">
            <w:pPr>
              <w:tabs>
                <w:tab w:val="left" w:pos="0"/>
              </w:tabs>
              <w:ind w:left="0" w:firstLine="0"/>
              <w:rPr>
                <w:rFonts w:eastAsia="Calibri"/>
                <w:szCs w:val="22"/>
              </w:rPr>
            </w:pPr>
            <w:r w:rsidRPr="00C2384D">
              <w:rPr>
                <w:rFonts w:eastAsia="Calibri"/>
                <w:szCs w:val="22"/>
              </w:rPr>
              <w:t>GCM</w:t>
            </w:r>
            <w:r w:rsidRPr="00C2384D">
              <w:rPr>
                <w:rFonts w:eastAsia="Calibri"/>
                <w:szCs w:val="22"/>
              </w:rPr>
              <w:tab/>
              <w:t xml:space="preserve"> Galois Тоолуурын Горим</w:t>
            </w:r>
          </w:p>
          <w:p w:rsidR="001C4C31" w:rsidRPr="00C2384D" w:rsidRDefault="001C4C31" w:rsidP="001C4C31">
            <w:pPr>
              <w:tabs>
                <w:tab w:val="left" w:pos="0"/>
              </w:tabs>
              <w:ind w:left="0" w:firstLine="0"/>
              <w:rPr>
                <w:rFonts w:eastAsia="Calibri"/>
                <w:szCs w:val="22"/>
              </w:rPr>
            </w:pPr>
            <w:r w:rsidRPr="00C2384D">
              <w:rPr>
                <w:rFonts w:eastAsia="Calibri"/>
                <w:szCs w:val="22"/>
              </w:rPr>
              <w:t>GDOI</w:t>
            </w:r>
            <w:r w:rsidRPr="00C2384D">
              <w:rPr>
                <w:rFonts w:eastAsia="Calibri"/>
                <w:szCs w:val="22"/>
              </w:rPr>
              <w:tab/>
              <w:t xml:space="preserve"> Тайлбарын Бүлгийн Домэйн</w:t>
            </w:r>
          </w:p>
          <w:p w:rsidR="001C4C31" w:rsidRPr="00C2384D" w:rsidRDefault="001C4C31" w:rsidP="001C4C31">
            <w:pPr>
              <w:tabs>
                <w:tab w:val="left" w:pos="0"/>
              </w:tabs>
              <w:ind w:left="0" w:firstLine="0"/>
              <w:rPr>
                <w:rFonts w:eastAsia="Calibri"/>
                <w:szCs w:val="22"/>
              </w:rPr>
            </w:pPr>
            <w:r w:rsidRPr="00C2384D">
              <w:rPr>
                <w:rFonts w:eastAsia="Calibri"/>
                <w:szCs w:val="22"/>
              </w:rPr>
              <w:t>GMAC Galois Мессеж Бататгах Код</w:t>
            </w:r>
          </w:p>
          <w:p w:rsidR="001C4C31" w:rsidRPr="00C2384D" w:rsidRDefault="001C4C31" w:rsidP="001C4C31">
            <w:pPr>
              <w:tabs>
                <w:tab w:val="left" w:pos="0"/>
              </w:tabs>
              <w:ind w:left="0" w:firstLine="0"/>
              <w:rPr>
                <w:rFonts w:eastAsia="Calibri"/>
                <w:szCs w:val="22"/>
              </w:rPr>
            </w:pPr>
            <w:r w:rsidRPr="00C2384D">
              <w:rPr>
                <w:rFonts w:eastAsia="Calibri"/>
                <w:szCs w:val="22"/>
              </w:rPr>
              <w:t>GoCB</w:t>
            </w:r>
            <w:r w:rsidRPr="00C2384D">
              <w:rPr>
                <w:rFonts w:eastAsia="Calibri"/>
                <w:szCs w:val="22"/>
              </w:rPr>
              <w:tab/>
              <w:t>GOOSE Удирдлагын Блок</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GOOSE  Ерөнхий Объект руу Чиглэсэн Дэд Станцын Үйл ажиллагаа </w:t>
            </w:r>
          </w:p>
          <w:p w:rsidR="001C4C31" w:rsidRPr="00C2384D" w:rsidRDefault="001C4C31" w:rsidP="001C4C31">
            <w:pPr>
              <w:tabs>
                <w:tab w:val="left" w:pos="0"/>
              </w:tabs>
              <w:ind w:left="0" w:firstLine="0"/>
              <w:rPr>
                <w:rFonts w:eastAsia="Calibri"/>
                <w:szCs w:val="22"/>
              </w:rPr>
            </w:pPr>
            <w:r w:rsidRPr="00C2384D">
              <w:rPr>
                <w:rFonts w:eastAsia="Calibri"/>
                <w:szCs w:val="22"/>
              </w:rPr>
              <w:t>GW</w:t>
            </w:r>
            <w:r w:rsidRPr="00C2384D">
              <w:rPr>
                <w:rFonts w:eastAsia="Calibri"/>
                <w:szCs w:val="22"/>
              </w:rPr>
              <w:tab/>
              <w:t>Гейтвей</w:t>
            </w:r>
          </w:p>
          <w:p w:rsidR="001C4C31" w:rsidRPr="00C2384D" w:rsidRDefault="001C4C31" w:rsidP="001C4C31">
            <w:pPr>
              <w:tabs>
                <w:tab w:val="left" w:pos="0"/>
              </w:tabs>
              <w:ind w:left="0" w:firstLine="0"/>
              <w:rPr>
                <w:rFonts w:eastAsia="Calibri"/>
                <w:szCs w:val="22"/>
              </w:rPr>
            </w:pPr>
            <w:r w:rsidRPr="00C2384D">
              <w:rPr>
                <w:rFonts w:eastAsia="Calibri"/>
                <w:szCs w:val="22"/>
              </w:rPr>
              <w:t>HMI</w:t>
            </w:r>
            <w:r w:rsidRPr="00C2384D">
              <w:rPr>
                <w:rFonts w:eastAsia="Calibri"/>
                <w:szCs w:val="22"/>
              </w:rPr>
              <w:tab/>
              <w:t>Хүн Машины интерфейс</w:t>
            </w:r>
          </w:p>
          <w:p w:rsidR="001C4C31" w:rsidRPr="00C2384D" w:rsidRDefault="001C4C31" w:rsidP="001C4C31">
            <w:pPr>
              <w:tabs>
                <w:tab w:val="left" w:pos="0"/>
              </w:tabs>
              <w:ind w:left="0" w:firstLine="0"/>
              <w:rPr>
                <w:rFonts w:eastAsia="Calibri"/>
                <w:szCs w:val="22"/>
              </w:rPr>
            </w:pPr>
            <w:r w:rsidRPr="00C2384D">
              <w:rPr>
                <w:rFonts w:eastAsia="Calibri"/>
                <w:szCs w:val="22"/>
              </w:rPr>
              <w:t>HW</w:t>
            </w:r>
            <w:r w:rsidRPr="00C2384D">
              <w:rPr>
                <w:rFonts w:eastAsia="Calibri"/>
                <w:szCs w:val="22"/>
              </w:rPr>
              <w:tab/>
              <w:t>Техник Хангамж</w:t>
            </w:r>
          </w:p>
          <w:p w:rsidR="001C4C31" w:rsidRPr="00C2384D" w:rsidRDefault="001C4C31" w:rsidP="001C4C31">
            <w:pPr>
              <w:tabs>
                <w:tab w:val="left" w:pos="0"/>
              </w:tabs>
              <w:ind w:left="0" w:firstLine="0"/>
              <w:rPr>
                <w:rFonts w:eastAsia="Calibri"/>
                <w:szCs w:val="22"/>
              </w:rPr>
            </w:pPr>
            <w:r w:rsidRPr="00C2384D">
              <w:rPr>
                <w:rFonts w:eastAsia="Calibri"/>
                <w:szCs w:val="22"/>
              </w:rPr>
              <w:t>IANA</w:t>
            </w:r>
            <w:r w:rsidRPr="00C2384D">
              <w:rPr>
                <w:rFonts w:eastAsia="Calibri"/>
                <w:szCs w:val="22"/>
              </w:rPr>
              <w:tab/>
              <w:t>Интернэтээр Томилогдсон Удирдлагын  Дугаар</w:t>
            </w:r>
          </w:p>
          <w:p w:rsidR="001C4C31" w:rsidRPr="00C2384D" w:rsidRDefault="001C4C31" w:rsidP="001C4C31">
            <w:pPr>
              <w:tabs>
                <w:tab w:val="left" w:pos="0"/>
              </w:tabs>
              <w:ind w:left="0" w:firstLine="0"/>
              <w:rPr>
                <w:rFonts w:eastAsia="Calibri"/>
                <w:szCs w:val="22"/>
              </w:rPr>
            </w:pPr>
            <w:r w:rsidRPr="00C2384D">
              <w:rPr>
                <w:rFonts w:eastAsia="Calibri"/>
                <w:szCs w:val="22"/>
              </w:rPr>
              <w:t>ID</w:t>
            </w:r>
            <w:r w:rsidRPr="00C2384D">
              <w:rPr>
                <w:rFonts w:eastAsia="Calibri"/>
                <w:szCs w:val="22"/>
              </w:rPr>
              <w:tab/>
              <w:t>Тодорхойлолт</w:t>
            </w:r>
          </w:p>
          <w:p w:rsidR="001C4C31" w:rsidRPr="00C2384D" w:rsidRDefault="001C4C31" w:rsidP="001C4C31">
            <w:pPr>
              <w:tabs>
                <w:tab w:val="left" w:pos="0"/>
              </w:tabs>
              <w:ind w:left="0" w:firstLine="0"/>
              <w:rPr>
                <w:rFonts w:eastAsia="Calibri"/>
                <w:szCs w:val="22"/>
              </w:rPr>
            </w:pPr>
            <w:r w:rsidRPr="00C2384D">
              <w:rPr>
                <w:rFonts w:eastAsia="Calibri"/>
                <w:szCs w:val="22"/>
              </w:rPr>
              <w:t>IED</w:t>
            </w:r>
            <w:r w:rsidRPr="00C2384D">
              <w:rPr>
                <w:rFonts w:eastAsia="Calibri"/>
                <w:szCs w:val="22"/>
              </w:rPr>
              <w:tab/>
              <w:t>Ухаалаг Электрон Төхөөрөмж - систем дэх ямар нэгэн програмчлагддаг, тохируулах боломжтой төхөөрөмж</w:t>
            </w:r>
          </w:p>
          <w:p w:rsidR="001C4C31" w:rsidRPr="00C2384D" w:rsidRDefault="001C4C31" w:rsidP="001C4C31">
            <w:pPr>
              <w:tabs>
                <w:tab w:val="left" w:pos="0"/>
              </w:tabs>
              <w:ind w:left="0" w:firstLine="0"/>
              <w:rPr>
                <w:rFonts w:eastAsia="Calibri"/>
                <w:szCs w:val="22"/>
              </w:rPr>
            </w:pPr>
            <w:r w:rsidRPr="00C2384D">
              <w:rPr>
                <w:rFonts w:eastAsia="Calibri"/>
                <w:szCs w:val="22"/>
              </w:rPr>
              <w:t>IGMP</w:t>
            </w:r>
            <w:r w:rsidRPr="00C2384D">
              <w:rPr>
                <w:rFonts w:eastAsia="Calibri"/>
                <w:szCs w:val="22"/>
              </w:rPr>
              <w:tab/>
              <w:t xml:space="preserve">     Интернэт Группийн Удирдлагын Протокол</w:t>
            </w:r>
          </w:p>
          <w:p w:rsidR="001C4C31" w:rsidRPr="00C2384D" w:rsidRDefault="001C4C31" w:rsidP="001C4C31">
            <w:pPr>
              <w:tabs>
                <w:tab w:val="left" w:pos="0"/>
              </w:tabs>
              <w:ind w:left="0" w:firstLine="0"/>
              <w:rPr>
                <w:rFonts w:eastAsia="Calibri"/>
                <w:szCs w:val="22"/>
              </w:rPr>
            </w:pPr>
            <w:r w:rsidRPr="00C2384D">
              <w:rPr>
                <w:rFonts w:eastAsia="Calibri"/>
                <w:szCs w:val="22"/>
              </w:rPr>
              <w:lastRenderedPageBreak/>
              <w:t>IID IED     Үлгэрлэлийн Тодорхойлолт. Төсөлд IED жишээг тайлбарлав.IP</w:t>
            </w:r>
            <w:r w:rsidRPr="00C2384D">
              <w:rPr>
                <w:rFonts w:eastAsia="Calibri"/>
                <w:szCs w:val="22"/>
              </w:rPr>
              <w:tab/>
              <w:t>Интернэт протокол</w:t>
            </w:r>
          </w:p>
          <w:p w:rsidR="001C4C31" w:rsidRPr="00C2384D" w:rsidRDefault="001C4C31" w:rsidP="001C4C31">
            <w:pPr>
              <w:tabs>
                <w:tab w:val="left" w:pos="0"/>
              </w:tabs>
              <w:ind w:left="0" w:firstLine="0"/>
              <w:rPr>
                <w:rFonts w:eastAsia="Calibri"/>
                <w:szCs w:val="22"/>
              </w:rPr>
            </w:pPr>
            <w:r w:rsidRPr="00C2384D">
              <w:rPr>
                <w:rFonts w:eastAsia="Calibri"/>
                <w:szCs w:val="22"/>
              </w:rPr>
              <w:t>IPv4</w:t>
            </w:r>
            <w:r w:rsidRPr="00C2384D">
              <w:rPr>
                <w:rFonts w:eastAsia="Calibri"/>
                <w:szCs w:val="22"/>
              </w:rPr>
              <w:tab/>
              <w:t>Интернэт протокол хувилбар 4</w:t>
            </w:r>
          </w:p>
          <w:p w:rsidR="001C4C31" w:rsidRPr="00C2384D" w:rsidRDefault="001C4C31" w:rsidP="001C4C31">
            <w:pPr>
              <w:tabs>
                <w:tab w:val="left" w:pos="0"/>
              </w:tabs>
              <w:ind w:left="0" w:firstLine="0"/>
              <w:rPr>
                <w:rFonts w:eastAsia="Calibri"/>
                <w:szCs w:val="22"/>
              </w:rPr>
            </w:pPr>
            <w:r w:rsidRPr="00C2384D">
              <w:rPr>
                <w:rFonts w:eastAsia="Calibri"/>
                <w:szCs w:val="22"/>
              </w:rPr>
              <w:t>IPv6</w:t>
            </w:r>
            <w:r w:rsidRPr="00C2384D">
              <w:rPr>
                <w:rFonts w:eastAsia="Calibri"/>
                <w:szCs w:val="22"/>
              </w:rPr>
              <w:tab/>
              <w:t>Интернэт протокол хувилбар 6</w:t>
            </w:r>
          </w:p>
          <w:p w:rsidR="001C4C31" w:rsidRPr="00C2384D" w:rsidRDefault="001C4C31" w:rsidP="001C4C31">
            <w:pPr>
              <w:tabs>
                <w:tab w:val="left" w:pos="0"/>
              </w:tabs>
              <w:ind w:left="0" w:firstLine="0"/>
              <w:rPr>
                <w:rFonts w:eastAsia="Calibri"/>
                <w:szCs w:val="22"/>
              </w:rPr>
            </w:pPr>
            <w:r w:rsidRPr="00C2384D">
              <w:rPr>
                <w:rFonts w:eastAsia="Calibri"/>
                <w:szCs w:val="22"/>
              </w:rPr>
              <w:t>KDC</w:t>
            </w:r>
            <w:r w:rsidRPr="00C2384D">
              <w:rPr>
                <w:rFonts w:eastAsia="Calibri"/>
                <w:szCs w:val="22"/>
              </w:rPr>
              <w:tab/>
              <w:t>Түлхүүр Түгээлтийн Төв</w:t>
            </w:r>
          </w:p>
          <w:p w:rsidR="001C4C31" w:rsidRPr="00C2384D" w:rsidRDefault="001C4C31" w:rsidP="001C4C31">
            <w:pPr>
              <w:tabs>
                <w:tab w:val="left" w:pos="0"/>
              </w:tabs>
              <w:ind w:left="0" w:firstLine="0"/>
              <w:rPr>
                <w:rFonts w:eastAsia="Calibri"/>
                <w:szCs w:val="22"/>
              </w:rPr>
            </w:pPr>
            <w:r w:rsidRPr="00C2384D">
              <w:rPr>
                <w:rFonts w:eastAsia="Calibri"/>
                <w:szCs w:val="22"/>
              </w:rPr>
              <w:t>LAN</w:t>
            </w:r>
            <w:r w:rsidRPr="00C2384D">
              <w:rPr>
                <w:rFonts w:eastAsia="Calibri"/>
                <w:szCs w:val="22"/>
              </w:rPr>
              <w:tab/>
              <w:t>Дотоод сүлжээ</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LD </w:t>
            </w:r>
            <w:r w:rsidRPr="00C2384D">
              <w:rPr>
                <w:rFonts w:eastAsia="Calibri"/>
                <w:szCs w:val="22"/>
              </w:rPr>
              <w:tab/>
              <w:t>Логик төхөөрөмж (IEC61850)</w:t>
            </w:r>
          </w:p>
          <w:p w:rsidR="001C4C31" w:rsidRPr="00C2384D" w:rsidRDefault="001C4C31" w:rsidP="001C4C31">
            <w:pPr>
              <w:tabs>
                <w:tab w:val="left" w:pos="0"/>
              </w:tabs>
              <w:ind w:left="0" w:firstLine="0"/>
              <w:rPr>
                <w:rFonts w:eastAsia="Calibri"/>
                <w:szCs w:val="22"/>
              </w:rPr>
            </w:pPr>
            <w:r w:rsidRPr="00C2384D">
              <w:rPr>
                <w:rFonts w:eastAsia="Calibri"/>
                <w:szCs w:val="22"/>
              </w:rPr>
              <w:t>LI</w:t>
            </w:r>
            <w:r w:rsidRPr="00C2384D">
              <w:rPr>
                <w:rFonts w:eastAsia="Calibri"/>
                <w:szCs w:val="22"/>
              </w:rPr>
              <w:tab/>
              <w:t xml:space="preserve">          Урт Тодорхойлогч. Энэ утга нь холбогдох SI эсвэл PI-ийн уртыг агуулна</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LN </w:t>
            </w:r>
            <w:r w:rsidRPr="00C2384D">
              <w:rPr>
                <w:rFonts w:eastAsia="Calibri"/>
                <w:szCs w:val="22"/>
              </w:rPr>
              <w:tab/>
              <w:t>Дотоод Зангилаа (IEC61850)</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M    </w:t>
            </w:r>
            <w:r w:rsidRPr="00C2384D">
              <w:rPr>
                <w:rFonts w:eastAsia="Calibri"/>
                <w:szCs w:val="22"/>
              </w:rPr>
              <w:tab/>
              <w:t>Албадан - хэрэгжүүлнэ</w:t>
            </w:r>
          </w:p>
          <w:p w:rsidR="001C4C31" w:rsidRPr="00C2384D" w:rsidRDefault="001C4C31" w:rsidP="001C4C31">
            <w:pPr>
              <w:tabs>
                <w:tab w:val="left" w:pos="0"/>
              </w:tabs>
              <w:ind w:left="0" w:firstLine="0"/>
              <w:rPr>
                <w:rFonts w:eastAsia="Calibri"/>
                <w:szCs w:val="22"/>
              </w:rPr>
            </w:pPr>
            <w:r w:rsidRPr="00C2384D">
              <w:rPr>
                <w:rFonts w:eastAsia="Calibri"/>
                <w:szCs w:val="22"/>
              </w:rPr>
              <w:t>MAC</w:t>
            </w:r>
            <w:r w:rsidRPr="00C2384D">
              <w:rPr>
                <w:rFonts w:eastAsia="Calibri"/>
                <w:szCs w:val="22"/>
              </w:rPr>
              <w:tab/>
              <w:t>Медиа Хандалтыг Удирдах</w:t>
            </w:r>
          </w:p>
          <w:p w:rsidR="001C4C31" w:rsidRPr="00C2384D" w:rsidRDefault="001C4C31" w:rsidP="001C4C31">
            <w:pPr>
              <w:tabs>
                <w:tab w:val="left" w:pos="0"/>
              </w:tabs>
              <w:ind w:left="0" w:firstLine="0"/>
              <w:rPr>
                <w:rFonts w:eastAsia="Calibri"/>
                <w:szCs w:val="22"/>
              </w:rPr>
            </w:pPr>
            <w:r w:rsidRPr="00C2384D">
              <w:rPr>
                <w:rFonts w:eastAsia="Calibri"/>
                <w:szCs w:val="22"/>
              </w:rPr>
              <w:t>MSV</w:t>
            </w:r>
            <w:r w:rsidRPr="00C2384D">
              <w:rPr>
                <w:rFonts w:eastAsia="Calibri"/>
                <w:szCs w:val="22"/>
              </w:rPr>
              <w:tab/>
              <w:t>Олон Дамжуулалтай Түүвэрийн Утга</w:t>
            </w:r>
          </w:p>
          <w:p w:rsidR="001C4C31" w:rsidRPr="00C2384D" w:rsidRDefault="001C4C31" w:rsidP="001C4C31">
            <w:pPr>
              <w:tabs>
                <w:tab w:val="left" w:pos="0"/>
              </w:tabs>
              <w:ind w:left="0" w:firstLine="0"/>
              <w:rPr>
                <w:rFonts w:eastAsia="Calibri"/>
                <w:szCs w:val="22"/>
              </w:rPr>
            </w:pPr>
            <w:r w:rsidRPr="00C2384D">
              <w:rPr>
                <w:rFonts w:eastAsia="Calibri"/>
                <w:szCs w:val="22"/>
              </w:rPr>
              <w:t>MSVCB</w:t>
            </w:r>
            <w:r w:rsidRPr="00C2384D">
              <w:rPr>
                <w:rFonts w:eastAsia="Calibri"/>
                <w:szCs w:val="22"/>
              </w:rPr>
              <w:tab/>
              <w:t xml:space="preserve">   Олон Дамжуулалтай Түүврийн Утгын Хяналтын Блок</w:t>
            </w:r>
          </w:p>
          <w:p w:rsidR="001C4C31" w:rsidRPr="00C2384D" w:rsidRDefault="001C4C31" w:rsidP="001C4C31">
            <w:pPr>
              <w:tabs>
                <w:tab w:val="left" w:pos="0"/>
              </w:tabs>
              <w:ind w:left="0" w:firstLine="0"/>
              <w:rPr>
                <w:rFonts w:eastAsia="Calibri"/>
                <w:szCs w:val="22"/>
              </w:rPr>
            </w:pPr>
            <w:r w:rsidRPr="00C2384D">
              <w:rPr>
                <w:rFonts w:eastAsia="Calibri"/>
                <w:szCs w:val="22"/>
              </w:rPr>
              <w:t>O  Заавал биш - хэрэгжүүлэх боломжтой</w:t>
            </w:r>
          </w:p>
          <w:p w:rsidR="001C4C31" w:rsidRPr="00C2384D" w:rsidRDefault="001C4C31" w:rsidP="001C4C31">
            <w:pPr>
              <w:tabs>
                <w:tab w:val="left" w:pos="0"/>
              </w:tabs>
              <w:ind w:left="0" w:firstLine="0"/>
              <w:rPr>
                <w:rFonts w:eastAsia="Calibri"/>
                <w:szCs w:val="22"/>
              </w:rPr>
            </w:pPr>
            <w:r w:rsidRPr="00C2384D">
              <w:rPr>
                <w:rFonts w:eastAsia="Calibri"/>
                <w:szCs w:val="22"/>
              </w:rPr>
              <w:t>OOS  Хязгаараас хэтрэх</w:t>
            </w:r>
          </w:p>
          <w:p w:rsidR="001C4C31" w:rsidRPr="00C2384D" w:rsidRDefault="001C4C31" w:rsidP="001C4C31">
            <w:pPr>
              <w:pStyle w:val="BodyText"/>
              <w:tabs>
                <w:tab w:val="left" w:pos="0"/>
              </w:tabs>
              <w:spacing w:line="276" w:lineRule="auto"/>
              <w:ind w:right="502"/>
              <w:jc w:val="both"/>
              <w:rPr>
                <w:rFonts w:eastAsia="Calibri"/>
                <w:bCs w:val="0"/>
                <w:sz w:val="24"/>
                <w:szCs w:val="22"/>
                <w:lang w:val="mn-MN"/>
              </w:rPr>
            </w:pPr>
            <w:r w:rsidRPr="00C2384D">
              <w:rPr>
                <w:rFonts w:eastAsia="Calibri"/>
                <w:bCs w:val="0"/>
                <w:sz w:val="24"/>
                <w:szCs w:val="22"/>
                <w:lang w:val="mn-MN"/>
              </w:rPr>
              <w:t>ORG    үүсгэгч</w:t>
            </w:r>
          </w:p>
          <w:p w:rsidR="001C4C31" w:rsidRPr="00C2384D" w:rsidRDefault="001C4C31" w:rsidP="001C4C31">
            <w:pPr>
              <w:pStyle w:val="BodyText"/>
              <w:tabs>
                <w:tab w:val="left" w:pos="0"/>
              </w:tabs>
              <w:spacing w:line="276" w:lineRule="auto"/>
              <w:ind w:right="502"/>
              <w:jc w:val="both"/>
              <w:rPr>
                <w:rFonts w:eastAsia="Calibri"/>
                <w:bCs w:val="0"/>
                <w:sz w:val="24"/>
                <w:szCs w:val="22"/>
                <w:lang w:val="mn-MN"/>
              </w:rPr>
            </w:pPr>
            <w:r w:rsidRPr="00C2384D">
              <w:rPr>
                <w:rFonts w:eastAsia="Calibri"/>
                <w:bCs w:val="0"/>
                <w:sz w:val="24"/>
                <w:szCs w:val="22"/>
                <w:lang w:val="mn-MN"/>
              </w:rPr>
              <w:t>OSI Нээлттэй системийн харилцан холболт</w:t>
            </w:r>
          </w:p>
          <w:p w:rsidR="001C4C31" w:rsidRPr="00C2384D" w:rsidRDefault="001C4C31" w:rsidP="001C4C31">
            <w:pPr>
              <w:tabs>
                <w:tab w:val="left" w:pos="0"/>
              </w:tabs>
              <w:ind w:left="0" w:firstLine="0"/>
              <w:rPr>
                <w:rFonts w:eastAsia="Calibri"/>
                <w:szCs w:val="22"/>
              </w:rPr>
            </w:pPr>
            <w:r w:rsidRPr="00C2384D">
              <w:rPr>
                <w:rFonts w:eastAsia="Calibri"/>
                <w:szCs w:val="22"/>
              </w:rPr>
              <w:t>PDC  Фазор өгөгдлийн цаглуулагч</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PI  Параметр тодорхойлогч. Энэ тодорхойлогч нь тодорхой </w:t>
            </w:r>
            <w:r w:rsidRPr="00C2384D">
              <w:rPr>
                <w:rFonts w:eastAsia="Calibri" w:hint="eastAsia"/>
                <w:szCs w:val="22"/>
              </w:rPr>
              <w:t>сейшн</w:t>
            </w:r>
            <w:r w:rsidRPr="00C2384D">
              <w:rPr>
                <w:rFonts w:eastAsia="Calibri"/>
                <w:szCs w:val="22"/>
              </w:rPr>
              <w:t xml:space="preserve"> протоколын параметрийг тодорхойлоход ашигладаг.</w:t>
            </w:r>
          </w:p>
          <w:p w:rsidR="001C4C31" w:rsidRPr="00C2384D" w:rsidRDefault="001C4C31" w:rsidP="001C4C31">
            <w:pPr>
              <w:tabs>
                <w:tab w:val="left" w:pos="0"/>
              </w:tabs>
              <w:ind w:left="0" w:firstLine="0"/>
              <w:rPr>
                <w:rFonts w:eastAsia="Calibri"/>
                <w:szCs w:val="22"/>
              </w:rPr>
            </w:pPr>
            <w:r w:rsidRPr="00C2384D">
              <w:rPr>
                <w:rFonts w:eastAsia="Calibri"/>
                <w:szCs w:val="22"/>
              </w:rPr>
              <w:t>PICS  Протоколын Тохируулгын Хэрэгжилтийн Мэдэгдэл</w:t>
            </w:r>
          </w:p>
          <w:p w:rsidR="001C4C31" w:rsidRPr="00C2384D" w:rsidRDefault="001C4C31" w:rsidP="001C4C31">
            <w:pPr>
              <w:tabs>
                <w:tab w:val="left" w:pos="0"/>
              </w:tabs>
              <w:ind w:left="0" w:firstLine="0"/>
              <w:rPr>
                <w:rFonts w:eastAsia="Calibri"/>
                <w:szCs w:val="22"/>
              </w:rPr>
            </w:pPr>
            <w:r w:rsidRPr="00C2384D">
              <w:rPr>
                <w:rFonts w:eastAsia="Calibri"/>
                <w:szCs w:val="22"/>
              </w:rPr>
              <w:t>PMU  Фазор Хэмжих Төхөөрөмж</w:t>
            </w:r>
          </w:p>
          <w:p w:rsidR="001C4C31" w:rsidRPr="00C2384D" w:rsidRDefault="001C4C31" w:rsidP="001C4C31">
            <w:pPr>
              <w:tabs>
                <w:tab w:val="left" w:pos="0"/>
              </w:tabs>
              <w:ind w:left="0" w:firstLine="0"/>
              <w:rPr>
                <w:rFonts w:eastAsia="Calibri"/>
                <w:szCs w:val="22"/>
              </w:rPr>
            </w:pPr>
            <w:r w:rsidRPr="00C2384D">
              <w:rPr>
                <w:rFonts w:eastAsia="Calibri"/>
                <w:szCs w:val="22"/>
              </w:rPr>
              <w:t>POP   Эзэмших Баталгаа</w:t>
            </w:r>
          </w:p>
          <w:p w:rsidR="001C4C31" w:rsidRPr="00C2384D" w:rsidRDefault="001C4C31" w:rsidP="001C4C31">
            <w:pPr>
              <w:tabs>
                <w:tab w:val="left" w:pos="0"/>
              </w:tabs>
              <w:ind w:left="0" w:firstLine="0"/>
              <w:rPr>
                <w:rFonts w:eastAsia="Calibri"/>
                <w:szCs w:val="22"/>
              </w:rPr>
            </w:pPr>
            <w:r w:rsidRPr="00C2384D">
              <w:rPr>
                <w:rFonts w:eastAsia="Calibri"/>
                <w:szCs w:val="22"/>
              </w:rPr>
              <w:t>PSP Биет Аюулгүй Байдлын Периметр</w:t>
            </w:r>
          </w:p>
          <w:p w:rsidR="001C4C31" w:rsidRPr="00C2384D" w:rsidRDefault="001C4C31" w:rsidP="001C4C31">
            <w:pPr>
              <w:tabs>
                <w:tab w:val="left" w:pos="0"/>
              </w:tabs>
              <w:ind w:left="0" w:firstLine="0"/>
              <w:rPr>
                <w:rFonts w:eastAsia="Calibri"/>
                <w:szCs w:val="22"/>
              </w:rPr>
            </w:pPr>
            <w:r w:rsidRPr="00C2384D">
              <w:rPr>
                <w:rFonts w:eastAsia="Calibri"/>
                <w:szCs w:val="22"/>
              </w:rPr>
              <w:t>R Унших боломжтой</w:t>
            </w:r>
          </w:p>
          <w:p w:rsidR="001C4C31" w:rsidRPr="00C2384D" w:rsidRDefault="001C4C31" w:rsidP="001C4C31">
            <w:pPr>
              <w:tabs>
                <w:tab w:val="left" w:pos="0"/>
              </w:tabs>
              <w:ind w:left="0" w:firstLine="0"/>
              <w:rPr>
                <w:rFonts w:eastAsia="Calibri"/>
                <w:szCs w:val="22"/>
              </w:rPr>
            </w:pPr>
            <w:r w:rsidRPr="00C2384D">
              <w:rPr>
                <w:rFonts w:eastAsia="Calibri"/>
                <w:szCs w:val="22"/>
              </w:rPr>
              <w:t>RAS  Залруулах Үйл Ажиллагааны Схем</w:t>
            </w:r>
          </w:p>
          <w:p w:rsidR="001C4C31" w:rsidRPr="00C2384D" w:rsidRDefault="001C4C31" w:rsidP="001C4C31">
            <w:pPr>
              <w:tabs>
                <w:tab w:val="left" w:pos="0"/>
              </w:tabs>
              <w:ind w:left="0" w:firstLine="0"/>
              <w:rPr>
                <w:rFonts w:eastAsia="Calibri"/>
                <w:szCs w:val="22"/>
              </w:rPr>
            </w:pPr>
            <w:r w:rsidRPr="00C2384D">
              <w:rPr>
                <w:rFonts w:eastAsia="Calibri"/>
                <w:szCs w:val="22"/>
              </w:rPr>
              <w:t>SA Дэд Станцын Автоматжуулалт</w:t>
            </w:r>
          </w:p>
          <w:p w:rsidR="001C4C31" w:rsidRPr="00C2384D" w:rsidRDefault="001C4C31" w:rsidP="001C4C31">
            <w:pPr>
              <w:tabs>
                <w:tab w:val="left" w:pos="0"/>
              </w:tabs>
              <w:ind w:left="0" w:firstLine="0"/>
              <w:rPr>
                <w:rFonts w:eastAsia="Calibri"/>
                <w:szCs w:val="22"/>
              </w:rPr>
            </w:pPr>
            <w:r w:rsidRPr="00C2384D">
              <w:rPr>
                <w:rFonts w:eastAsia="Calibri"/>
                <w:szCs w:val="22"/>
              </w:rPr>
              <w:t>SCD  61850-6-ийн дагуу Системийн Тохиргооны Тодорхойлолт. Төсөлд хамаарах IED-ийг тохируулах төслийн системийн хэрэгслийн үр дүн (IED хэрэгслээр импортолсон).</w:t>
            </w:r>
          </w:p>
          <w:p w:rsidR="001C4C31" w:rsidRPr="00C2384D" w:rsidRDefault="001C4C31" w:rsidP="001C4C31">
            <w:pPr>
              <w:tabs>
                <w:tab w:val="left" w:pos="0"/>
              </w:tabs>
              <w:ind w:left="0" w:firstLine="0"/>
              <w:rPr>
                <w:rFonts w:eastAsia="Calibri"/>
                <w:szCs w:val="22"/>
              </w:rPr>
            </w:pPr>
            <w:r w:rsidRPr="00C2384D">
              <w:rPr>
                <w:rFonts w:eastAsia="Calibri"/>
                <w:szCs w:val="22"/>
              </w:rPr>
              <w:lastRenderedPageBreak/>
              <w:t>SCL Дэд Станцын Тохиргооны Тодорхойлогч Хэл IEC 61850 стандартын дагуу</w:t>
            </w:r>
          </w:p>
          <w:p w:rsidR="001C4C31" w:rsidRPr="00C2384D" w:rsidRDefault="001C4C31" w:rsidP="001C4C31">
            <w:pPr>
              <w:tabs>
                <w:tab w:val="left" w:pos="0"/>
              </w:tabs>
              <w:ind w:left="0" w:firstLine="0"/>
              <w:rPr>
                <w:rFonts w:eastAsia="Calibri"/>
                <w:szCs w:val="22"/>
              </w:rPr>
            </w:pPr>
            <w:r w:rsidRPr="00C2384D">
              <w:rPr>
                <w:rFonts w:eastAsia="Calibri"/>
                <w:szCs w:val="22"/>
              </w:rPr>
              <w:t>SDH Синхрон Дижитал Шатлал</w:t>
            </w:r>
          </w:p>
          <w:p w:rsidR="001C4C31" w:rsidRPr="00C2384D" w:rsidRDefault="001C4C31" w:rsidP="001C4C31">
            <w:pPr>
              <w:tabs>
                <w:tab w:val="left" w:pos="0"/>
              </w:tabs>
              <w:ind w:left="0" w:firstLine="0"/>
              <w:rPr>
                <w:rFonts w:eastAsia="Calibri"/>
                <w:szCs w:val="22"/>
              </w:rPr>
            </w:pPr>
            <w:r w:rsidRPr="00C2384D">
              <w:rPr>
                <w:rFonts w:eastAsia="Calibri"/>
                <w:szCs w:val="22"/>
              </w:rPr>
              <w:t>SED Системийн солилцооны тодорхойлолт: Төслүүд хоорондын харилцан хамаарал, даалгаврын өгөгдлийг солилцох системийн хэсгийг агуулсан S CL файл</w:t>
            </w:r>
          </w:p>
          <w:p w:rsidR="001C4C31" w:rsidRPr="00C2384D" w:rsidRDefault="001C4C31" w:rsidP="001C4C31">
            <w:pPr>
              <w:tabs>
                <w:tab w:val="left" w:pos="0"/>
              </w:tabs>
              <w:ind w:left="0" w:firstLine="0"/>
              <w:rPr>
                <w:rFonts w:eastAsia="Calibri"/>
                <w:szCs w:val="22"/>
              </w:rPr>
            </w:pPr>
            <w:r w:rsidRPr="00C2384D">
              <w:rPr>
                <w:rFonts w:eastAsia="Calibri"/>
                <w:szCs w:val="22"/>
              </w:rPr>
              <w:t>SEQ  Дараалал</w:t>
            </w:r>
          </w:p>
          <w:p w:rsidR="001C4C31" w:rsidRPr="00C2384D" w:rsidRDefault="001C4C31" w:rsidP="001C4C31">
            <w:pPr>
              <w:tabs>
                <w:tab w:val="left" w:pos="0"/>
              </w:tabs>
              <w:ind w:left="0" w:firstLine="0"/>
              <w:rPr>
                <w:rFonts w:eastAsia="Calibri"/>
                <w:szCs w:val="22"/>
              </w:rPr>
            </w:pPr>
            <w:r w:rsidRPr="00C2384D">
              <w:rPr>
                <w:rFonts w:eastAsia="Calibri"/>
                <w:szCs w:val="22"/>
              </w:rPr>
              <w:t>SI C</w:t>
            </w:r>
            <w:r w:rsidRPr="00C2384D">
              <w:rPr>
                <w:rFonts w:eastAsia="Calibri" w:hint="eastAsia"/>
                <w:szCs w:val="22"/>
              </w:rPr>
              <w:t>ейшн</w:t>
            </w:r>
            <w:r w:rsidRPr="00C2384D">
              <w:rPr>
                <w:rFonts w:eastAsia="Calibri"/>
                <w:szCs w:val="22"/>
              </w:rPr>
              <w:t xml:space="preserve"> тодорхойлогч. Энэ тодорхойлогчийг ашиглаж байгаа </w:t>
            </w:r>
            <w:r w:rsidRPr="00C2384D">
              <w:rPr>
                <w:rFonts w:eastAsia="Calibri" w:hint="eastAsia"/>
                <w:szCs w:val="22"/>
              </w:rPr>
              <w:t>сейшн</w:t>
            </w:r>
            <w:r w:rsidRPr="00C2384D">
              <w:rPr>
                <w:rFonts w:eastAsia="Calibri"/>
                <w:szCs w:val="22"/>
              </w:rPr>
              <w:t xml:space="preserve"> протоколыг тодорхойлоход ашиглана.</w:t>
            </w:r>
          </w:p>
          <w:p w:rsidR="001C4C31" w:rsidRPr="00C2384D" w:rsidRDefault="001C4C31" w:rsidP="001C4C31">
            <w:pPr>
              <w:tabs>
                <w:tab w:val="left" w:pos="0"/>
              </w:tabs>
              <w:ind w:left="0" w:firstLine="0"/>
              <w:rPr>
                <w:rFonts w:eastAsia="Calibri"/>
                <w:szCs w:val="22"/>
              </w:rPr>
            </w:pPr>
            <w:r w:rsidRPr="00C2384D">
              <w:rPr>
                <w:rFonts w:eastAsia="Calibri"/>
                <w:szCs w:val="22"/>
              </w:rPr>
              <w:t>SIPS  Системийн Бүтэн Байдлыг Хамгаалах Схем</w:t>
            </w:r>
          </w:p>
          <w:p w:rsidR="001C4C31" w:rsidRPr="00C2384D" w:rsidRDefault="001C4C31" w:rsidP="001C4C31">
            <w:pPr>
              <w:tabs>
                <w:tab w:val="left" w:pos="0"/>
              </w:tabs>
              <w:ind w:left="0" w:firstLine="0"/>
              <w:rPr>
                <w:rFonts w:eastAsia="Calibri"/>
                <w:szCs w:val="22"/>
              </w:rPr>
            </w:pPr>
            <w:r w:rsidRPr="00C2384D">
              <w:rPr>
                <w:rFonts w:eastAsia="Calibri"/>
                <w:szCs w:val="22"/>
              </w:rPr>
              <w:t>SONET  Синхрон Оптик Сүлжээ</w:t>
            </w:r>
          </w:p>
          <w:p w:rsidR="001C4C31" w:rsidRPr="00C2384D" w:rsidRDefault="001C4C31" w:rsidP="001C4C31">
            <w:pPr>
              <w:tabs>
                <w:tab w:val="left" w:pos="0"/>
              </w:tabs>
              <w:ind w:left="0" w:firstLine="0"/>
              <w:rPr>
                <w:rFonts w:eastAsia="Calibri"/>
                <w:szCs w:val="22"/>
              </w:rPr>
            </w:pPr>
            <w:r w:rsidRPr="00C2384D">
              <w:rPr>
                <w:rFonts w:eastAsia="Calibri"/>
                <w:szCs w:val="22"/>
              </w:rPr>
              <w:t>SP   Синхрофасор</w:t>
            </w:r>
          </w:p>
          <w:p w:rsidR="001C4C31" w:rsidRPr="00C2384D" w:rsidRDefault="001C4C31" w:rsidP="001C4C31">
            <w:pPr>
              <w:tabs>
                <w:tab w:val="left" w:pos="0"/>
              </w:tabs>
              <w:ind w:left="0" w:firstLine="0"/>
              <w:rPr>
                <w:rFonts w:eastAsia="Calibri"/>
                <w:szCs w:val="22"/>
              </w:rPr>
            </w:pPr>
            <w:r w:rsidRPr="00C2384D">
              <w:rPr>
                <w:rFonts w:eastAsia="Calibri"/>
                <w:szCs w:val="22"/>
              </w:rPr>
              <w:t>ssPDC  Дэд станцын Фазор өгөгдөл хуримтлуулагч</w:t>
            </w:r>
          </w:p>
          <w:p w:rsidR="001C4C31" w:rsidRPr="00C2384D" w:rsidRDefault="001C4C31" w:rsidP="001C4C31">
            <w:pPr>
              <w:tabs>
                <w:tab w:val="left" w:pos="0"/>
              </w:tabs>
              <w:ind w:left="0" w:firstLine="0"/>
              <w:rPr>
                <w:rFonts w:eastAsia="Calibri"/>
                <w:szCs w:val="22"/>
              </w:rPr>
            </w:pPr>
            <w:r w:rsidRPr="00C2384D">
              <w:rPr>
                <w:rFonts w:eastAsia="Calibri"/>
                <w:szCs w:val="22"/>
              </w:rPr>
              <w:t>SPDU  С</w:t>
            </w:r>
            <w:r w:rsidRPr="00C2384D">
              <w:rPr>
                <w:rFonts w:eastAsia="Calibri" w:hint="eastAsia"/>
                <w:szCs w:val="22"/>
              </w:rPr>
              <w:t>ейшн</w:t>
            </w:r>
            <w:r w:rsidRPr="00C2384D">
              <w:rPr>
                <w:rFonts w:eastAsia="Calibri"/>
                <w:szCs w:val="22"/>
              </w:rPr>
              <w:t xml:space="preserve">  Протоколын Өгөгдлийн Нэгж</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SPS  Тусгай Хамгаалалтын Схем </w:t>
            </w:r>
          </w:p>
          <w:p w:rsidR="001C4C31" w:rsidRPr="00C2384D" w:rsidRDefault="001C4C31" w:rsidP="001C4C31">
            <w:pPr>
              <w:tabs>
                <w:tab w:val="left" w:pos="0"/>
              </w:tabs>
              <w:ind w:left="0" w:firstLine="0"/>
              <w:rPr>
                <w:rFonts w:eastAsia="Calibri"/>
                <w:szCs w:val="22"/>
              </w:rPr>
            </w:pPr>
            <w:r w:rsidRPr="00C2384D">
              <w:rPr>
                <w:rFonts w:eastAsia="Calibri"/>
                <w:szCs w:val="22"/>
              </w:rPr>
              <w:t>SS   Дэд станцын систем</w:t>
            </w:r>
          </w:p>
          <w:p w:rsidR="001C4C31" w:rsidRPr="00C2384D" w:rsidRDefault="001C4C31" w:rsidP="001C4C31">
            <w:pPr>
              <w:tabs>
                <w:tab w:val="left" w:pos="0"/>
              </w:tabs>
              <w:ind w:left="0" w:firstLine="0"/>
              <w:rPr>
                <w:rFonts w:eastAsia="Calibri"/>
                <w:szCs w:val="22"/>
              </w:rPr>
            </w:pPr>
            <w:r w:rsidRPr="00C2384D">
              <w:rPr>
                <w:rFonts w:eastAsia="Calibri"/>
                <w:szCs w:val="22"/>
              </w:rPr>
              <w:t>SSDU  С</w:t>
            </w:r>
            <w:r w:rsidRPr="00C2384D">
              <w:rPr>
                <w:rFonts w:eastAsia="Calibri" w:hint="eastAsia"/>
                <w:szCs w:val="22"/>
              </w:rPr>
              <w:t>ейшн</w:t>
            </w:r>
            <w:r w:rsidRPr="00C2384D">
              <w:rPr>
                <w:rFonts w:eastAsia="Calibri"/>
                <w:szCs w:val="22"/>
              </w:rPr>
              <w:t xml:space="preserve"> Сервисийн Өгөгдлийн Нэгж</w:t>
            </w:r>
          </w:p>
          <w:p w:rsidR="001C4C31" w:rsidRPr="00C2384D" w:rsidRDefault="001C4C31" w:rsidP="001C4C31">
            <w:pPr>
              <w:tabs>
                <w:tab w:val="left" w:pos="0"/>
              </w:tabs>
              <w:ind w:left="0" w:firstLine="0"/>
              <w:rPr>
                <w:rFonts w:eastAsia="Calibri"/>
                <w:szCs w:val="22"/>
              </w:rPr>
            </w:pPr>
            <w:r w:rsidRPr="00C2384D">
              <w:rPr>
                <w:rFonts w:eastAsia="Calibri"/>
                <w:szCs w:val="22"/>
              </w:rPr>
              <w:t>SV  Түүврийн утгууд</w:t>
            </w:r>
          </w:p>
          <w:p w:rsidR="001C4C31" w:rsidRPr="00C2384D" w:rsidRDefault="001C4C31" w:rsidP="001C4C31">
            <w:pPr>
              <w:tabs>
                <w:tab w:val="left" w:pos="0"/>
              </w:tabs>
              <w:ind w:left="0" w:firstLine="0"/>
              <w:rPr>
                <w:rFonts w:eastAsia="Calibri"/>
                <w:szCs w:val="22"/>
              </w:rPr>
            </w:pPr>
            <w:r w:rsidRPr="00C2384D">
              <w:rPr>
                <w:rFonts w:eastAsia="Calibri"/>
                <w:szCs w:val="22"/>
              </w:rPr>
              <w:t>SVCB Түүврийн утга хянах блок; энд синхрофасор өгөгдлийг үе үе илгээдэг</w:t>
            </w:r>
          </w:p>
          <w:p w:rsidR="001C4C31" w:rsidRPr="00C2384D" w:rsidRDefault="001C4C31" w:rsidP="001C4C31">
            <w:pPr>
              <w:tabs>
                <w:tab w:val="left" w:pos="0"/>
              </w:tabs>
              <w:ind w:left="0" w:firstLine="0"/>
              <w:rPr>
                <w:rFonts w:eastAsia="Calibri"/>
                <w:szCs w:val="22"/>
              </w:rPr>
            </w:pPr>
            <w:r w:rsidRPr="00C2384D">
              <w:rPr>
                <w:rFonts w:eastAsia="Calibri"/>
                <w:szCs w:val="22"/>
              </w:rPr>
              <w:t>R-SV UDP-ээр дамжуулан Чиглүүлэгч Түүврийн Утгын сервис</w:t>
            </w:r>
          </w:p>
          <w:p w:rsidR="001C4C31" w:rsidRPr="00C2384D" w:rsidRDefault="001C4C31" w:rsidP="001C4C31">
            <w:pPr>
              <w:tabs>
                <w:tab w:val="left" w:pos="0"/>
              </w:tabs>
              <w:ind w:left="0" w:firstLine="0"/>
              <w:rPr>
                <w:rFonts w:eastAsia="Calibri"/>
                <w:szCs w:val="22"/>
              </w:rPr>
            </w:pPr>
            <w:r w:rsidRPr="00C2384D">
              <w:rPr>
                <w:rFonts w:eastAsia="Calibri"/>
                <w:szCs w:val="22"/>
              </w:rPr>
              <w:t>R-GOOSE  UDP-ээр дамжуулан Чиглүүлэгч GOOSE</w:t>
            </w:r>
          </w:p>
          <w:p w:rsidR="001C4C31" w:rsidRPr="00C2384D" w:rsidRDefault="001C4C31" w:rsidP="001C4C31">
            <w:pPr>
              <w:tabs>
                <w:tab w:val="left" w:pos="0"/>
              </w:tabs>
              <w:ind w:left="0" w:firstLine="0"/>
              <w:rPr>
                <w:rFonts w:eastAsia="Calibri"/>
                <w:szCs w:val="22"/>
              </w:rPr>
            </w:pPr>
            <w:r w:rsidRPr="00C2384D">
              <w:rPr>
                <w:rFonts w:eastAsia="Calibri"/>
                <w:szCs w:val="22"/>
              </w:rPr>
              <w:t>SW  Программ хангамж</w:t>
            </w:r>
          </w:p>
          <w:p w:rsidR="001C4C31" w:rsidRPr="00C2384D" w:rsidRDefault="001C4C31" w:rsidP="001C4C31">
            <w:pPr>
              <w:tabs>
                <w:tab w:val="left" w:pos="0"/>
              </w:tabs>
              <w:ind w:left="0" w:firstLine="0"/>
              <w:rPr>
                <w:rFonts w:eastAsia="Calibri"/>
                <w:szCs w:val="22"/>
              </w:rPr>
            </w:pPr>
            <w:r w:rsidRPr="00C2384D">
              <w:rPr>
                <w:rFonts w:eastAsia="Calibri"/>
                <w:szCs w:val="22"/>
              </w:rPr>
              <w:t>TAI  Олон Улсын Атомын Цаг (TAI, Францын Атомын Цаг олон улсын нэршлээс гаралтай ).</w:t>
            </w:r>
          </w:p>
          <w:p w:rsidR="001C4C31" w:rsidRPr="00C2384D" w:rsidRDefault="001C4C31" w:rsidP="001C4C31">
            <w:pPr>
              <w:tabs>
                <w:tab w:val="left" w:pos="0"/>
              </w:tabs>
              <w:ind w:left="0" w:firstLine="0"/>
              <w:rPr>
                <w:rFonts w:eastAsia="Calibri"/>
                <w:szCs w:val="22"/>
              </w:rPr>
            </w:pPr>
            <w:r w:rsidRPr="00C2384D">
              <w:rPr>
                <w:rFonts w:eastAsia="Calibri"/>
                <w:szCs w:val="22"/>
              </w:rPr>
              <w:t>TCI   Шошгын Удирдлагын Мэдээлэл</w:t>
            </w:r>
          </w:p>
          <w:p w:rsidR="001C4C31" w:rsidRPr="00C2384D" w:rsidRDefault="001C4C31" w:rsidP="001C4C31">
            <w:pPr>
              <w:tabs>
                <w:tab w:val="left" w:pos="0"/>
              </w:tabs>
              <w:ind w:left="0" w:firstLine="0"/>
              <w:rPr>
                <w:rFonts w:eastAsia="Calibri"/>
                <w:szCs w:val="22"/>
              </w:rPr>
            </w:pPr>
            <w:r w:rsidRPr="00C2384D">
              <w:rPr>
                <w:rFonts w:eastAsia="Calibri"/>
                <w:szCs w:val="22"/>
              </w:rPr>
              <w:t>TCP Дамжуулалтыг Хянах Протокол</w:t>
            </w:r>
          </w:p>
          <w:p w:rsidR="001C4C31" w:rsidRPr="00C2384D" w:rsidRDefault="001C4C31" w:rsidP="001C4C31">
            <w:pPr>
              <w:tabs>
                <w:tab w:val="left" w:pos="0"/>
              </w:tabs>
              <w:ind w:left="0" w:firstLine="0"/>
              <w:rPr>
                <w:rFonts w:eastAsia="Calibri"/>
                <w:szCs w:val="22"/>
              </w:rPr>
            </w:pPr>
            <w:r w:rsidRPr="00C2384D">
              <w:rPr>
                <w:rFonts w:eastAsia="Calibri"/>
                <w:szCs w:val="22"/>
              </w:rPr>
              <w:t>TOS  Сервисийн төрөл</w:t>
            </w:r>
          </w:p>
          <w:p w:rsidR="001C4C31" w:rsidRPr="00C2384D" w:rsidRDefault="001C4C31" w:rsidP="001C4C31">
            <w:pPr>
              <w:tabs>
                <w:tab w:val="left" w:pos="0"/>
              </w:tabs>
              <w:ind w:left="0" w:firstLine="0"/>
              <w:rPr>
                <w:rFonts w:eastAsia="Calibri"/>
                <w:szCs w:val="22"/>
              </w:rPr>
            </w:pPr>
            <w:r w:rsidRPr="00C2384D">
              <w:rPr>
                <w:rFonts w:eastAsia="Calibri"/>
                <w:szCs w:val="22"/>
              </w:rPr>
              <w:t>TPDU  Шилжүүлэх Протоколын Өгөгдлийн Нэгж</w:t>
            </w:r>
          </w:p>
          <w:p w:rsidR="001C4C31" w:rsidRPr="00C2384D" w:rsidRDefault="001C4C31" w:rsidP="001C4C31">
            <w:pPr>
              <w:tabs>
                <w:tab w:val="left" w:pos="0"/>
              </w:tabs>
              <w:ind w:left="0" w:firstLine="0"/>
              <w:rPr>
                <w:rFonts w:eastAsia="Calibri"/>
                <w:szCs w:val="22"/>
              </w:rPr>
            </w:pPr>
            <w:r w:rsidRPr="00C2384D">
              <w:rPr>
                <w:rFonts w:eastAsia="Calibri"/>
                <w:szCs w:val="22"/>
              </w:rPr>
              <w:lastRenderedPageBreak/>
              <w:t>TPID  Хаягийн Протокол Тодорхойлогч (IEEE 802.1Q сүлжээнд)</w:t>
            </w:r>
          </w:p>
          <w:p w:rsidR="001C4C31" w:rsidRPr="00C2384D" w:rsidRDefault="001C4C31" w:rsidP="001C4C31">
            <w:pPr>
              <w:tabs>
                <w:tab w:val="left" w:pos="0"/>
              </w:tabs>
              <w:ind w:left="0" w:firstLine="0"/>
              <w:rPr>
                <w:rFonts w:eastAsia="Calibri"/>
                <w:szCs w:val="22"/>
              </w:rPr>
            </w:pPr>
            <w:r w:rsidRPr="00C2384D">
              <w:rPr>
                <w:rFonts w:eastAsia="Calibri"/>
                <w:szCs w:val="22"/>
              </w:rPr>
              <w:t>T-Профайл  Шилжүүлэгч Профайл</w:t>
            </w:r>
          </w:p>
          <w:p w:rsidR="001C4C31" w:rsidRPr="00C2384D" w:rsidRDefault="001C4C31" w:rsidP="001C4C31">
            <w:pPr>
              <w:tabs>
                <w:tab w:val="left" w:pos="0"/>
              </w:tabs>
              <w:ind w:left="0" w:firstLine="0"/>
              <w:rPr>
                <w:rFonts w:eastAsia="Calibri"/>
                <w:szCs w:val="22"/>
              </w:rPr>
            </w:pPr>
            <w:r w:rsidRPr="00C2384D">
              <w:rPr>
                <w:rFonts w:eastAsia="Calibri"/>
                <w:szCs w:val="22"/>
              </w:rPr>
              <w:t>TSAP  Шилжүүлэгч Сервист Нэвтрэх Цэг</w:t>
            </w:r>
          </w:p>
          <w:p w:rsidR="001C4C31" w:rsidRPr="00C2384D" w:rsidRDefault="001C4C31" w:rsidP="001C4C31">
            <w:pPr>
              <w:tabs>
                <w:tab w:val="left" w:pos="0"/>
              </w:tabs>
              <w:ind w:left="0" w:firstLine="0"/>
              <w:rPr>
                <w:rFonts w:eastAsia="Calibri"/>
                <w:szCs w:val="22"/>
              </w:rPr>
            </w:pPr>
            <w:r w:rsidRPr="00C2384D">
              <w:rPr>
                <w:rFonts w:eastAsia="Calibri"/>
                <w:szCs w:val="22"/>
              </w:rPr>
              <w:t>TSDU Шилжүүлэгч Сервисийн Өгөгдлийн Нэгж</w:t>
            </w:r>
          </w:p>
          <w:p w:rsidR="001C4C31" w:rsidRPr="00C2384D" w:rsidRDefault="001C4C31" w:rsidP="001C4C31">
            <w:pPr>
              <w:tabs>
                <w:tab w:val="left" w:pos="0"/>
              </w:tabs>
              <w:ind w:left="0" w:firstLine="0"/>
              <w:rPr>
                <w:rFonts w:eastAsia="Calibri"/>
                <w:szCs w:val="22"/>
              </w:rPr>
            </w:pPr>
            <w:r w:rsidRPr="00C2384D">
              <w:rPr>
                <w:rFonts w:eastAsia="Calibri"/>
                <w:szCs w:val="22"/>
              </w:rPr>
              <w:t>TSEL  Шилжүүлэгч Сонгогч</w:t>
            </w:r>
          </w:p>
          <w:p w:rsidR="001C4C31" w:rsidRPr="00C2384D" w:rsidRDefault="001C4C31" w:rsidP="001C4C31">
            <w:pPr>
              <w:tabs>
                <w:tab w:val="left" w:pos="0"/>
              </w:tabs>
              <w:ind w:left="0" w:firstLine="0"/>
              <w:rPr>
                <w:rFonts w:eastAsia="Calibri"/>
                <w:szCs w:val="22"/>
              </w:rPr>
            </w:pPr>
            <w:r w:rsidRPr="00C2384D">
              <w:rPr>
                <w:rFonts w:eastAsia="Calibri"/>
                <w:szCs w:val="22"/>
              </w:rPr>
              <w:t>UDP  Хэрэглэгчийн Нэгж Өгөгдлийн Протокол</w:t>
            </w:r>
          </w:p>
          <w:p w:rsidR="001C4C31" w:rsidRPr="00C2384D" w:rsidRDefault="001C4C31" w:rsidP="001C4C31">
            <w:pPr>
              <w:tabs>
                <w:tab w:val="left" w:pos="0"/>
              </w:tabs>
              <w:ind w:left="0" w:firstLine="0"/>
              <w:rPr>
                <w:rFonts w:eastAsia="Calibri"/>
                <w:szCs w:val="22"/>
              </w:rPr>
            </w:pPr>
            <w:r w:rsidRPr="00C2384D">
              <w:rPr>
                <w:rFonts w:eastAsia="Calibri"/>
                <w:szCs w:val="22"/>
              </w:rPr>
              <w:t>VT Хүчдэлийн Трансформатор. Мөн Потенциал Трансформатор (PT) гэж нэрлэдэг.</w:t>
            </w:r>
          </w:p>
          <w:p w:rsidR="001C4C31" w:rsidRPr="00C2384D" w:rsidRDefault="001C4C31" w:rsidP="001C4C31">
            <w:pPr>
              <w:tabs>
                <w:tab w:val="left" w:pos="0"/>
              </w:tabs>
              <w:ind w:left="0" w:firstLine="0"/>
              <w:rPr>
                <w:rFonts w:eastAsia="Calibri"/>
                <w:szCs w:val="22"/>
              </w:rPr>
            </w:pPr>
            <w:r w:rsidRPr="00C2384D">
              <w:rPr>
                <w:rFonts w:eastAsia="Calibri"/>
                <w:szCs w:val="22"/>
              </w:rPr>
              <w:t>w  Бичигч</w:t>
            </w:r>
          </w:p>
          <w:p w:rsidR="001C4C31" w:rsidRPr="00C2384D" w:rsidRDefault="001C4C31" w:rsidP="001C4C31">
            <w:pPr>
              <w:tabs>
                <w:tab w:val="left" w:pos="0"/>
              </w:tabs>
              <w:ind w:left="0" w:firstLine="0"/>
              <w:rPr>
                <w:rFonts w:eastAsia="Calibri"/>
                <w:szCs w:val="22"/>
              </w:rPr>
            </w:pPr>
            <w:r w:rsidRPr="00C2384D">
              <w:rPr>
                <w:rFonts w:eastAsia="Calibri"/>
                <w:szCs w:val="22"/>
              </w:rPr>
              <w:t>WAMPAC Өргөн Зурвасын Хяналт, Хамгаалалт ба Удирдлага</w:t>
            </w:r>
          </w:p>
          <w:p w:rsidR="001C4C31" w:rsidRPr="00C2384D" w:rsidRDefault="001C4C31" w:rsidP="001C4C31">
            <w:pPr>
              <w:tabs>
                <w:tab w:val="left" w:pos="0"/>
              </w:tabs>
              <w:ind w:left="0" w:firstLine="0"/>
              <w:rPr>
                <w:rFonts w:eastAsia="Calibri"/>
                <w:szCs w:val="22"/>
              </w:rPr>
            </w:pPr>
            <w:r w:rsidRPr="00C2384D">
              <w:rPr>
                <w:rFonts w:eastAsia="Calibri"/>
                <w:szCs w:val="22"/>
              </w:rPr>
              <w:t>WAN</w:t>
            </w:r>
            <w:r w:rsidRPr="00C2384D">
              <w:rPr>
                <w:rFonts w:eastAsia="Calibri"/>
                <w:szCs w:val="22"/>
              </w:rPr>
              <w:tab/>
              <w:t xml:space="preserve">   Өргөн Зурвасын Сүлжээ</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XML</w:t>
            </w:r>
            <w:r w:rsidRPr="00C2384D">
              <w:rPr>
                <w:rFonts w:eastAsia="Calibri"/>
                <w:szCs w:val="22"/>
              </w:rPr>
              <w:tab/>
              <w:t xml:space="preserve">   Өргөтгөж болох Тэмдэглэгээт Хэл</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XSD</w:t>
            </w:r>
            <w:r w:rsidRPr="00C2384D">
              <w:rPr>
                <w:rFonts w:eastAsia="Calibri"/>
                <w:szCs w:val="22"/>
              </w:rPr>
              <w:tab/>
              <w:t xml:space="preserve">   Өргөтгөж болох Тэмдэглэгээт Хэл(XML)-ний Схем Тодорхойлолт </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R-MSVCB Чиглүүлэгч  Олон Дамжуулгатай Түүврийн утгыг хянах блок</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R-GoCB</w:t>
            </w:r>
            <w:r w:rsidRPr="00C2384D">
              <w:rPr>
                <w:rFonts w:eastAsia="Calibri"/>
                <w:szCs w:val="22"/>
              </w:rPr>
              <w:tab/>
              <w:t xml:space="preserve">   Чиглүүлэгч GOOSE Хянах Блок</w:t>
            </w:r>
          </w:p>
          <w:p w:rsidR="001C4C31" w:rsidRPr="00C2384D" w:rsidRDefault="001C4C31" w:rsidP="001C4C31">
            <w:pPr>
              <w:tabs>
                <w:tab w:val="left" w:pos="0"/>
              </w:tabs>
              <w:ind w:left="0" w:firstLine="0"/>
              <w:rPr>
                <w:rFonts w:eastAsia="Calibri"/>
                <w:sz w:val="20"/>
                <w:szCs w:val="20"/>
              </w:rPr>
            </w:pPr>
            <w:r w:rsidRPr="00C2384D">
              <w:rPr>
                <w:rFonts w:eastAsia="Calibri"/>
                <w:sz w:val="20"/>
                <w:szCs w:val="20"/>
              </w:rPr>
              <w:t>ТАЙЛБАР Түгээмэл өгөгдлийн ангиллыг тодорхойлоход хэрэглэгддэг     товчлолууд ба атрибутуудын нэрийг энэ баримт бичгийн тодорхой зүйлд заасан бөгөөд энд давтахгүй.</w:t>
            </w:r>
          </w:p>
          <w:p w:rsidR="001C4C31" w:rsidRPr="00C2384D" w:rsidRDefault="001C4C31" w:rsidP="001C4C31">
            <w:pPr>
              <w:tabs>
                <w:tab w:val="left" w:pos="0"/>
              </w:tabs>
              <w:ind w:left="0" w:firstLine="0"/>
              <w:rPr>
                <w:rFonts w:eastAsia="Calibri"/>
                <w:b/>
                <w:szCs w:val="22"/>
              </w:rPr>
            </w:pPr>
            <w:r w:rsidRPr="00C2384D">
              <w:rPr>
                <w:rFonts w:eastAsia="Calibri"/>
                <w:b/>
                <w:szCs w:val="22"/>
              </w:rPr>
              <w:t xml:space="preserve">5 Хэрэглээ </w:t>
            </w:r>
          </w:p>
          <w:p w:rsidR="001C4C31" w:rsidRPr="00C2384D" w:rsidRDefault="001C4C31" w:rsidP="001C4C31">
            <w:pPr>
              <w:tabs>
                <w:tab w:val="left" w:pos="0"/>
              </w:tabs>
              <w:ind w:left="0" w:firstLine="0"/>
              <w:rPr>
                <w:rFonts w:eastAsia="Calibri"/>
                <w:b/>
                <w:szCs w:val="22"/>
              </w:rPr>
            </w:pPr>
            <w:bookmarkStart w:id="2" w:name="5.1_General"/>
            <w:bookmarkEnd w:id="2"/>
            <w:r w:rsidRPr="00C2384D">
              <w:rPr>
                <w:rFonts w:eastAsia="Calibri"/>
                <w:b/>
                <w:szCs w:val="22"/>
              </w:rPr>
              <w:t xml:space="preserve">5.1 Ерөнхий </w:t>
            </w:r>
            <w:r w:rsidR="00D80958">
              <w:rPr>
                <w:rFonts w:eastAsia="Calibri"/>
                <w:b/>
                <w:szCs w:val="22"/>
              </w:rPr>
              <w:t>зүйл</w:t>
            </w:r>
          </w:p>
          <w:p w:rsidR="001C4C31" w:rsidRPr="00C2384D" w:rsidRDefault="001C4C31" w:rsidP="001C4C31">
            <w:pPr>
              <w:tabs>
                <w:tab w:val="left" w:pos="0"/>
              </w:tabs>
              <w:ind w:left="0" w:firstLine="0"/>
              <w:rPr>
                <w:rFonts w:eastAsia="Calibri"/>
                <w:szCs w:val="22"/>
              </w:rPr>
            </w:pPr>
            <w:r w:rsidRPr="00C2384D">
              <w:rPr>
                <w:rFonts w:eastAsia="Calibri"/>
                <w:szCs w:val="22"/>
              </w:rPr>
              <w:t>Синхрончлолын хяналт эсвэл дэд станц түвшний төлөвийн тооцоо, бүс нутгийн сүлжээний хэд хэдэн дэд станцаас бүрдсэн орон нутгийн төвүүдэд, мөн тогтворжилтын тооцоо болон сүлжээний түвшний хяналт хийхэд синхрофазорын мэдээлэл дамжуулалтын дэд станцын хүрээнд ашиглаж болно. Ашиглалтын хоёр чиглэлийг дараах дэд бүлгүүдэд тайлбарлаж, тодорхойлсон болно.</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Дараах хэрэглээний тохиолдолд сумнууд нь нэг төхөөрөмжөөс нөгөө төхөөрөмж рүү урсах өгөгдлийн </w:t>
            </w:r>
            <w:r w:rsidRPr="00C2384D">
              <w:rPr>
                <w:rFonts w:eastAsia="Calibri"/>
                <w:szCs w:val="22"/>
              </w:rPr>
              <w:lastRenderedPageBreak/>
              <w:t>урсгалыг заана. Тасралтгүй тод шулуун сумнууд нь бүх дүрслэгдсэн хэрэглээний өгөгдлийн үндсэн урсгал бөгөөд тасархай сум нь нэмэлт байршлаас туслах өгөгдлийн урсгалыг тодорхойлно. Харин тасархай шугамаар зурсан тэгш өнцөгт хэлбэртэй хайрцгууд нь бүлэглэсэн объектод байрлуулсан тоног төхөөрөмжийг хаяглалын дагуу илэрхийлнэ.</w:t>
            </w:r>
          </w:p>
          <w:p w:rsidR="001C4C31" w:rsidRPr="00C2384D" w:rsidRDefault="001C4C31" w:rsidP="001C4C31">
            <w:pPr>
              <w:tabs>
                <w:tab w:val="left" w:pos="0"/>
              </w:tabs>
              <w:ind w:left="0" w:firstLine="0"/>
              <w:rPr>
                <w:rFonts w:eastAsia="Calibri"/>
                <w:b/>
                <w:szCs w:val="22"/>
              </w:rPr>
            </w:pPr>
            <w:r w:rsidRPr="00C2384D">
              <w:rPr>
                <w:rFonts w:eastAsia="Calibri"/>
                <w:b/>
                <w:szCs w:val="22"/>
              </w:rPr>
              <w:t xml:space="preserve">5.2 Өргөн зурвасын синхрофазор ашигладаг хэрэглээнүүд </w:t>
            </w:r>
          </w:p>
          <w:p w:rsidR="001C4C31" w:rsidRPr="00C2384D" w:rsidRDefault="001C4C31" w:rsidP="001C4C31">
            <w:pPr>
              <w:tabs>
                <w:tab w:val="left" w:pos="0"/>
              </w:tabs>
              <w:ind w:left="0" w:firstLine="0"/>
              <w:rPr>
                <w:rFonts w:eastAsia="Calibri"/>
                <w:szCs w:val="22"/>
              </w:rPr>
            </w:pPr>
            <w:r w:rsidRPr="00C2384D">
              <w:rPr>
                <w:rFonts w:eastAsia="Calibri"/>
                <w:szCs w:val="22"/>
              </w:rPr>
              <w:t>Ихэнх хэрэглээний хувьд синхрофазор өгөгдлийг дамжуулагч болон хүлээн авагч нь хол зайтай байдаг.  Энэ "хол" гэдэг нь энгийн дотоод сүлжээ (LAN) -ээс илүү хол зайг хэлдэг.</w:t>
            </w:r>
          </w:p>
          <w:p w:rsidR="001C4C31" w:rsidRPr="00C2384D" w:rsidRDefault="001C4C31" w:rsidP="001C4C31">
            <w:pPr>
              <w:tabs>
                <w:tab w:val="left" w:pos="0"/>
              </w:tabs>
              <w:ind w:left="0" w:firstLine="0"/>
              <w:rPr>
                <w:rFonts w:eastAsia="Calibri"/>
                <w:szCs w:val="22"/>
              </w:rPr>
            </w:pPr>
            <w:r w:rsidRPr="00C2384D">
              <w:rPr>
                <w:rFonts w:eastAsia="Calibri"/>
                <w:szCs w:val="22"/>
              </w:rPr>
              <w:t>Дурын хол зайд өгөгдөл дамжуулах сонголтуудын нэг нь Интернэт протокол (IP) ашиглах явдал юм. IP нь өгөгдлийн багц (IP багцууд) -ыг өөр өөр сүлжээнд ямар ч зайд чиглүүлэх боломжийг олгодог. Энэхүү баримт бичиг нь IP ашиглах боломжийг авч үзнэ.</w:t>
            </w:r>
          </w:p>
          <w:p w:rsidR="001C4C31" w:rsidRPr="00C2384D" w:rsidRDefault="001C4C31" w:rsidP="001C4C31">
            <w:pPr>
              <w:tabs>
                <w:tab w:val="left" w:pos="0"/>
              </w:tabs>
              <w:ind w:left="0" w:firstLine="0"/>
              <w:rPr>
                <w:rFonts w:eastAsia="Calibri"/>
                <w:szCs w:val="22"/>
              </w:rPr>
            </w:pPr>
            <w:r w:rsidRPr="00C2384D">
              <w:rPr>
                <w:rFonts w:eastAsia="Calibri"/>
                <w:szCs w:val="22"/>
              </w:rPr>
              <w:t>Синхрофазорын өгөгдлийг тасралтгүй дамжуулахад UDP-ийг ашиглах нь батлагдсан ба бүрэн ажиллагаатай арга юм. IEEE C37.118 протоколын олон тооны хэрэглээнүүд үүнийг баталж байна. Тиймээс SV өгөгдлийг тасралтгүй дамжуулахад UDP ашигладаг аргыг дахин хийх шаардлагатай. TCP-ийг ашиглах боломжтой бөгөөд мөн 6.4-т дурдсан нөхцөлд ашиглана.</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Ашиглалтын бүх тохиолдолд хоцролтын шаардлага нь төгсгөлөөс төгсгөл дэх харилцаа холбооны хоцрогдлыг илэрхийлдэг. Энэ бол хэмжүүрийн төхөөрөмжөөс мессеж илгээгдсэнээс хэрэглээний хүлээн авах хүртэлх хугацааны завсар юм. Үүнд: LAN, WAN, чиглүүлэгчийн хоцрогдол, ssPDC ба PDC нэгжүүд дээрх завсрын боловсруулах нэгжүүдийн хоцрогдол гэх </w:t>
            </w:r>
            <w:r w:rsidRPr="00C2384D">
              <w:rPr>
                <w:rFonts w:eastAsia="Calibri"/>
                <w:szCs w:val="22"/>
              </w:rPr>
              <w:lastRenderedPageBreak/>
              <w:t xml:space="preserve">мэт бүх холболтын хоцрогдол орно. Энд оролтын дохионоос синхрофазорын тооцоолон гаргах хүртэлх хэмжилтийн хоцрогдлыг оруулаагүй болно. Энэ нь өгөгдсөн хэрэглээ болгонд мэдээлэл дамжуулалтыг төлөвлөхөд ерөнхий заавар болгон ашиглана. Бие даасан хэрэглээний хэрэгцээ өөр өөр байх ба тодорхой шаардлагыг хэрэгжүүлэх явцад үнэлэх шаардлагатай. </w:t>
            </w:r>
          </w:p>
          <w:p w:rsidR="001C4C31" w:rsidRPr="00C2384D" w:rsidRDefault="001C4C31" w:rsidP="001C4C31">
            <w:pPr>
              <w:tabs>
                <w:tab w:val="left" w:pos="0"/>
              </w:tabs>
              <w:ind w:left="0" w:firstLine="0"/>
              <w:rPr>
                <w:rFonts w:eastAsia="Calibri"/>
                <w:szCs w:val="22"/>
              </w:rPr>
            </w:pPr>
            <w:r w:rsidRPr="00C2384D">
              <w:rPr>
                <w:rFonts w:eastAsia="Calibri"/>
                <w:szCs w:val="22"/>
              </w:rPr>
              <w:t>Хүлээн авсан өгөгдөл дээр үндэслэн арга хэмжээ авдаг хэрэглээний хувьд алдагдсан багцууд нь хариу үйлдлийн хоцрогдол үүсгэнэ. Нэг алдагдсан багц нь өгөгдлийн мэдээлэх хурдаар тогтоосон багц хоорондох хугацааны завсартай тэнцэх саатлыг бий болдог. Тухайн хэрэглээ нь алдагдсан багцуудыг хариу өгөх хүртэл тодорхой хоцрогдлын хугацааг зөвшөөрч болно. Тиймээс өндөр худын өгөгдөл ашигласнаар алдагдсан олон тооны хоцрогдолтой багцыг хүлээж чадна. Зарим хэрэглээнүүд нь өмнөх өгөгдлүүдээс алдагдсан өгөгдлийн утгыг тооцоолох боломжтой байдаг ч гэсэн энэ нь хариу шийдвэр гаргах үйлдлийг нь удаашралд хүргэдэг. Бүх тохиолдолд дамжуулсан өгөгдлөөс хамааралтай хэрэглээнүүд хэт их багц алдагдал гарсан нөхцөлд ажиллагааны горимын уналтыг илрүүлэхэд хугацаа их шаардагддаг.</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Өгөгдлийг бичигч эсвэл тооцоолол хийн график дэлгэцэн гаргадаг хэрэглээнүүдийн хувьд асуудал бага тулгардаг. Тэд төрөл бүрийн нөхөх аргийн тусламжтайгаар алдагдсан утгыг ойролцоогоор тооцоолж болдог. Асуудал нь энгийн алдагдал гэхээсээ илүү алдагдлын хэлбэр илүү их байдаг. Богино хэмжээний өгөгдлийн алдагдал нь урт хэмжээний алдагдалтай харьцуулахад боломжийн нарийвчлалтайгаар хялбар нөхөгддөг. Цөөн хэдэн дараалсан түүврийн богино </w:t>
            </w:r>
            <w:r w:rsidRPr="00C2384D">
              <w:rPr>
                <w:rFonts w:eastAsia="Calibri"/>
                <w:szCs w:val="22"/>
              </w:rPr>
              <w:lastRenderedPageBreak/>
              <w:t>алдагдлуудаас бүрдэх алдагдал нь удаан хугацаагаар алдагдсанаас илүү хохирол багатай байдаг. Өмнө дурдсанчлан хоцрогдлын улмаас хариу үйлдэл удааширна. Өгөгдлийн алдагдлыг илрүүлэх хугацаа, буцах ажлын горим болон/эсвэл дохиолол шаардлагатай.</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Гажилт буюу хоцрогдлын өөрчлөлт нь өгөгдлийг ашигладаг аливаа хэрэглээний үйлдлийн хугацааны өөрчлөлтийг үүсгэдэг. Гажилтын хэмжээ нь өгөгдлийн хурдны интервалаас мэдэгдхүйц бага байх тусам хэрэглээнд тийм ч их нөлөө үзүүлэхгүй. Хэрэв энэ нь дараалсан өгөгдлийн түүврүүдийн хоорондын хугацааны хэмжээнээс их эсвэл бага байж болох хоцрогдлыг зөвшөөрөгдөх хугацаатай ойртвол хариу үйлдэл үзүүлэхэд нөлөөлж, хязгаарлах хүчин зүйл болно. Өгөгдлийн багцыг бүрдүүлж, дамжуулахаас өмнө бүх өгөгдөл ирэхийг хүлээх ёстой тул өгөгдөл цуглуулагчийн үйл ажиллагаа өгөгдлийн гажилтаас болж хоцордог. Ямар ч тохиолдолд гажилтыг хамгийн болзошгүй хамгийн муу тохиолдлын хоцрогдлын тооцоонд оруулах хэрэгтэй. </w:t>
            </w:r>
          </w:p>
          <w:p w:rsidR="001C4C31" w:rsidRPr="00C2384D" w:rsidRDefault="001C4C31" w:rsidP="001C4C31">
            <w:pPr>
              <w:tabs>
                <w:tab w:val="left" w:pos="0"/>
              </w:tabs>
              <w:ind w:left="0" w:firstLine="0"/>
              <w:rPr>
                <w:rFonts w:eastAsia="Calibri"/>
                <w:b/>
                <w:szCs w:val="22"/>
              </w:rPr>
            </w:pPr>
            <w:bookmarkStart w:id="3" w:name="5.3_Synchro-check"/>
            <w:bookmarkEnd w:id="3"/>
            <w:r w:rsidRPr="00C2384D">
              <w:rPr>
                <w:rFonts w:eastAsia="Calibri"/>
                <w:b/>
                <w:szCs w:val="22"/>
              </w:rPr>
              <w:t>5.3 Синхрон хяналт</w:t>
            </w:r>
          </w:p>
          <w:p w:rsidR="001C4C31" w:rsidRPr="00C2384D" w:rsidRDefault="001C4C31" w:rsidP="001C4C31">
            <w:pPr>
              <w:tabs>
                <w:tab w:val="left" w:pos="0"/>
              </w:tabs>
              <w:ind w:left="0" w:firstLine="0"/>
              <w:rPr>
                <w:rFonts w:eastAsia="Calibri"/>
                <w:szCs w:val="22"/>
              </w:rPr>
            </w:pPr>
            <w:r w:rsidRPr="00C2384D">
              <w:rPr>
                <w:rFonts w:eastAsia="Calibri"/>
                <w:szCs w:val="22"/>
              </w:rPr>
              <w:t>Энэ хэрэглээнд өгөгдөл нь нэг буюу хэд хэдэн PMU төхөөрөмжөөс синхрончлохыг шалгах реле руу илгээгддэг. Ерөнхий мэдээллийн урсгалыг Зураг 1-т харуулав. Реле нь энэ мэдээллийг ашиглан таслуурын хоёр тал дахь хүчдэлийн фазын өнцгүүд ойролцоогоор бататгаж байгаа тул таслуур нь ямар нэ</w:t>
            </w:r>
            <w:r>
              <w:rPr>
                <w:rFonts w:eastAsia="Calibri"/>
                <w:szCs w:val="22"/>
              </w:rPr>
              <w:t>гэн гэмтэлгүйгээр тасалж болно.</w:t>
            </w:r>
          </w:p>
        </w:tc>
        <w:tc>
          <w:tcPr>
            <w:tcW w:w="4598" w:type="dxa"/>
          </w:tcPr>
          <w:p w:rsidR="001C4C31" w:rsidRPr="00C2384D" w:rsidRDefault="001C4C31" w:rsidP="001C4C31">
            <w:pPr>
              <w:tabs>
                <w:tab w:val="left" w:pos="0"/>
              </w:tabs>
              <w:ind w:left="0" w:firstLine="0"/>
              <w:rPr>
                <w:rFonts w:eastAsia="Calibri"/>
                <w:b/>
                <w:szCs w:val="22"/>
              </w:rPr>
            </w:pPr>
            <w:r w:rsidRPr="00C2384D">
              <w:rPr>
                <w:rFonts w:eastAsia="Calibri"/>
                <w:b/>
                <w:szCs w:val="22"/>
              </w:rPr>
              <w:lastRenderedPageBreak/>
              <w:t>1 Scope</w:t>
            </w:r>
          </w:p>
          <w:p w:rsidR="001C4C31" w:rsidRPr="00C2384D" w:rsidRDefault="001C4C31" w:rsidP="001C4C31">
            <w:pPr>
              <w:tabs>
                <w:tab w:val="left" w:pos="0"/>
              </w:tabs>
              <w:ind w:left="0" w:firstLine="0"/>
              <w:rPr>
                <w:rFonts w:eastAsia="Calibri"/>
                <w:szCs w:val="22"/>
              </w:rPr>
            </w:pPr>
            <w:r w:rsidRPr="00C2384D">
              <w:rPr>
                <w:rFonts w:eastAsia="Calibri"/>
                <w:szCs w:val="22"/>
              </w:rPr>
              <w:t>This part of IEC 61850 provides a way of exchanging synchrophasor data between PMUs, PDCs WAMPAC (Wide Area Monitoring, Protection, and Control), and between control center applications. The data, to the extent covered in IEEE C37.118-2005, are transported in a way that is complian</w:t>
            </w:r>
            <w:r w:rsidR="00F70ADC">
              <w:rPr>
                <w:rFonts w:eastAsia="Calibri"/>
                <w:szCs w:val="22"/>
              </w:rPr>
              <w:t>t to the concepts of IEC 61850.</w:t>
            </w:r>
          </w:p>
          <w:p w:rsidR="001C4C31" w:rsidRPr="00C2384D" w:rsidRDefault="001C4C31" w:rsidP="001C4C31">
            <w:pPr>
              <w:tabs>
                <w:tab w:val="left" w:pos="0"/>
              </w:tabs>
              <w:ind w:left="0" w:firstLine="0"/>
              <w:rPr>
                <w:rFonts w:eastAsia="Calibri"/>
                <w:szCs w:val="22"/>
              </w:rPr>
            </w:pPr>
            <w:r w:rsidRPr="00C2384D">
              <w:rPr>
                <w:rFonts w:eastAsia="Calibri"/>
                <w:szCs w:val="22"/>
              </w:rPr>
              <w:t>However, given the primary scope and use cases, this document also  provides  routable profiles for IEC 61850-8-1 GOOSE and IEC 61850-9-2 SV packets. These routable packets  can be utilized to transport general IEC 61850 data as well as synchrophasor data.</w:t>
            </w:r>
          </w:p>
          <w:p w:rsidR="001C4C31" w:rsidRPr="00C2384D" w:rsidRDefault="001C4C31" w:rsidP="001C4C31">
            <w:pPr>
              <w:tabs>
                <w:tab w:val="left" w:pos="0"/>
              </w:tabs>
              <w:ind w:left="0" w:firstLine="0"/>
              <w:rPr>
                <w:rFonts w:eastAsia="Calibri"/>
                <w:b/>
                <w:szCs w:val="22"/>
              </w:rPr>
            </w:pPr>
            <w:r w:rsidRPr="00C2384D">
              <w:rPr>
                <w:rFonts w:eastAsia="Calibri"/>
                <w:b/>
                <w:szCs w:val="22"/>
              </w:rPr>
              <w:t xml:space="preserve">2 Normative references </w:t>
            </w:r>
          </w:p>
          <w:p w:rsidR="001C4C31" w:rsidRPr="00C2384D" w:rsidRDefault="001C4C31" w:rsidP="001C4C31">
            <w:pPr>
              <w:tabs>
                <w:tab w:val="left" w:pos="0"/>
              </w:tabs>
              <w:ind w:left="0" w:firstLine="0"/>
              <w:rPr>
                <w:rFonts w:eastAsia="Calibri"/>
                <w:szCs w:val="22"/>
              </w:rPr>
            </w:pPr>
            <w:r w:rsidRPr="00C2384D">
              <w:rPr>
                <w:rFonts w:eastAsia="Calibri"/>
                <w:szCs w:val="22"/>
              </w:rPr>
              <w:t>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w:t>
            </w:r>
          </w:p>
          <w:p w:rsidR="001C4C31" w:rsidRPr="00C2384D" w:rsidRDefault="001C4C31" w:rsidP="001C4C31">
            <w:pPr>
              <w:tabs>
                <w:tab w:val="left" w:pos="0"/>
              </w:tabs>
              <w:ind w:left="0" w:firstLine="0"/>
              <w:rPr>
                <w:rFonts w:eastAsia="Calibri"/>
                <w:szCs w:val="22"/>
              </w:rPr>
            </w:pPr>
            <w:r w:rsidRPr="00C2384D">
              <w:rPr>
                <w:rFonts w:eastAsia="Calibri"/>
                <w:szCs w:val="22"/>
              </w:rPr>
              <w:lastRenderedPageBreak/>
              <w:t xml:space="preserve">IEC 61850-2:2003, </w:t>
            </w:r>
            <w:r w:rsidRPr="00C2384D">
              <w:rPr>
                <w:rFonts w:eastAsia="Calibri"/>
                <w:i/>
                <w:szCs w:val="22"/>
              </w:rPr>
              <w:t>Communication networks and systems in substations – Part 2: Glossary</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61850-6:2009, </w:t>
            </w:r>
            <w:r w:rsidRPr="00C2384D">
              <w:rPr>
                <w:rFonts w:eastAsia="Calibri"/>
                <w:i/>
                <w:szCs w:val="22"/>
              </w:rPr>
              <w:t>Communication networks  and systems  in substations – Part 6: Configuration description language for communication in electrical substations related to IEDs</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61850-7-1, </w:t>
            </w:r>
            <w:r w:rsidRPr="00C2384D">
              <w:rPr>
                <w:rFonts w:eastAsia="Calibri"/>
                <w:i/>
                <w:szCs w:val="22"/>
              </w:rPr>
              <w:t>Communication networks and systems for power utility automation – Part 7-1: Basic communication structure – Principles and models</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r w:rsidRPr="00C2384D">
              <w:rPr>
                <w:rFonts w:eastAsia="Calibri"/>
                <w:szCs w:val="22"/>
              </w:rPr>
              <w:t>IEC 61850-7-2,</w:t>
            </w:r>
            <w:r w:rsidRPr="00C2384D">
              <w:rPr>
                <w:rFonts w:eastAsia="Calibri"/>
                <w:i/>
                <w:szCs w:val="22"/>
              </w:rPr>
              <w:t xml:space="preserve"> Communication networks and systems in substations – Part 7-2: Basic information and communication structure – Abstract communication service interface (ACSI)</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61850-7-3, </w:t>
            </w:r>
            <w:r w:rsidRPr="00C2384D">
              <w:rPr>
                <w:rFonts w:eastAsia="Calibri"/>
                <w:i/>
                <w:szCs w:val="22"/>
              </w:rPr>
              <w:t>Communication networks and systems for power utility automation – Part 7-3: Basic communication structure – Common data classes</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r w:rsidRPr="00C2384D">
              <w:rPr>
                <w:rFonts w:eastAsia="Calibri"/>
                <w:szCs w:val="22"/>
              </w:rPr>
              <w:t xml:space="preserve">IEC 61850-7-4:2010, </w:t>
            </w:r>
            <w:r w:rsidRPr="00C2384D">
              <w:rPr>
                <w:rFonts w:eastAsia="Calibri"/>
                <w:i/>
                <w:szCs w:val="22"/>
              </w:rPr>
              <w:t>Communication networks and systems for power  utility  automation  – Part 7-4: Basic communication structure – Compatible logical node classes and data object classes and data objectclasses</w:t>
            </w:r>
          </w:p>
          <w:p w:rsidR="001C4C31" w:rsidRPr="00C2384D" w:rsidRDefault="001C4C31" w:rsidP="001C4C31">
            <w:pPr>
              <w:tabs>
                <w:tab w:val="left" w:pos="0"/>
              </w:tabs>
              <w:spacing w:after="0"/>
              <w:ind w:left="0" w:firstLine="0"/>
              <w:rPr>
                <w:rFonts w:eastAsia="Calibri"/>
                <w:szCs w:val="22"/>
              </w:rPr>
            </w:pPr>
            <w:r w:rsidRPr="00C2384D">
              <w:rPr>
                <w:rFonts w:eastAsia="Calibri"/>
                <w:szCs w:val="22"/>
              </w:rPr>
              <w:t xml:space="preserve">IEC 61850-8-1:2011, </w:t>
            </w:r>
            <w:r w:rsidRPr="00C2384D">
              <w:rPr>
                <w:rFonts w:eastAsia="Calibri"/>
                <w:i/>
                <w:szCs w:val="22"/>
              </w:rPr>
              <w:t>Communication networks and systems for power  utility  automation  – Part 8-1: Specific communication service mapping (SCSM) – Mappings to MMS (ISO 9506-1 and ISO 9506-2) and to ISO/IEC 8802-3</w:t>
            </w:r>
          </w:p>
          <w:p w:rsidR="001C4C31" w:rsidRPr="00C2384D" w:rsidRDefault="001C4C31" w:rsidP="001C4C31">
            <w:pPr>
              <w:tabs>
                <w:tab w:val="left" w:pos="0"/>
              </w:tabs>
              <w:spacing w:after="0"/>
              <w:ind w:left="0" w:firstLine="0"/>
              <w:rPr>
                <w:rFonts w:eastAsia="Calibri"/>
                <w:szCs w:val="22"/>
              </w:rPr>
            </w:pPr>
          </w:p>
          <w:p w:rsidR="001C4C31" w:rsidRPr="00C2384D" w:rsidRDefault="001C4C31" w:rsidP="001C4C31">
            <w:pPr>
              <w:tabs>
                <w:tab w:val="left" w:pos="0"/>
              </w:tabs>
              <w:spacing w:after="0"/>
              <w:ind w:left="0" w:firstLine="0"/>
              <w:rPr>
                <w:rFonts w:eastAsia="Calibri"/>
                <w:szCs w:val="22"/>
              </w:rPr>
            </w:pPr>
            <w:r w:rsidRPr="00C2384D">
              <w:rPr>
                <w:rFonts w:eastAsia="Calibri"/>
                <w:szCs w:val="22"/>
              </w:rPr>
              <w:t xml:space="preserve">IEC 61850-9-2:2010, </w:t>
            </w:r>
            <w:r w:rsidRPr="00C2384D">
              <w:rPr>
                <w:rFonts w:eastAsia="Calibri"/>
                <w:i/>
                <w:szCs w:val="22"/>
              </w:rPr>
              <w:t xml:space="preserve">Communication networks and systems for power  utility  automation  – Part 9-2: Specific communication service  mapping  </w:t>
            </w:r>
            <w:r w:rsidRPr="00C2384D">
              <w:rPr>
                <w:rFonts w:eastAsia="Calibri"/>
                <w:i/>
                <w:szCs w:val="22"/>
              </w:rPr>
              <w:lastRenderedPageBreak/>
              <w:t>(SCSM)  –  Sampled  values   over ISO/IEC 8802-3</w:t>
            </w:r>
          </w:p>
          <w:p w:rsidR="001C4C31" w:rsidRPr="00C2384D" w:rsidRDefault="001C4C31" w:rsidP="001C4C31">
            <w:pPr>
              <w:tabs>
                <w:tab w:val="left" w:pos="0"/>
              </w:tabs>
              <w:spacing w:after="0"/>
              <w:ind w:left="0" w:firstLine="0"/>
              <w:rPr>
                <w:rFonts w:eastAsia="Calibri"/>
                <w:szCs w:val="22"/>
              </w:rPr>
            </w:pPr>
            <w:r w:rsidRPr="00C2384D">
              <w:rPr>
                <w:rFonts w:eastAsia="Calibri"/>
                <w:szCs w:val="22"/>
              </w:rPr>
              <w:t xml:space="preserve">IEC/TR 61850-90-1, </w:t>
            </w:r>
            <w:r w:rsidRPr="00C2384D">
              <w:rPr>
                <w:rFonts w:eastAsia="Calibri"/>
                <w:i/>
                <w:szCs w:val="22"/>
              </w:rPr>
              <w:t>Communication networks and systems for power utility automation – Part90-1: Use of IEC 61850 for the communication between substation</w:t>
            </w:r>
            <w:r w:rsidRPr="00C2384D">
              <w:rPr>
                <w:rFonts w:eastAsia="Calibri"/>
                <w:szCs w:val="22"/>
              </w:rPr>
              <w:t xml:space="preserve"> </w:t>
            </w:r>
          </w:p>
          <w:p w:rsidR="001C4C31" w:rsidRPr="00C2384D" w:rsidRDefault="001C4C31" w:rsidP="001C4C31">
            <w:pPr>
              <w:tabs>
                <w:tab w:val="left" w:pos="0"/>
              </w:tabs>
              <w:spacing w:after="0"/>
              <w:ind w:left="0" w:firstLine="0"/>
              <w:rPr>
                <w:rFonts w:eastAsia="Calibri"/>
                <w:szCs w:val="22"/>
              </w:rPr>
            </w:pPr>
            <w:r w:rsidRPr="00C2384D">
              <w:rPr>
                <w:rFonts w:eastAsia="Calibri"/>
                <w:szCs w:val="22"/>
              </w:rPr>
              <w:t xml:space="preserve">IEC/TS 62351-1, </w:t>
            </w:r>
            <w:r w:rsidRPr="00C2384D">
              <w:rPr>
                <w:rFonts w:eastAsia="Calibri"/>
                <w:i/>
                <w:szCs w:val="22"/>
              </w:rPr>
              <w:t>Power systems management and associated information exchange – Data and communications security – Part 1: Communication network and system security – Introduction to security issues</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IEC/TS 62351-6:2007, </w:t>
            </w:r>
            <w:r w:rsidRPr="00C2384D">
              <w:rPr>
                <w:rFonts w:eastAsia="Calibri"/>
                <w:bCs w:val="0"/>
                <w:i/>
                <w:sz w:val="24"/>
                <w:szCs w:val="22"/>
                <w:lang w:val="mn-MN"/>
              </w:rPr>
              <w:t>Power systems management and associated information exchange – Data and communications security – Part 6: Security for IEC 61850</w:t>
            </w:r>
          </w:p>
          <w:p w:rsidR="001C4C31" w:rsidRPr="00C2384D"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ISO/IEC 8802-3:2000, </w:t>
            </w:r>
            <w:r w:rsidRPr="00C2384D">
              <w:rPr>
                <w:rFonts w:eastAsia="Calibri"/>
                <w:bCs w:val="0"/>
                <w:i/>
                <w:sz w:val="24"/>
                <w:szCs w:val="22"/>
                <w:lang w:val="mn-MN"/>
              </w:rPr>
              <w:t>Information technology – Telecommunications and  information exchange between systems – Local and metropolitan area networks – Specific requirements – Part 3: Carrier sense multiple access with collision detection (CSMA/CD) access method and physical layer specifications</w:t>
            </w:r>
          </w:p>
          <w:p w:rsidR="001C4C31" w:rsidRPr="00C2384D" w:rsidRDefault="001C4C31" w:rsidP="001C4C31">
            <w:pPr>
              <w:tabs>
                <w:tab w:val="left" w:pos="0"/>
              </w:tabs>
              <w:ind w:left="0" w:firstLine="0"/>
              <w:rPr>
                <w:rFonts w:eastAsia="Calibri"/>
                <w:szCs w:val="22"/>
              </w:rPr>
            </w:pPr>
            <w:r w:rsidRPr="00C2384D">
              <w:rPr>
                <w:rFonts w:eastAsia="Calibri"/>
                <w:szCs w:val="22"/>
              </w:rPr>
              <w:t>ISO/IEC 19772,</w:t>
            </w:r>
            <w:r w:rsidRPr="00C2384D">
              <w:rPr>
                <w:rFonts w:eastAsia="Calibri"/>
                <w:i/>
                <w:szCs w:val="22"/>
              </w:rPr>
              <w:t xml:space="preserve"> Information technology – Security techniques  –  Authenticated  encryption  Also available as: NIST SP 800-38D</w:t>
            </w:r>
          </w:p>
          <w:p w:rsidR="001C4C31" w:rsidRPr="00C2384D" w:rsidRDefault="001C4C31" w:rsidP="001C4C31">
            <w:pPr>
              <w:tabs>
                <w:tab w:val="left" w:pos="0"/>
              </w:tabs>
              <w:ind w:left="0" w:firstLine="0"/>
              <w:rPr>
                <w:rFonts w:eastAsia="Calibri"/>
                <w:i/>
                <w:szCs w:val="22"/>
              </w:rPr>
            </w:pPr>
            <w:r w:rsidRPr="00C2384D">
              <w:rPr>
                <w:rFonts w:eastAsia="Calibri"/>
                <w:szCs w:val="22"/>
              </w:rPr>
              <w:t xml:space="preserve">ITU-T X.234, </w:t>
            </w:r>
            <w:r w:rsidRPr="00C2384D">
              <w:rPr>
                <w:rFonts w:eastAsia="Calibri"/>
                <w:i/>
                <w:szCs w:val="22"/>
              </w:rPr>
              <w:t>Information technology – Protocol for Providing the OSI connectionless-mode transport service</w:t>
            </w:r>
          </w:p>
          <w:p w:rsidR="001C4C31" w:rsidRPr="00C2384D" w:rsidRDefault="001C4C31" w:rsidP="001C4C31">
            <w:pPr>
              <w:tabs>
                <w:tab w:val="left" w:pos="0"/>
              </w:tabs>
              <w:ind w:left="0" w:firstLine="0"/>
              <w:rPr>
                <w:rFonts w:eastAsia="Calibri"/>
                <w:i/>
                <w:szCs w:val="22"/>
              </w:rPr>
            </w:pPr>
            <w:r w:rsidRPr="00C2384D">
              <w:rPr>
                <w:rFonts w:eastAsia="Calibri"/>
                <w:i/>
                <w:szCs w:val="22"/>
              </w:rPr>
              <w:t>Amendment 1: Addition of connectionless-mode multicast capbility</w:t>
            </w:r>
          </w:p>
          <w:p w:rsidR="001C4C31" w:rsidRPr="00EF2D2B" w:rsidRDefault="001C4C31" w:rsidP="001C4C31">
            <w:pPr>
              <w:pStyle w:val="BodyText"/>
              <w:tabs>
                <w:tab w:val="left" w:pos="0"/>
              </w:tabs>
              <w:spacing w:line="276" w:lineRule="auto"/>
              <w:ind w:right="502"/>
              <w:jc w:val="both"/>
              <w:rPr>
                <w:rFonts w:eastAsia="Calibri"/>
                <w:bCs w:val="0"/>
                <w:sz w:val="24"/>
                <w:szCs w:val="22"/>
                <w:lang w:val="mn-MN"/>
              </w:rPr>
            </w:pP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802.1Q, </w:t>
            </w:r>
            <w:r w:rsidRPr="00C2384D">
              <w:rPr>
                <w:rFonts w:eastAsia="Calibri"/>
                <w:bCs w:val="0"/>
                <w:i/>
                <w:sz w:val="24"/>
                <w:szCs w:val="22"/>
                <w:lang w:val="mn-MN"/>
              </w:rPr>
              <w:t>Virtual Bridged Local Area Networks</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C37.118.1, </w:t>
            </w:r>
            <w:r w:rsidRPr="00C2384D">
              <w:rPr>
                <w:rFonts w:eastAsia="Calibri"/>
                <w:bCs w:val="0"/>
                <w:i/>
                <w:sz w:val="24"/>
                <w:szCs w:val="22"/>
                <w:lang w:val="mn-MN"/>
              </w:rPr>
              <w:t>Standard for Synchrophasor Measurements for Power Systems</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IEEE C37.118.2:2011,</w:t>
            </w:r>
            <w:r w:rsidRPr="00C2384D">
              <w:rPr>
                <w:rFonts w:eastAsia="Calibri"/>
                <w:bCs w:val="0"/>
                <w:sz w:val="24"/>
                <w:szCs w:val="22"/>
                <w:lang w:val="mn-MN"/>
              </w:rPr>
              <w:t xml:space="preserve"> </w:t>
            </w:r>
            <w:r w:rsidRPr="00C2384D">
              <w:rPr>
                <w:rFonts w:eastAsia="Calibri"/>
                <w:bCs w:val="0"/>
                <w:i/>
                <w:sz w:val="24"/>
                <w:szCs w:val="22"/>
                <w:lang w:val="mn-MN"/>
              </w:rPr>
              <w:t>Standard for Synchrophasor Data Transfer for Power Systems</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NIST </w:t>
            </w:r>
            <w:r w:rsidRPr="00C2384D">
              <w:rPr>
                <w:rFonts w:eastAsia="Calibri"/>
                <w:bCs w:val="0"/>
                <w:sz w:val="24"/>
                <w:szCs w:val="22"/>
                <w:lang w:val="mn-MN"/>
              </w:rPr>
              <w:t xml:space="preserve">Special Publication 800-38D, Recommendation for Block Cipher </w:t>
            </w:r>
            <w:r w:rsidRPr="00C2384D">
              <w:rPr>
                <w:rFonts w:eastAsia="Calibri"/>
                <w:bCs w:val="0"/>
                <w:sz w:val="24"/>
                <w:szCs w:val="22"/>
                <w:lang w:val="mn-MN"/>
              </w:rPr>
              <w:lastRenderedPageBreak/>
              <w:t>Modes of Operation: Galois/Counter Mode (GCM) and GMAC</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768, </w:t>
            </w:r>
            <w:r w:rsidRPr="00C2384D">
              <w:rPr>
                <w:rFonts w:eastAsia="Calibri"/>
                <w:bCs w:val="0"/>
                <w:sz w:val="24"/>
                <w:szCs w:val="22"/>
                <w:lang w:val="mn-MN"/>
              </w:rPr>
              <w:t>User Datagram Protocol</w:t>
            </w:r>
          </w:p>
          <w:p w:rsidR="001C4C31" w:rsidRPr="00C2384D"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791, </w:t>
            </w:r>
            <w:r w:rsidRPr="00C2384D">
              <w:rPr>
                <w:rFonts w:eastAsia="Calibri"/>
                <w:bCs w:val="0"/>
                <w:sz w:val="24"/>
                <w:szCs w:val="22"/>
                <w:lang w:val="mn-MN"/>
              </w:rPr>
              <w:t xml:space="preserve">Internet Protocol DARPA Internet Program Protocol Specification </w:t>
            </w:r>
          </w:p>
          <w:p w:rsidR="001C4C31" w:rsidRPr="00C2384D" w:rsidRDefault="001C4C31" w:rsidP="001C4C31">
            <w:pPr>
              <w:pStyle w:val="BodyText"/>
              <w:tabs>
                <w:tab w:val="left" w:pos="0"/>
              </w:tabs>
              <w:spacing w:line="276" w:lineRule="auto"/>
              <w:ind w:right="14"/>
              <w:jc w:val="both"/>
              <w:rPr>
                <w:rFonts w:eastAsia="Calibri"/>
                <w:bCs w:val="0"/>
                <w:sz w:val="24"/>
                <w:szCs w:val="22"/>
                <w:lang w:val="mn-MN"/>
              </w:rPr>
            </w:pPr>
            <w:r w:rsidRPr="00C2384D">
              <w:rPr>
                <w:rFonts w:eastAsia="Calibri"/>
                <w:bCs w:val="0"/>
                <w:sz w:val="24"/>
                <w:szCs w:val="22"/>
                <w:lang w:val="mn-MN"/>
              </w:rPr>
              <w:t>RFC 793, Transmission Control Protocol</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826, </w:t>
            </w:r>
            <w:r w:rsidRPr="00C2384D">
              <w:rPr>
                <w:rFonts w:eastAsia="Calibri"/>
                <w:bCs w:val="0"/>
                <w:sz w:val="24"/>
                <w:szCs w:val="22"/>
                <w:lang w:val="mn-MN"/>
              </w:rPr>
              <w:t>An Ethernet Address Resolution Protocol</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 RFC 793, </w:t>
            </w:r>
            <w:r w:rsidRPr="00C2384D">
              <w:rPr>
                <w:rFonts w:eastAsia="Calibri"/>
                <w:bCs w:val="0"/>
                <w:sz w:val="24"/>
                <w:szCs w:val="22"/>
                <w:lang w:val="mn-MN"/>
              </w:rPr>
              <w:t>Transmission Control Protocol</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RFC 826</w:t>
            </w:r>
            <w:r w:rsidRPr="00C2384D">
              <w:rPr>
                <w:rFonts w:eastAsia="Calibri"/>
                <w:bCs w:val="0"/>
                <w:sz w:val="24"/>
                <w:szCs w:val="22"/>
                <w:lang w:val="mn-MN"/>
              </w:rPr>
              <w:t>, An Ethernet Address Resolution Protocol</w:t>
            </w:r>
          </w:p>
          <w:p w:rsidR="001C4C31" w:rsidRPr="00C2384D"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RFC 894,</w:t>
            </w:r>
            <w:r w:rsidRPr="00C2384D">
              <w:rPr>
                <w:rFonts w:eastAsia="Calibri"/>
                <w:bCs w:val="0"/>
                <w:sz w:val="24"/>
                <w:szCs w:val="22"/>
                <w:lang w:val="mn-MN"/>
              </w:rPr>
              <w:t xml:space="preserve"> A Standard for the Transmission of IP Datagrams over Ethernet </w:t>
            </w:r>
          </w:p>
          <w:p w:rsidR="001C4C31" w:rsidRPr="00EF2D2B"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Networks RFC 1108,</w:t>
            </w:r>
            <w:r w:rsidRPr="00C2384D">
              <w:rPr>
                <w:rFonts w:eastAsia="Calibri"/>
                <w:bCs w:val="0"/>
                <w:sz w:val="24"/>
                <w:szCs w:val="22"/>
                <w:lang w:val="mn-MN"/>
              </w:rPr>
              <w:t xml:space="preserve"> U,S, Department of Defense Security Options for the Internet</w:t>
            </w:r>
            <w:r>
              <w:rPr>
                <w:rFonts w:eastAsia="Calibri"/>
                <w:bCs w:val="0"/>
                <w:sz w:val="24"/>
                <w:szCs w:val="22"/>
                <w:lang w:val="mn-MN"/>
              </w:rPr>
              <w:t xml:space="preserve"> </w:t>
            </w:r>
          </w:p>
          <w:p w:rsidR="001C4C31" w:rsidRPr="00C2384D"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Protocol RFC 1240, </w:t>
            </w:r>
            <w:r w:rsidRPr="00C2384D">
              <w:rPr>
                <w:rFonts w:eastAsia="Calibri"/>
                <w:bCs w:val="0"/>
                <w:sz w:val="24"/>
                <w:szCs w:val="22"/>
                <w:lang w:val="mn-MN"/>
              </w:rPr>
              <w:t>OSI Connectionless Transport Services on top of UDP Version:1</w:t>
            </w:r>
          </w:p>
          <w:p w:rsidR="001C4C31" w:rsidRPr="00C2384D" w:rsidRDefault="001C4C31" w:rsidP="001C4C31">
            <w:pPr>
              <w:pStyle w:val="BodyText"/>
              <w:tabs>
                <w:tab w:val="left" w:pos="0"/>
              </w:tabs>
              <w:spacing w:line="276" w:lineRule="auto"/>
              <w:ind w:right="14"/>
              <w:jc w:val="both"/>
              <w:rPr>
                <w:rFonts w:eastAsia="Calibri"/>
                <w:bCs w:val="0"/>
                <w:sz w:val="24"/>
                <w:szCs w:val="22"/>
                <w:lang w:val="mn-MN"/>
              </w:rPr>
            </w:pPr>
            <w:r w:rsidRPr="00C2384D">
              <w:rPr>
                <w:rFonts w:eastAsia="Calibri"/>
                <w:bCs w:val="0"/>
                <w:sz w:val="24"/>
                <w:szCs w:val="22"/>
                <w:lang w:val="mn-MN"/>
              </w:rPr>
              <w:t>RFC 2104, HMAC: Keyed-Hashing for Message Authentication RFC 2406, IP Encapuslating Security Payload (ESP)</w:t>
            </w:r>
          </w:p>
          <w:p w:rsidR="001C4C31" w:rsidRPr="00257D0E" w:rsidRDefault="001C4C31" w:rsidP="001C4C31">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2407, </w:t>
            </w:r>
            <w:r w:rsidRPr="00C2384D">
              <w:rPr>
                <w:rFonts w:eastAsia="Calibri"/>
                <w:bCs w:val="0"/>
                <w:sz w:val="24"/>
                <w:szCs w:val="22"/>
                <w:lang w:val="mn-MN"/>
              </w:rPr>
              <w:t>Internet Key Exchange (IKEv1) Protocol</w:t>
            </w:r>
          </w:p>
          <w:p w:rsidR="001C4C31" w:rsidRPr="00C2384D" w:rsidRDefault="001C4C31" w:rsidP="001C4C31">
            <w:pPr>
              <w:tabs>
                <w:tab w:val="left" w:pos="0"/>
              </w:tabs>
              <w:ind w:left="0" w:firstLine="0"/>
              <w:rPr>
                <w:rFonts w:eastAsia="Calibri"/>
                <w:szCs w:val="22"/>
              </w:rPr>
            </w:pPr>
            <w:r w:rsidRPr="00C2384D">
              <w:rPr>
                <w:rFonts w:eastAsia="Calibri"/>
                <w:szCs w:val="22"/>
              </w:rPr>
              <w:t>RFC 2474, Definition of Differentiated Services Field (DS Field) in IPv4 and IPv6 Headers RFC</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 2991, Multipath Issues in Unicast and Multicast Next-Hop Selection</w:t>
            </w:r>
          </w:p>
          <w:p w:rsidR="001C4C31" w:rsidRPr="00C2384D" w:rsidRDefault="001C4C31" w:rsidP="001C4C31">
            <w:pPr>
              <w:tabs>
                <w:tab w:val="left" w:pos="0"/>
              </w:tabs>
              <w:ind w:left="0" w:firstLine="0"/>
              <w:rPr>
                <w:rFonts w:eastAsia="Calibri"/>
                <w:szCs w:val="22"/>
              </w:rPr>
            </w:pPr>
            <w:r w:rsidRPr="00C2384D">
              <w:rPr>
                <w:rFonts w:eastAsia="Calibri"/>
                <w:szCs w:val="22"/>
              </w:rPr>
              <w:t>RFC 3168, The Addition of Explicit Congestion Notification (ECN) to IP</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r w:rsidRPr="00C2384D">
              <w:rPr>
                <w:rFonts w:eastAsia="Calibri"/>
                <w:szCs w:val="22"/>
              </w:rPr>
              <w:t>RFC3246, AnExpedited warding PHB (Per-Hop-Behavior)</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RFC 3376, Internet Group Management Protocol, Version 3 </w:t>
            </w:r>
          </w:p>
          <w:p w:rsidR="001C4C31" w:rsidRPr="00C2384D" w:rsidRDefault="001C4C31" w:rsidP="001C4C31">
            <w:pPr>
              <w:tabs>
                <w:tab w:val="left" w:pos="0"/>
              </w:tabs>
              <w:ind w:left="0" w:firstLine="0"/>
              <w:rPr>
                <w:rFonts w:eastAsia="Calibri"/>
                <w:szCs w:val="22"/>
              </w:rPr>
            </w:pPr>
            <w:r w:rsidRPr="00C2384D">
              <w:rPr>
                <w:rFonts w:eastAsia="Calibri"/>
                <w:szCs w:val="22"/>
              </w:rPr>
              <w:t>RFC 3547, The Group Domain of Interpretation</w:t>
            </w:r>
          </w:p>
          <w:p w:rsidR="001C4C31" w:rsidRPr="00C2384D" w:rsidRDefault="001C4C31" w:rsidP="001C4C31">
            <w:pPr>
              <w:tabs>
                <w:tab w:val="left" w:pos="0"/>
              </w:tabs>
              <w:ind w:left="0" w:firstLine="0"/>
              <w:rPr>
                <w:rFonts w:eastAsia="Calibri"/>
                <w:szCs w:val="22"/>
              </w:rPr>
            </w:pPr>
            <w:r w:rsidRPr="00C2384D">
              <w:rPr>
                <w:rFonts w:eastAsia="Calibri"/>
                <w:szCs w:val="22"/>
              </w:rPr>
              <w:t>RFC 5771, IANA Guidelines for IPv4 Multicast Address Assignments</w:t>
            </w:r>
          </w:p>
          <w:p w:rsidR="001C4C31" w:rsidRPr="00C2384D" w:rsidRDefault="001C4C31" w:rsidP="001C4C31">
            <w:pPr>
              <w:tabs>
                <w:tab w:val="left" w:pos="0"/>
              </w:tabs>
              <w:ind w:left="0" w:firstLine="0"/>
              <w:rPr>
                <w:rFonts w:eastAsia="Calibri"/>
                <w:szCs w:val="22"/>
              </w:rPr>
            </w:pPr>
            <w:r w:rsidRPr="00C2384D">
              <w:rPr>
                <w:rFonts w:eastAsia="Calibri"/>
                <w:szCs w:val="22"/>
              </w:rPr>
              <w:t>UCA User’s Group 61850-9-2LE- Implementation Guideline for Digital Interface to Instrument Transformers using IEC 61850-9-</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Default="001C4C31" w:rsidP="001C4C31">
            <w:pPr>
              <w:tabs>
                <w:tab w:val="left" w:pos="0"/>
              </w:tabs>
              <w:ind w:left="0" w:firstLine="0"/>
              <w:rPr>
                <w:rFonts w:eastAsia="Calibri"/>
                <w:szCs w:val="22"/>
              </w:rPr>
            </w:pPr>
          </w:p>
          <w:p w:rsidR="00E329F8" w:rsidRPr="00C2384D" w:rsidRDefault="00E329F8"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b/>
                <w:szCs w:val="22"/>
              </w:rPr>
            </w:pPr>
            <w:r w:rsidRPr="00C2384D">
              <w:rPr>
                <w:rFonts w:eastAsia="Calibri"/>
                <w:b/>
                <w:szCs w:val="22"/>
              </w:rPr>
              <w:t>3 Terms and definition</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 For  the  purposes  of  this  document,  the  terms  and  definitions   given  in   IEC 61850-2, IEC 61850-7-2 and IEEE C37.118.1 as well as the following apply.</w:t>
            </w:r>
          </w:p>
          <w:p w:rsidR="001C4C31" w:rsidRPr="00C2384D" w:rsidRDefault="001C4C31" w:rsidP="001C4C31">
            <w:pPr>
              <w:tabs>
                <w:tab w:val="left" w:pos="0"/>
              </w:tabs>
              <w:ind w:left="0" w:firstLine="0"/>
              <w:rPr>
                <w:rFonts w:eastAsia="Calibri"/>
                <w:b/>
                <w:szCs w:val="22"/>
              </w:rPr>
            </w:pPr>
            <w:r w:rsidRPr="00C2384D">
              <w:rPr>
                <w:rFonts w:eastAsia="Calibri"/>
                <w:b/>
                <w:szCs w:val="22"/>
              </w:rPr>
              <w:t>3.1 IED tool</w:t>
            </w:r>
          </w:p>
          <w:p w:rsidR="001C4C31" w:rsidRPr="00C2384D" w:rsidRDefault="001C4C31" w:rsidP="001C4C31">
            <w:pPr>
              <w:tabs>
                <w:tab w:val="left" w:pos="0"/>
              </w:tabs>
              <w:ind w:left="0" w:firstLine="0"/>
              <w:rPr>
                <w:rFonts w:eastAsia="Calibri"/>
                <w:szCs w:val="22"/>
              </w:rPr>
            </w:pPr>
            <w:r w:rsidRPr="00C2384D">
              <w:rPr>
                <w:rFonts w:eastAsia="Calibri"/>
                <w:szCs w:val="22"/>
              </w:rPr>
              <w:t>short for IED configuration tool or IED configurator in the sense of IEC 61850-6</w:t>
            </w:r>
          </w:p>
          <w:p w:rsidR="001C4C31" w:rsidRPr="00C2384D" w:rsidRDefault="001C4C31" w:rsidP="001C4C31">
            <w:pPr>
              <w:tabs>
                <w:tab w:val="left" w:pos="0"/>
              </w:tabs>
              <w:ind w:left="0" w:firstLine="0"/>
              <w:rPr>
                <w:rFonts w:eastAsia="Calibri"/>
                <w:b/>
                <w:szCs w:val="22"/>
              </w:rPr>
            </w:pPr>
            <w:r w:rsidRPr="00C2384D">
              <w:rPr>
                <w:rFonts w:eastAsia="Calibri"/>
                <w:b/>
                <w:szCs w:val="22"/>
              </w:rPr>
              <w:t>3.2 nonce</w:t>
            </w:r>
          </w:p>
          <w:p w:rsidR="001C4C31" w:rsidRPr="00C2384D" w:rsidRDefault="001C4C31" w:rsidP="001C4C31">
            <w:pPr>
              <w:tabs>
                <w:tab w:val="left" w:pos="0"/>
              </w:tabs>
              <w:ind w:left="0" w:firstLine="0"/>
              <w:rPr>
                <w:rFonts w:eastAsia="Calibri"/>
                <w:szCs w:val="22"/>
              </w:rPr>
            </w:pPr>
            <w:r w:rsidRPr="00C2384D">
              <w:rPr>
                <w:rFonts w:eastAsia="Calibri"/>
                <w:szCs w:val="22"/>
              </w:rPr>
              <w:t>number used once</w:t>
            </w:r>
          </w:p>
          <w:p w:rsidR="001C4C31" w:rsidRPr="00C2384D" w:rsidRDefault="001C4C31" w:rsidP="001C4C31">
            <w:pPr>
              <w:tabs>
                <w:tab w:val="left" w:pos="0"/>
              </w:tabs>
              <w:ind w:left="0" w:firstLine="0"/>
              <w:rPr>
                <w:rFonts w:eastAsia="Calibri"/>
                <w:sz w:val="20"/>
                <w:szCs w:val="20"/>
              </w:rPr>
            </w:pPr>
            <w:r w:rsidRPr="00C2384D">
              <w:rPr>
                <w:rFonts w:eastAsia="Calibri"/>
                <w:sz w:val="20"/>
                <w:szCs w:val="20"/>
              </w:rPr>
              <w:t>Note  1 to entry:</w:t>
            </w:r>
            <w:r w:rsidRPr="00C2384D">
              <w:rPr>
                <w:rFonts w:eastAsia="Calibri"/>
                <w:sz w:val="20"/>
                <w:szCs w:val="20"/>
              </w:rPr>
              <w:tab/>
              <w:t>A nonce is some value that varies with time, although a very large random number is sometimes used.</w:t>
            </w:r>
          </w:p>
          <w:p w:rsidR="001C4C31" w:rsidRPr="00C2384D" w:rsidRDefault="001C4C31" w:rsidP="001C4C31">
            <w:pPr>
              <w:tabs>
                <w:tab w:val="left" w:pos="0"/>
              </w:tabs>
              <w:ind w:left="0" w:firstLine="0"/>
              <w:rPr>
                <w:rFonts w:eastAsia="Calibri"/>
                <w:b/>
                <w:szCs w:val="22"/>
              </w:rPr>
            </w:pPr>
            <w:r w:rsidRPr="00C2384D">
              <w:rPr>
                <w:rFonts w:eastAsia="Calibri"/>
                <w:b/>
                <w:szCs w:val="22"/>
              </w:rPr>
              <w:t>3.3 part(ial) system</w:t>
            </w:r>
          </w:p>
          <w:p w:rsidR="001C4C31" w:rsidRPr="00C2384D" w:rsidRDefault="001C4C31" w:rsidP="001C4C31">
            <w:pPr>
              <w:tabs>
                <w:tab w:val="left" w:pos="0"/>
              </w:tabs>
              <w:ind w:left="0" w:firstLine="0"/>
              <w:rPr>
                <w:rFonts w:eastAsia="Calibri"/>
                <w:szCs w:val="22"/>
              </w:rPr>
            </w:pPr>
            <w:r w:rsidRPr="00C2384D">
              <w:rPr>
                <w:rFonts w:eastAsia="Calibri"/>
                <w:szCs w:val="22"/>
              </w:rPr>
              <w:t>part of a complete system, with a defined, self-consistent part functionality</w:t>
            </w:r>
          </w:p>
          <w:p w:rsidR="001C4C31" w:rsidRPr="00C2384D" w:rsidRDefault="001C4C31" w:rsidP="001C4C31">
            <w:pPr>
              <w:pStyle w:val="BodyText"/>
              <w:tabs>
                <w:tab w:val="left" w:pos="0"/>
              </w:tabs>
              <w:spacing w:line="276" w:lineRule="auto"/>
              <w:ind w:right="502"/>
              <w:jc w:val="both"/>
              <w:rPr>
                <w:rFonts w:eastAsia="Calibri"/>
                <w:b/>
                <w:bCs w:val="0"/>
                <w:sz w:val="24"/>
                <w:szCs w:val="22"/>
                <w:lang w:val="mn-MN"/>
              </w:rPr>
            </w:pPr>
            <w:r w:rsidRPr="00C2384D">
              <w:rPr>
                <w:rFonts w:eastAsia="Calibri"/>
                <w:b/>
                <w:bCs w:val="0"/>
                <w:sz w:val="24"/>
                <w:szCs w:val="22"/>
                <w:lang w:val="mn-MN"/>
              </w:rPr>
              <w:t>3.4 project</w:t>
            </w:r>
          </w:p>
          <w:p w:rsidR="001C4C31" w:rsidRPr="00C2384D" w:rsidRDefault="001C4C31" w:rsidP="001C4C31">
            <w:pPr>
              <w:tabs>
                <w:tab w:val="left" w:pos="0"/>
              </w:tabs>
              <w:ind w:left="0" w:firstLine="0"/>
              <w:rPr>
                <w:rFonts w:eastAsia="Calibri"/>
                <w:szCs w:val="22"/>
              </w:rPr>
            </w:pPr>
            <w:r w:rsidRPr="00C2384D">
              <w:rPr>
                <w:rFonts w:eastAsia="Calibri"/>
                <w:szCs w:val="22"/>
              </w:rPr>
              <w:t>system part with ownership of a set of IEDs, typically those located in one substation, and handled by one system configuration tool</w:t>
            </w:r>
          </w:p>
          <w:p w:rsidR="001C4C31" w:rsidRPr="00C2384D" w:rsidRDefault="001C4C31" w:rsidP="001C4C31">
            <w:pPr>
              <w:pStyle w:val="BodyText"/>
              <w:tabs>
                <w:tab w:val="left" w:pos="0"/>
              </w:tabs>
              <w:spacing w:line="276" w:lineRule="auto"/>
              <w:ind w:right="502"/>
              <w:jc w:val="both"/>
              <w:rPr>
                <w:rFonts w:eastAsia="Calibri"/>
                <w:b/>
                <w:bCs w:val="0"/>
                <w:sz w:val="24"/>
                <w:szCs w:val="22"/>
                <w:lang w:val="mn-MN"/>
              </w:rPr>
            </w:pPr>
            <w:r w:rsidRPr="00C2384D">
              <w:rPr>
                <w:rFonts w:eastAsia="Calibri"/>
                <w:b/>
                <w:bCs w:val="0"/>
                <w:sz w:val="24"/>
                <w:szCs w:val="22"/>
                <w:lang w:val="mn-MN"/>
              </w:rPr>
              <w:t>3.5 gateway</w:t>
            </w:r>
          </w:p>
          <w:p w:rsidR="001C4C31" w:rsidRPr="00C2384D" w:rsidRDefault="001C4C31" w:rsidP="001C4C31">
            <w:pPr>
              <w:tabs>
                <w:tab w:val="left" w:pos="0"/>
              </w:tabs>
              <w:ind w:left="0" w:firstLine="0"/>
              <w:rPr>
                <w:rFonts w:eastAsia="Calibri"/>
                <w:szCs w:val="22"/>
              </w:rPr>
            </w:pPr>
            <w:r w:rsidRPr="00C2384D">
              <w:rPr>
                <w:rFonts w:eastAsia="Calibri"/>
                <w:szCs w:val="22"/>
              </w:rPr>
              <w:t>internetworking system capable of allowing communications/information exchange between  two networks that use different communication protocols</w:t>
            </w:r>
          </w:p>
          <w:p w:rsidR="001C4C31" w:rsidRPr="00C2384D" w:rsidRDefault="001C4C31" w:rsidP="001C4C31">
            <w:pPr>
              <w:pStyle w:val="BodyText"/>
              <w:tabs>
                <w:tab w:val="left" w:pos="0"/>
              </w:tabs>
              <w:spacing w:line="276" w:lineRule="auto"/>
              <w:ind w:right="502"/>
              <w:jc w:val="both"/>
              <w:rPr>
                <w:rFonts w:eastAsia="Calibri"/>
                <w:b/>
                <w:bCs w:val="0"/>
                <w:sz w:val="24"/>
                <w:szCs w:val="22"/>
                <w:lang w:val="mn-MN"/>
              </w:rPr>
            </w:pPr>
            <w:r w:rsidRPr="00C2384D">
              <w:rPr>
                <w:rFonts w:eastAsia="Calibri"/>
                <w:b/>
                <w:bCs w:val="0"/>
                <w:sz w:val="24"/>
                <w:szCs w:val="22"/>
                <w:lang w:val="mn-MN"/>
              </w:rPr>
              <w:t>3.6 system</w:t>
            </w:r>
          </w:p>
          <w:p w:rsidR="001C4C31" w:rsidRPr="00C2384D" w:rsidRDefault="001C4C31" w:rsidP="001C4C31">
            <w:pPr>
              <w:tabs>
                <w:tab w:val="left" w:pos="0"/>
              </w:tabs>
              <w:ind w:left="0" w:firstLine="0"/>
              <w:rPr>
                <w:rFonts w:eastAsia="Calibri"/>
                <w:szCs w:val="22"/>
              </w:rPr>
            </w:pPr>
            <w:r w:rsidRPr="00C2384D">
              <w:rPr>
                <w:rFonts w:eastAsia="Calibri"/>
                <w:szCs w:val="22"/>
              </w:rPr>
              <w:t>union</w:t>
            </w:r>
            <w:r w:rsidRPr="00C2384D">
              <w:rPr>
                <w:rFonts w:eastAsia="Calibri"/>
                <w:szCs w:val="22"/>
              </w:rPr>
              <w:tab/>
              <w:t>of</w:t>
            </w:r>
            <w:r w:rsidRPr="00C2384D">
              <w:rPr>
                <w:rFonts w:eastAsia="Calibri"/>
                <w:szCs w:val="22"/>
              </w:rPr>
              <w:tab/>
              <w:t>all</w:t>
            </w:r>
            <w:r w:rsidRPr="00C2384D">
              <w:rPr>
                <w:rFonts w:eastAsia="Calibri"/>
                <w:szCs w:val="22"/>
              </w:rPr>
              <w:tab/>
              <w:t>communicating application-functions</w:t>
            </w:r>
            <w:r w:rsidRPr="00C2384D">
              <w:rPr>
                <w:rFonts w:eastAsia="Calibri"/>
                <w:szCs w:val="22"/>
              </w:rPr>
              <w:tab/>
              <w:t>performing some</w:t>
            </w:r>
            <w:r w:rsidRPr="00C2384D">
              <w:rPr>
                <w:rFonts w:eastAsia="Calibri"/>
                <w:szCs w:val="22"/>
              </w:rPr>
              <w:tab/>
              <w:t>overall</w:t>
            </w:r>
            <w:r w:rsidRPr="00C2384D">
              <w:rPr>
                <w:rFonts w:eastAsia="Calibri"/>
                <w:szCs w:val="22"/>
              </w:rPr>
              <w:tab/>
              <w:t>task</w:t>
            </w:r>
            <w:r w:rsidRPr="00C2384D">
              <w:rPr>
                <w:rFonts w:eastAsia="Calibri"/>
                <w:szCs w:val="22"/>
              </w:rPr>
              <w:tab/>
              <w:t>like “management of a substation”, via logical nodes</w:t>
            </w:r>
          </w:p>
          <w:p w:rsidR="001C4C31" w:rsidRPr="00C2384D" w:rsidRDefault="001C4C31" w:rsidP="001C4C31">
            <w:pPr>
              <w:tabs>
                <w:tab w:val="left" w:pos="0"/>
              </w:tabs>
              <w:ind w:left="0" w:firstLine="0"/>
              <w:rPr>
                <w:rFonts w:eastAsia="Calibri"/>
                <w:sz w:val="20"/>
                <w:szCs w:val="20"/>
              </w:rPr>
            </w:pPr>
            <w:r w:rsidRPr="00C2384D">
              <w:rPr>
                <w:rFonts w:eastAsia="Calibri"/>
                <w:sz w:val="20"/>
                <w:szCs w:val="20"/>
              </w:rPr>
              <w:t>Note 1 to entry: The physical system is composed of all devices hosting these functions and the interconnecting physical communication network.</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b/>
                <w:szCs w:val="22"/>
              </w:rPr>
            </w:pPr>
            <w:r w:rsidRPr="00C2384D">
              <w:rPr>
                <w:rFonts w:eastAsia="Calibri"/>
                <w:b/>
                <w:szCs w:val="22"/>
              </w:rPr>
              <w:t>4 Abbreviated terms</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The following abbreviations apply to this document.</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lastRenderedPageBreak/>
              <w:t>APDU</w:t>
            </w:r>
            <w:r w:rsidRPr="00C2384D">
              <w:rPr>
                <w:rFonts w:eastAsia="Calibri"/>
                <w:szCs w:val="22"/>
              </w:rPr>
              <w:tab/>
              <w:t xml:space="preserve">          Application Protocol Data Unit</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A-Profile</w:t>
            </w:r>
            <w:r w:rsidRPr="00C2384D">
              <w:rPr>
                <w:rFonts w:eastAsia="Calibri"/>
                <w:szCs w:val="22"/>
              </w:rPr>
              <w:tab/>
              <w:t>Application Profile</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CDC   </w:t>
            </w:r>
            <w:r w:rsidRPr="00C2384D">
              <w:rPr>
                <w:rFonts w:eastAsia="Calibri"/>
                <w:szCs w:val="22"/>
              </w:rPr>
              <w:tab/>
              <w:t>Common Data Class</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CID      </w:t>
            </w:r>
            <w:r w:rsidRPr="00C2384D">
              <w:rPr>
                <w:rFonts w:eastAsia="Calibri"/>
                <w:szCs w:val="22"/>
              </w:rPr>
              <w:tab/>
              <w:t>Configured IED Description</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CT</w:t>
            </w:r>
            <w:r w:rsidRPr="00C2384D">
              <w:rPr>
                <w:rFonts w:eastAsia="Calibri"/>
                <w:szCs w:val="22"/>
              </w:rPr>
              <w:tab/>
              <w:t xml:space="preserve">           Current Transformer</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DA      </w:t>
            </w:r>
            <w:r w:rsidRPr="00C2384D">
              <w:rPr>
                <w:rFonts w:eastAsia="Calibri"/>
                <w:szCs w:val="22"/>
              </w:rPr>
              <w:tab/>
              <w:t>Data archiver</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DNS    </w:t>
            </w:r>
            <w:r w:rsidRPr="00C2384D">
              <w:rPr>
                <w:rFonts w:eastAsia="Calibri"/>
                <w:szCs w:val="22"/>
              </w:rPr>
              <w:tab/>
              <w:t>Domain Name Service</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DSCP   </w:t>
            </w:r>
            <w:r w:rsidRPr="00C2384D">
              <w:rPr>
                <w:rFonts w:eastAsia="Calibri"/>
                <w:szCs w:val="22"/>
              </w:rPr>
              <w:tab/>
              <w:t>Differentiated Services Code Point</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ECN    </w:t>
            </w:r>
            <w:r w:rsidRPr="00C2384D">
              <w:rPr>
                <w:rFonts w:eastAsia="Calibri"/>
                <w:szCs w:val="22"/>
              </w:rPr>
              <w:tab/>
              <w:t>Explicit Congestion Notification</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EF</w:t>
            </w:r>
            <w:r w:rsidRPr="00C2384D">
              <w:rPr>
                <w:rFonts w:eastAsia="Calibri"/>
                <w:szCs w:val="22"/>
              </w:rPr>
              <w:tab/>
              <w:t xml:space="preserve">           Expedited Forwarding</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ESP    </w:t>
            </w:r>
            <w:r w:rsidRPr="00C2384D">
              <w:rPr>
                <w:rFonts w:eastAsia="Calibri"/>
                <w:szCs w:val="22"/>
              </w:rPr>
              <w:tab/>
              <w:t>Electronic Security Perimeter</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ET</w:t>
            </w:r>
            <w:r w:rsidRPr="00C2384D">
              <w:rPr>
                <w:rFonts w:eastAsia="Calibri"/>
                <w:szCs w:val="22"/>
              </w:rPr>
              <w:tab/>
              <w:t xml:space="preserve">           Event Trigger</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FACTS</w:t>
            </w:r>
            <w:r w:rsidRPr="00C2384D">
              <w:rPr>
                <w:rFonts w:eastAsia="Calibri"/>
                <w:szCs w:val="22"/>
              </w:rPr>
              <w:tab/>
              <w:t>Flexible Alternating Current Transmission Systems</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FC</w:t>
            </w:r>
            <w:r w:rsidRPr="00C2384D">
              <w:rPr>
                <w:rFonts w:eastAsia="Calibri"/>
                <w:szCs w:val="22"/>
              </w:rPr>
              <w:tab/>
              <w:t xml:space="preserve">           Functional constraint</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FCD    </w:t>
            </w:r>
            <w:r w:rsidRPr="00C2384D">
              <w:rPr>
                <w:rFonts w:eastAsia="Calibri"/>
                <w:szCs w:val="22"/>
              </w:rPr>
              <w:tab/>
              <w:t>Functionally Constrained Data</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FCDA </w:t>
            </w:r>
            <w:r w:rsidRPr="00C2384D">
              <w:rPr>
                <w:rFonts w:eastAsia="Calibri"/>
                <w:szCs w:val="22"/>
              </w:rPr>
              <w:tab/>
              <w:t>Functionally Constrained Data Attribute</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FSS    </w:t>
            </w:r>
            <w:r w:rsidRPr="00C2384D">
              <w:rPr>
                <w:rFonts w:eastAsia="Calibri"/>
                <w:szCs w:val="22"/>
              </w:rPr>
              <w:tab/>
              <w:t>Functional Software Specification</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GCM   </w:t>
            </w:r>
            <w:r w:rsidRPr="00C2384D">
              <w:rPr>
                <w:rFonts w:eastAsia="Calibri"/>
                <w:szCs w:val="22"/>
              </w:rPr>
              <w:tab/>
              <w:t>Galois Counter Mode</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GDOI   </w:t>
            </w:r>
            <w:r w:rsidRPr="00C2384D">
              <w:rPr>
                <w:rFonts w:eastAsia="Calibri"/>
                <w:szCs w:val="22"/>
              </w:rPr>
              <w:tab/>
              <w:t>Group Domain of Interpretation</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GMAC</w:t>
            </w:r>
            <w:r w:rsidRPr="00C2384D">
              <w:rPr>
                <w:rFonts w:eastAsia="Calibri"/>
                <w:szCs w:val="22"/>
              </w:rPr>
              <w:tab/>
              <w:t>Galois Message Authentication Code</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GoCB </w:t>
            </w:r>
            <w:r w:rsidRPr="00C2384D">
              <w:rPr>
                <w:rFonts w:eastAsia="Calibri"/>
                <w:szCs w:val="22"/>
              </w:rPr>
              <w:tab/>
              <w:t>GOOSE Control Block</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GOOSE</w:t>
            </w:r>
            <w:r w:rsidRPr="00C2384D">
              <w:rPr>
                <w:rFonts w:eastAsia="Calibri"/>
                <w:szCs w:val="22"/>
              </w:rPr>
              <w:tab/>
              <w:t xml:space="preserve">Generic Object Oriented Substation Event </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GW</w:t>
            </w:r>
            <w:r w:rsidRPr="00C2384D">
              <w:rPr>
                <w:rFonts w:eastAsia="Calibri"/>
                <w:szCs w:val="22"/>
              </w:rPr>
              <w:tab/>
              <w:t>Gateway</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HMI     </w:t>
            </w:r>
            <w:r w:rsidRPr="00C2384D">
              <w:rPr>
                <w:rFonts w:eastAsia="Calibri"/>
                <w:szCs w:val="22"/>
              </w:rPr>
              <w:tab/>
              <w:t>Human Machine Interface</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HW     </w:t>
            </w:r>
            <w:r w:rsidRPr="00C2384D">
              <w:rPr>
                <w:rFonts w:eastAsia="Calibri"/>
                <w:szCs w:val="22"/>
              </w:rPr>
              <w:tab/>
              <w:t>Hardware</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IANA   </w:t>
            </w:r>
            <w:r w:rsidRPr="00C2384D">
              <w:rPr>
                <w:rFonts w:eastAsia="Calibri"/>
                <w:szCs w:val="22"/>
              </w:rPr>
              <w:tab/>
              <w:t>Internet Assigned Numbers Authority</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ID</w:t>
            </w:r>
            <w:r w:rsidRPr="00C2384D">
              <w:rPr>
                <w:rFonts w:eastAsia="Calibri"/>
                <w:szCs w:val="22"/>
              </w:rPr>
              <w:tab/>
              <w:t xml:space="preserve">           Identification</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IED     </w:t>
            </w:r>
            <w:r w:rsidRPr="00C2384D">
              <w:rPr>
                <w:rFonts w:eastAsia="Calibri"/>
                <w:szCs w:val="22"/>
              </w:rPr>
              <w:tab/>
              <w:t>Intelligent Electronic Device – any programmable or configurable device in the system</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 IGMP </w:t>
            </w:r>
            <w:r w:rsidRPr="00C2384D">
              <w:rPr>
                <w:rFonts w:eastAsia="Calibri"/>
                <w:szCs w:val="22"/>
              </w:rPr>
              <w:tab/>
              <w:t>Internet Group Management Protocol</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lastRenderedPageBreak/>
              <w:t>IID</w:t>
            </w:r>
            <w:r w:rsidRPr="00C2384D">
              <w:rPr>
                <w:rFonts w:eastAsia="Calibri"/>
                <w:szCs w:val="22"/>
              </w:rPr>
              <w:tab/>
              <w:t xml:space="preserve">          IED Instance Description. Describes an IED instance in a project. IP</w:t>
            </w:r>
            <w:r w:rsidRPr="00C2384D">
              <w:rPr>
                <w:rFonts w:eastAsia="Calibri"/>
                <w:szCs w:val="22"/>
              </w:rPr>
              <w:tab/>
              <w:t>Internet Protocol</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IPv4    </w:t>
            </w:r>
            <w:r w:rsidRPr="00C2384D">
              <w:rPr>
                <w:rFonts w:eastAsia="Calibri"/>
                <w:szCs w:val="22"/>
              </w:rPr>
              <w:tab/>
              <w:t>Internet Protocol version 4</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IPv6    </w:t>
            </w:r>
            <w:r w:rsidRPr="00C2384D">
              <w:rPr>
                <w:rFonts w:eastAsia="Calibri"/>
                <w:szCs w:val="22"/>
              </w:rPr>
              <w:tab/>
              <w:t>Internet Protocol version 6</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KDC    </w:t>
            </w:r>
            <w:r w:rsidRPr="00C2384D">
              <w:rPr>
                <w:rFonts w:eastAsia="Calibri"/>
                <w:szCs w:val="22"/>
              </w:rPr>
              <w:tab/>
              <w:t>Key Distribution Center</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LAN    </w:t>
            </w:r>
            <w:r w:rsidRPr="00C2384D">
              <w:rPr>
                <w:rFonts w:eastAsia="Calibri"/>
                <w:szCs w:val="22"/>
              </w:rPr>
              <w:tab/>
              <w:t>Local area network</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LD</w:t>
            </w:r>
            <w:r w:rsidRPr="00C2384D">
              <w:rPr>
                <w:rFonts w:eastAsia="Calibri"/>
                <w:szCs w:val="22"/>
              </w:rPr>
              <w:tab/>
              <w:t xml:space="preserve">           Logical Device (IEC 61850)</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LI</w:t>
            </w:r>
            <w:r w:rsidRPr="00C2384D">
              <w:rPr>
                <w:rFonts w:eastAsia="Calibri"/>
                <w:szCs w:val="22"/>
              </w:rPr>
              <w:tab/>
              <w:t xml:space="preserve">           Length Identifier. This value contains the length of the SI or PI with </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whi ch it is  associated. </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LN</w:t>
            </w:r>
            <w:r w:rsidRPr="00C2384D">
              <w:rPr>
                <w:rFonts w:eastAsia="Calibri"/>
                <w:szCs w:val="22"/>
              </w:rPr>
              <w:tab/>
              <w:t xml:space="preserve">           Logical Node (IEC 61850)</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m</w:t>
            </w:r>
            <w:r w:rsidRPr="00C2384D">
              <w:rPr>
                <w:rFonts w:eastAsia="Calibri"/>
                <w:szCs w:val="22"/>
              </w:rPr>
              <w:tab/>
              <w:t xml:space="preserve">           Mandatory – shall be implemented</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MAC   </w:t>
            </w:r>
            <w:r w:rsidRPr="00C2384D">
              <w:rPr>
                <w:rFonts w:eastAsia="Calibri"/>
                <w:szCs w:val="22"/>
              </w:rPr>
              <w:tab/>
              <w:t>Media Access Control</w:t>
            </w:r>
          </w:p>
          <w:p w:rsidR="001C4C31" w:rsidRPr="00C2384D" w:rsidRDefault="001C4C31" w:rsidP="001C4C31">
            <w:pPr>
              <w:tabs>
                <w:tab w:val="left" w:pos="0"/>
              </w:tabs>
              <w:ind w:left="0" w:firstLine="0"/>
              <w:contextualSpacing/>
              <w:rPr>
                <w:rFonts w:eastAsia="Calibri"/>
                <w:szCs w:val="22"/>
              </w:rPr>
            </w:pPr>
            <w:r w:rsidRPr="00C2384D">
              <w:rPr>
                <w:rFonts w:eastAsia="Calibri"/>
                <w:szCs w:val="22"/>
              </w:rPr>
              <w:t xml:space="preserve">MSV   </w:t>
            </w:r>
            <w:r w:rsidRPr="00C2384D">
              <w:rPr>
                <w:rFonts w:eastAsia="Calibri"/>
                <w:szCs w:val="22"/>
              </w:rPr>
              <w:tab/>
              <w:t>Multicast Sampled Value</w:t>
            </w:r>
          </w:p>
          <w:p w:rsidR="001C4C31" w:rsidRPr="00C2384D" w:rsidRDefault="001C4C31" w:rsidP="001C4C31">
            <w:pPr>
              <w:tabs>
                <w:tab w:val="left" w:pos="0"/>
              </w:tabs>
              <w:ind w:left="0" w:firstLine="0"/>
              <w:rPr>
                <w:rFonts w:eastAsia="Calibri"/>
                <w:szCs w:val="22"/>
              </w:rPr>
            </w:pPr>
            <w:r w:rsidRPr="00C2384D">
              <w:rPr>
                <w:rFonts w:eastAsia="Calibri"/>
                <w:szCs w:val="22"/>
              </w:rPr>
              <w:t>MSVCB</w:t>
            </w:r>
            <w:r w:rsidRPr="00C2384D">
              <w:rPr>
                <w:rFonts w:eastAsia="Calibri"/>
                <w:szCs w:val="22"/>
              </w:rPr>
              <w:tab/>
              <w:t>Multicast Sampled Values Control Block</w:t>
            </w:r>
          </w:p>
          <w:p w:rsidR="001C4C31" w:rsidRPr="00C2384D" w:rsidRDefault="001C4C31" w:rsidP="001C4C31">
            <w:pPr>
              <w:pStyle w:val="BodyText"/>
              <w:tabs>
                <w:tab w:val="left" w:pos="0"/>
              </w:tabs>
              <w:spacing w:line="276" w:lineRule="auto"/>
              <w:ind w:right="502"/>
              <w:jc w:val="both"/>
              <w:rPr>
                <w:rFonts w:eastAsia="Calibri"/>
                <w:bCs w:val="0"/>
                <w:sz w:val="24"/>
                <w:szCs w:val="22"/>
                <w:lang w:val="mn-MN"/>
              </w:rPr>
            </w:pPr>
            <w:r w:rsidRPr="00C2384D">
              <w:rPr>
                <w:rFonts w:eastAsia="Calibri"/>
                <w:bCs w:val="0"/>
                <w:sz w:val="24"/>
                <w:szCs w:val="22"/>
                <w:lang w:val="mn-MN"/>
              </w:rPr>
              <w:t>OOS             Out-of-step</w:t>
            </w:r>
          </w:p>
          <w:p w:rsidR="001C4C31" w:rsidRPr="00C2384D" w:rsidRDefault="001C4C31" w:rsidP="001C4C31">
            <w:pPr>
              <w:pStyle w:val="BodyText"/>
              <w:tabs>
                <w:tab w:val="left" w:pos="0"/>
              </w:tabs>
              <w:spacing w:line="276" w:lineRule="auto"/>
              <w:ind w:right="502"/>
              <w:jc w:val="both"/>
              <w:rPr>
                <w:rFonts w:eastAsia="Calibri"/>
                <w:bCs w:val="0"/>
                <w:sz w:val="24"/>
                <w:szCs w:val="22"/>
                <w:lang w:val="mn-MN"/>
              </w:rPr>
            </w:pPr>
            <w:r w:rsidRPr="00C2384D">
              <w:rPr>
                <w:rFonts w:eastAsia="Calibri"/>
                <w:bCs w:val="0"/>
                <w:sz w:val="24"/>
                <w:szCs w:val="22"/>
                <w:lang w:val="mn-MN"/>
              </w:rPr>
              <w:t>ORG             Originator</w:t>
            </w:r>
          </w:p>
          <w:p w:rsidR="001C4C31" w:rsidRPr="00C2384D" w:rsidRDefault="001C4C31" w:rsidP="001C4C31">
            <w:pPr>
              <w:tabs>
                <w:tab w:val="left" w:pos="0"/>
              </w:tabs>
              <w:ind w:left="0" w:firstLine="0"/>
              <w:rPr>
                <w:rFonts w:eastAsia="Calibri"/>
                <w:szCs w:val="22"/>
              </w:rPr>
            </w:pPr>
            <w:r w:rsidRPr="00C2384D">
              <w:rPr>
                <w:rFonts w:eastAsia="Calibri"/>
                <w:szCs w:val="22"/>
              </w:rPr>
              <w:t>OSI               Open System Interconnect</w:t>
            </w:r>
          </w:p>
          <w:p w:rsidR="001C4C31" w:rsidRPr="00C2384D" w:rsidRDefault="001C4C31" w:rsidP="001C4C31">
            <w:pPr>
              <w:tabs>
                <w:tab w:val="left" w:pos="0"/>
              </w:tabs>
              <w:ind w:left="0" w:firstLine="0"/>
              <w:rPr>
                <w:rFonts w:eastAsia="Calibri"/>
                <w:szCs w:val="22"/>
              </w:rPr>
            </w:pPr>
            <w:r w:rsidRPr="00C2384D">
              <w:rPr>
                <w:rFonts w:eastAsia="Calibri"/>
                <w:szCs w:val="22"/>
              </w:rPr>
              <w:t>PDC              Phasor Data Concentrator</w:t>
            </w:r>
          </w:p>
          <w:p w:rsidR="001C4C31" w:rsidRPr="00C2384D" w:rsidRDefault="001C4C31" w:rsidP="001C4C31">
            <w:pPr>
              <w:tabs>
                <w:tab w:val="left" w:pos="0"/>
              </w:tabs>
              <w:ind w:left="0" w:firstLine="0"/>
              <w:rPr>
                <w:rFonts w:eastAsia="Calibri"/>
                <w:szCs w:val="22"/>
              </w:rPr>
            </w:pPr>
            <w:r w:rsidRPr="00C2384D">
              <w:rPr>
                <w:rFonts w:eastAsia="Calibri"/>
                <w:szCs w:val="22"/>
              </w:rPr>
              <w:t>PI          Parameter Identifier. This identifier is used to identify a specific session protocol parameter.</w:t>
            </w:r>
          </w:p>
          <w:p w:rsidR="001C4C31" w:rsidRPr="00C2384D" w:rsidRDefault="001C4C31" w:rsidP="001C4C31">
            <w:pPr>
              <w:tabs>
                <w:tab w:val="left" w:pos="0"/>
              </w:tabs>
              <w:ind w:left="0" w:firstLine="0"/>
              <w:rPr>
                <w:rFonts w:eastAsia="Calibri"/>
                <w:szCs w:val="22"/>
              </w:rPr>
            </w:pPr>
            <w:r w:rsidRPr="00C2384D">
              <w:rPr>
                <w:rFonts w:eastAsia="Calibri"/>
                <w:szCs w:val="22"/>
              </w:rPr>
              <w:t>PICS  Protocol Conformance Implementation Statement</w:t>
            </w:r>
          </w:p>
          <w:p w:rsidR="001C4C31" w:rsidRPr="00C2384D" w:rsidRDefault="001C4C31" w:rsidP="001C4C31">
            <w:pPr>
              <w:tabs>
                <w:tab w:val="left" w:pos="0"/>
              </w:tabs>
              <w:ind w:left="0" w:firstLine="0"/>
              <w:rPr>
                <w:rFonts w:eastAsia="Calibri"/>
                <w:szCs w:val="22"/>
              </w:rPr>
            </w:pPr>
            <w:r w:rsidRPr="00C2384D">
              <w:rPr>
                <w:rFonts w:eastAsia="Calibri"/>
                <w:szCs w:val="22"/>
              </w:rPr>
              <w:t>PMU               Phasor Measurement Unit</w:t>
            </w:r>
          </w:p>
          <w:p w:rsidR="001C4C31" w:rsidRPr="00C2384D" w:rsidRDefault="001C4C31" w:rsidP="001C4C31">
            <w:pPr>
              <w:tabs>
                <w:tab w:val="left" w:pos="0"/>
              </w:tabs>
              <w:ind w:left="0" w:firstLine="0"/>
              <w:rPr>
                <w:rFonts w:eastAsia="Calibri"/>
                <w:szCs w:val="22"/>
              </w:rPr>
            </w:pPr>
            <w:r w:rsidRPr="00C2384D">
              <w:rPr>
                <w:rFonts w:eastAsia="Calibri"/>
                <w:szCs w:val="22"/>
              </w:rPr>
              <w:t>POP               Proof of Possession</w:t>
            </w:r>
          </w:p>
          <w:p w:rsidR="001C4C31" w:rsidRPr="00C2384D" w:rsidRDefault="001C4C31" w:rsidP="001C4C31">
            <w:pPr>
              <w:tabs>
                <w:tab w:val="left" w:pos="0"/>
              </w:tabs>
              <w:ind w:left="0" w:firstLine="0"/>
              <w:rPr>
                <w:rFonts w:eastAsia="Calibri"/>
                <w:szCs w:val="22"/>
              </w:rPr>
            </w:pPr>
            <w:r w:rsidRPr="00C2384D">
              <w:rPr>
                <w:rFonts w:eastAsia="Calibri"/>
                <w:szCs w:val="22"/>
              </w:rPr>
              <w:t>PSP                  Physical Security Perimeter</w:t>
            </w:r>
          </w:p>
          <w:p w:rsidR="001C4C31" w:rsidRPr="00C2384D" w:rsidRDefault="001C4C31" w:rsidP="001C4C31">
            <w:pPr>
              <w:tabs>
                <w:tab w:val="left" w:pos="0"/>
              </w:tabs>
              <w:ind w:left="0" w:firstLine="0"/>
              <w:rPr>
                <w:rFonts w:eastAsia="Calibri"/>
                <w:szCs w:val="22"/>
              </w:rPr>
            </w:pPr>
            <w:r w:rsidRPr="00C2384D">
              <w:rPr>
                <w:rFonts w:eastAsia="Calibri"/>
                <w:szCs w:val="22"/>
              </w:rPr>
              <w:t>R                   Readable</w:t>
            </w:r>
          </w:p>
          <w:p w:rsidR="001C4C31" w:rsidRPr="00C2384D" w:rsidRDefault="001C4C31" w:rsidP="001C4C31">
            <w:pPr>
              <w:tabs>
                <w:tab w:val="left" w:pos="0"/>
              </w:tabs>
              <w:ind w:left="0" w:firstLine="0"/>
              <w:rPr>
                <w:rFonts w:eastAsia="Calibri"/>
                <w:szCs w:val="22"/>
              </w:rPr>
            </w:pPr>
            <w:r w:rsidRPr="00C2384D">
              <w:rPr>
                <w:rFonts w:eastAsia="Calibri"/>
                <w:szCs w:val="22"/>
              </w:rPr>
              <w:t>RAS             Remedial Action Scheme</w:t>
            </w:r>
          </w:p>
          <w:p w:rsidR="001C4C31" w:rsidRPr="00C2384D" w:rsidRDefault="001C4C31" w:rsidP="001C4C31">
            <w:pPr>
              <w:tabs>
                <w:tab w:val="left" w:pos="0"/>
              </w:tabs>
              <w:ind w:left="0" w:firstLine="0"/>
              <w:rPr>
                <w:rFonts w:eastAsia="Calibri"/>
                <w:szCs w:val="22"/>
              </w:rPr>
            </w:pPr>
            <w:r w:rsidRPr="00C2384D">
              <w:rPr>
                <w:rFonts w:eastAsia="Calibri"/>
                <w:szCs w:val="22"/>
              </w:rPr>
              <w:t>SA                Substation Automation</w:t>
            </w:r>
          </w:p>
          <w:p w:rsidR="001C4C31" w:rsidRPr="00C2384D" w:rsidRDefault="001C4C31" w:rsidP="001C4C31">
            <w:pPr>
              <w:tabs>
                <w:tab w:val="left" w:pos="0"/>
              </w:tabs>
              <w:ind w:left="0" w:firstLine="0"/>
              <w:rPr>
                <w:rFonts w:eastAsia="Calibri"/>
                <w:szCs w:val="22"/>
              </w:rPr>
            </w:pPr>
            <w:r w:rsidRPr="00C2384D">
              <w:rPr>
                <w:rFonts w:eastAsia="Calibri"/>
                <w:szCs w:val="22"/>
              </w:rPr>
              <w:t>SCD     System Configuration Description in the sense of 61850-6. Output of a system tool of a project   to configure the IEDs belonging to the project (imported by IED tools).</w:t>
            </w:r>
          </w:p>
          <w:p w:rsidR="001C4C31" w:rsidRPr="00C2384D" w:rsidRDefault="001C4C31" w:rsidP="001C4C31">
            <w:pPr>
              <w:tabs>
                <w:tab w:val="left" w:pos="0"/>
              </w:tabs>
              <w:ind w:left="0" w:firstLine="0"/>
              <w:rPr>
                <w:rFonts w:eastAsia="Calibri"/>
                <w:szCs w:val="22"/>
              </w:rPr>
            </w:pPr>
            <w:r w:rsidRPr="00C2384D">
              <w:rPr>
                <w:rFonts w:eastAsia="Calibri"/>
                <w:szCs w:val="22"/>
              </w:rPr>
              <w:t>SCL Substation Configuration description Language according to IEC 61850</w:t>
            </w:r>
          </w:p>
          <w:p w:rsidR="001C4C31" w:rsidRPr="00C2384D" w:rsidRDefault="001C4C31" w:rsidP="001C4C31">
            <w:pPr>
              <w:tabs>
                <w:tab w:val="left" w:pos="0"/>
              </w:tabs>
              <w:ind w:left="0" w:firstLine="0"/>
              <w:rPr>
                <w:rFonts w:eastAsia="Calibri"/>
                <w:szCs w:val="22"/>
              </w:rPr>
            </w:pPr>
            <w:r w:rsidRPr="00C2384D">
              <w:rPr>
                <w:rFonts w:eastAsia="Calibri"/>
                <w:szCs w:val="22"/>
              </w:rPr>
              <w:t>SDH       Synchronous Digital Hierarchy</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SED       System Exchange Description: an SCL file containing a part of a system </w:t>
            </w:r>
            <w:r w:rsidRPr="00C2384D">
              <w:rPr>
                <w:rFonts w:eastAsia="Calibri"/>
                <w:szCs w:val="22"/>
              </w:rPr>
              <w:lastRenderedPageBreak/>
              <w:t>for exchange of interfacing and responsibility data between projects</w:t>
            </w:r>
          </w:p>
          <w:p w:rsidR="001C4C31" w:rsidRPr="00C2384D" w:rsidRDefault="001C4C31" w:rsidP="001C4C31">
            <w:pPr>
              <w:tabs>
                <w:tab w:val="left" w:pos="0"/>
              </w:tabs>
              <w:ind w:left="0" w:firstLine="0"/>
              <w:rPr>
                <w:rFonts w:eastAsia="Calibri"/>
                <w:szCs w:val="22"/>
              </w:rPr>
            </w:pPr>
            <w:r w:rsidRPr="00C2384D">
              <w:rPr>
                <w:rFonts w:eastAsia="Calibri"/>
                <w:szCs w:val="22"/>
              </w:rPr>
              <w:t>SEQ      Sequence</w:t>
            </w:r>
          </w:p>
          <w:p w:rsidR="001C4C31" w:rsidRPr="00C2384D" w:rsidRDefault="001C4C31" w:rsidP="001C4C31">
            <w:pPr>
              <w:tabs>
                <w:tab w:val="left" w:pos="0"/>
              </w:tabs>
              <w:ind w:left="0" w:firstLine="0"/>
              <w:rPr>
                <w:rFonts w:eastAsia="Calibri"/>
                <w:szCs w:val="22"/>
              </w:rPr>
            </w:pPr>
            <w:r w:rsidRPr="00C2384D">
              <w:rPr>
                <w:rFonts w:eastAsia="Calibri"/>
                <w:szCs w:val="22"/>
              </w:rPr>
              <w:t>SI             Session Identifier. This identifier is used to identify the session protocol that is in use.</w:t>
            </w:r>
          </w:p>
          <w:p w:rsidR="001C4C31" w:rsidRPr="00C2384D" w:rsidRDefault="001C4C31" w:rsidP="001C4C31">
            <w:pPr>
              <w:tabs>
                <w:tab w:val="left" w:pos="0"/>
              </w:tabs>
              <w:ind w:left="0" w:firstLine="0"/>
              <w:rPr>
                <w:rFonts w:eastAsia="Calibri"/>
                <w:szCs w:val="22"/>
              </w:rPr>
            </w:pPr>
            <w:r w:rsidRPr="00C2384D">
              <w:rPr>
                <w:rFonts w:eastAsia="Calibri"/>
                <w:szCs w:val="22"/>
              </w:rPr>
              <w:t>SIPS  System Integrity Protection Scheme</w:t>
            </w:r>
          </w:p>
          <w:p w:rsidR="001C4C31" w:rsidRPr="00C2384D" w:rsidRDefault="001C4C31" w:rsidP="001C4C31">
            <w:pPr>
              <w:tabs>
                <w:tab w:val="left" w:pos="0"/>
              </w:tabs>
              <w:ind w:left="0" w:firstLine="0"/>
              <w:rPr>
                <w:rFonts w:eastAsia="Calibri"/>
                <w:szCs w:val="22"/>
              </w:rPr>
            </w:pPr>
            <w:r w:rsidRPr="00C2384D">
              <w:rPr>
                <w:rFonts w:eastAsia="Calibri"/>
                <w:szCs w:val="22"/>
              </w:rPr>
              <w:t>SONET   Synchronous Optical NETwork</w:t>
            </w:r>
          </w:p>
          <w:p w:rsidR="001C4C31" w:rsidRPr="00C2384D" w:rsidRDefault="001C4C31" w:rsidP="001C4C31">
            <w:pPr>
              <w:tabs>
                <w:tab w:val="left" w:pos="0"/>
              </w:tabs>
              <w:ind w:left="0" w:firstLine="0"/>
              <w:rPr>
                <w:rFonts w:eastAsia="Calibri"/>
                <w:szCs w:val="22"/>
              </w:rPr>
            </w:pPr>
            <w:r w:rsidRPr="00C2384D">
              <w:rPr>
                <w:rFonts w:eastAsia="Calibri"/>
                <w:szCs w:val="22"/>
              </w:rPr>
              <w:t>SP      Synchrophasor</w:t>
            </w:r>
          </w:p>
          <w:p w:rsidR="001C4C31" w:rsidRPr="00C2384D" w:rsidRDefault="001C4C31" w:rsidP="001C4C31">
            <w:pPr>
              <w:tabs>
                <w:tab w:val="left" w:pos="0"/>
              </w:tabs>
              <w:ind w:left="0" w:firstLine="0"/>
              <w:rPr>
                <w:rFonts w:eastAsia="Calibri"/>
                <w:szCs w:val="22"/>
              </w:rPr>
            </w:pPr>
            <w:r w:rsidRPr="00C2384D">
              <w:rPr>
                <w:rFonts w:eastAsia="Calibri"/>
                <w:szCs w:val="22"/>
              </w:rPr>
              <w:t>ssPDC Substation Phasor Data Concentrator</w:t>
            </w:r>
          </w:p>
          <w:p w:rsidR="001C4C31" w:rsidRPr="00C2384D" w:rsidRDefault="001C4C31" w:rsidP="001C4C31">
            <w:pPr>
              <w:tabs>
                <w:tab w:val="left" w:pos="0"/>
              </w:tabs>
              <w:ind w:left="0" w:firstLine="0"/>
              <w:rPr>
                <w:rFonts w:eastAsia="Calibri"/>
                <w:szCs w:val="22"/>
              </w:rPr>
            </w:pPr>
            <w:r w:rsidRPr="00C2384D">
              <w:rPr>
                <w:rFonts w:eastAsia="Calibri"/>
                <w:szCs w:val="22"/>
              </w:rPr>
              <w:t>SPDU   Session Protocol Data Unit</w:t>
            </w:r>
          </w:p>
          <w:p w:rsidR="001C4C31" w:rsidRPr="00C2384D" w:rsidRDefault="001C4C31" w:rsidP="001C4C31">
            <w:pPr>
              <w:tabs>
                <w:tab w:val="left" w:pos="0"/>
              </w:tabs>
              <w:ind w:left="0" w:firstLine="0"/>
              <w:rPr>
                <w:rFonts w:eastAsia="Calibri"/>
                <w:szCs w:val="22"/>
              </w:rPr>
            </w:pPr>
            <w:r w:rsidRPr="00C2384D">
              <w:rPr>
                <w:rFonts w:eastAsia="Calibri"/>
                <w:szCs w:val="22"/>
              </w:rPr>
              <w:t>SPS     Special Protection Scheme</w:t>
            </w:r>
          </w:p>
          <w:p w:rsidR="001C4C31" w:rsidRPr="00C2384D" w:rsidRDefault="001C4C31" w:rsidP="001C4C31">
            <w:pPr>
              <w:tabs>
                <w:tab w:val="left" w:pos="0"/>
              </w:tabs>
              <w:ind w:left="0" w:firstLine="0"/>
              <w:rPr>
                <w:rFonts w:eastAsia="Calibri"/>
                <w:szCs w:val="22"/>
              </w:rPr>
            </w:pPr>
            <w:r w:rsidRPr="00C2384D">
              <w:rPr>
                <w:rFonts w:eastAsia="Calibri"/>
                <w:szCs w:val="22"/>
              </w:rPr>
              <w:t>SS   Substation System</w:t>
            </w:r>
          </w:p>
          <w:p w:rsidR="001C4C31" w:rsidRPr="00C2384D" w:rsidRDefault="001C4C31" w:rsidP="001C4C31">
            <w:pPr>
              <w:tabs>
                <w:tab w:val="left" w:pos="0"/>
              </w:tabs>
              <w:ind w:left="0" w:firstLine="0"/>
              <w:rPr>
                <w:rFonts w:eastAsia="Calibri"/>
                <w:szCs w:val="22"/>
              </w:rPr>
            </w:pPr>
            <w:r w:rsidRPr="00C2384D">
              <w:rPr>
                <w:rFonts w:eastAsia="Calibri"/>
                <w:szCs w:val="22"/>
              </w:rPr>
              <w:t>SSDU  Session Service Data Unit</w:t>
            </w:r>
          </w:p>
          <w:p w:rsidR="001C4C31" w:rsidRPr="00C2384D" w:rsidRDefault="001C4C31" w:rsidP="001C4C31">
            <w:pPr>
              <w:tabs>
                <w:tab w:val="left" w:pos="0"/>
              </w:tabs>
              <w:ind w:left="0" w:firstLine="0"/>
              <w:rPr>
                <w:rFonts w:eastAsia="Calibri"/>
                <w:szCs w:val="22"/>
              </w:rPr>
            </w:pPr>
            <w:r w:rsidRPr="00C2384D">
              <w:rPr>
                <w:rFonts w:eastAsia="Calibri"/>
                <w:szCs w:val="22"/>
              </w:rPr>
              <w:t>SV  Sampled Values</w:t>
            </w:r>
          </w:p>
          <w:p w:rsidR="001C4C31" w:rsidRPr="00C2384D" w:rsidRDefault="001C4C31" w:rsidP="001C4C31">
            <w:pPr>
              <w:tabs>
                <w:tab w:val="left" w:pos="0"/>
              </w:tabs>
              <w:ind w:left="0" w:firstLine="0"/>
              <w:rPr>
                <w:rFonts w:eastAsia="Calibri"/>
                <w:szCs w:val="22"/>
              </w:rPr>
            </w:pPr>
            <w:r w:rsidRPr="00C2384D">
              <w:rPr>
                <w:rFonts w:eastAsia="Calibri"/>
                <w:szCs w:val="22"/>
              </w:rPr>
              <w:t>SVCB   Sampled Value control block; here used to send synchrophasor data periodically</w:t>
            </w:r>
          </w:p>
          <w:p w:rsidR="001C4C31" w:rsidRPr="00C2384D" w:rsidRDefault="001C4C31" w:rsidP="001C4C31">
            <w:pPr>
              <w:tabs>
                <w:tab w:val="left" w:pos="0"/>
              </w:tabs>
              <w:ind w:left="0" w:firstLine="0"/>
              <w:rPr>
                <w:rFonts w:eastAsia="Calibri"/>
                <w:szCs w:val="22"/>
              </w:rPr>
            </w:pPr>
            <w:r w:rsidRPr="00C2384D">
              <w:rPr>
                <w:rFonts w:eastAsia="Calibri"/>
                <w:szCs w:val="22"/>
              </w:rPr>
              <w:t>R-SV  Routable Sampled Value service via UDP</w:t>
            </w:r>
          </w:p>
          <w:p w:rsidR="001C4C31" w:rsidRPr="00C2384D" w:rsidRDefault="001C4C31" w:rsidP="001C4C31">
            <w:pPr>
              <w:tabs>
                <w:tab w:val="left" w:pos="0"/>
              </w:tabs>
              <w:ind w:left="0" w:firstLine="0"/>
              <w:rPr>
                <w:rFonts w:eastAsia="Calibri"/>
                <w:szCs w:val="22"/>
              </w:rPr>
            </w:pPr>
            <w:r w:rsidRPr="00C2384D">
              <w:rPr>
                <w:rFonts w:eastAsia="Calibri"/>
                <w:szCs w:val="22"/>
              </w:rPr>
              <w:t>R-GOOSE Routable GOOSE via UDP</w:t>
            </w:r>
          </w:p>
          <w:p w:rsidR="001C4C31" w:rsidRPr="00C2384D" w:rsidRDefault="001C4C31" w:rsidP="001C4C31">
            <w:pPr>
              <w:tabs>
                <w:tab w:val="left" w:pos="0"/>
              </w:tabs>
              <w:ind w:left="0" w:firstLine="0"/>
              <w:rPr>
                <w:rFonts w:eastAsia="Calibri"/>
                <w:szCs w:val="22"/>
              </w:rPr>
            </w:pPr>
            <w:r w:rsidRPr="00C2384D">
              <w:rPr>
                <w:rFonts w:eastAsia="Calibri"/>
                <w:szCs w:val="22"/>
              </w:rPr>
              <w:t>SW   Software</w:t>
            </w:r>
          </w:p>
          <w:p w:rsidR="001C4C31" w:rsidRPr="00C2384D" w:rsidRDefault="001C4C31" w:rsidP="001C4C31">
            <w:pPr>
              <w:tabs>
                <w:tab w:val="left" w:pos="0"/>
              </w:tabs>
              <w:ind w:left="0" w:firstLine="0"/>
              <w:rPr>
                <w:rFonts w:eastAsia="Calibri"/>
                <w:szCs w:val="22"/>
              </w:rPr>
            </w:pPr>
            <w:r w:rsidRPr="00C2384D">
              <w:rPr>
                <w:rFonts w:eastAsia="Calibri"/>
                <w:szCs w:val="22"/>
              </w:rPr>
              <w:t>TAI   International Atomic Time (TAI, from the French name Temps Atomique International).</w:t>
            </w:r>
          </w:p>
          <w:p w:rsidR="001C4C31" w:rsidRPr="00C2384D" w:rsidRDefault="001C4C31" w:rsidP="001C4C31">
            <w:pPr>
              <w:tabs>
                <w:tab w:val="left" w:pos="0"/>
              </w:tabs>
              <w:ind w:left="0" w:firstLine="0"/>
              <w:rPr>
                <w:rFonts w:eastAsia="Calibri"/>
                <w:szCs w:val="22"/>
              </w:rPr>
            </w:pPr>
            <w:r w:rsidRPr="00C2384D">
              <w:rPr>
                <w:rFonts w:eastAsia="Calibri"/>
                <w:szCs w:val="22"/>
              </w:rPr>
              <w:t>TCI  Tag Control Information</w:t>
            </w:r>
          </w:p>
          <w:p w:rsidR="001C4C31" w:rsidRPr="00C2384D" w:rsidRDefault="001C4C31" w:rsidP="001C4C31">
            <w:pPr>
              <w:tabs>
                <w:tab w:val="left" w:pos="0"/>
              </w:tabs>
              <w:ind w:left="0" w:firstLine="0"/>
              <w:rPr>
                <w:rFonts w:eastAsia="Calibri"/>
                <w:szCs w:val="22"/>
              </w:rPr>
            </w:pPr>
            <w:r w:rsidRPr="00C2384D">
              <w:rPr>
                <w:rFonts w:eastAsia="Calibri"/>
                <w:szCs w:val="22"/>
              </w:rPr>
              <w:t>TCP   Transmission Control Protocol</w:t>
            </w:r>
          </w:p>
          <w:p w:rsidR="001C4C31" w:rsidRPr="00C2384D" w:rsidRDefault="001C4C31" w:rsidP="001C4C31">
            <w:pPr>
              <w:tabs>
                <w:tab w:val="left" w:pos="0"/>
              </w:tabs>
              <w:ind w:left="0" w:firstLine="0"/>
              <w:rPr>
                <w:rFonts w:eastAsia="Calibri"/>
                <w:szCs w:val="22"/>
              </w:rPr>
            </w:pPr>
            <w:r w:rsidRPr="00C2384D">
              <w:rPr>
                <w:rFonts w:eastAsia="Calibri"/>
                <w:szCs w:val="22"/>
              </w:rPr>
              <w:t>TOS Type of Service</w:t>
            </w:r>
          </w:p>
          <w:p w:rsidR="001C4C31" w:rsidRPr="00C2384D" w:rsidRDefault="001C4C31" w:rsidP="001C4C31">
            <w:pPr>
              <w:tabs>
                <w:tab w:val="left" w:pos="0"/>
              </w:tabs>
              <w:ind w:left="0" w:firstLine="0"/>
              <w:rPr>
                <w:rFonts w:eastAsia="Calibri"/>
                <w:szCs w:val="22"/>
              </w:rPr>
            </w:pPr>
            <w:r w:rsidRPr="00C2384D">
              <w:rPr>
                <w:rFonts w:eastAsia="Calibri"/>
                <w:szCs w:val="22"/>
              </w:rPr>
              <w:t>TPDU  Transport Protocol Data Unit</w:t>
            </w:r>
          </w:p>
          <w:p w:rsidR="001C4C31" w:rsidRPr="00C2384D" w:rsidRDefault="001C4C31" w:rsidP="001C4C31">
            <w:pPr>
              <w:tabs>
                <w:tab w:val="left" w:pos="0"/>
              </w:tabs>
              <w:ind w:left="0" w:firstLine="0"/>
              <w:rPr>
                <w:rFonts w:eastAsia="Calibri"/>
                <w:szCs w:val="22"/>
              </w:rPr>
            </w:pPr>
            <w:r w:rsidRPr="00C2384D">
              <w:rPr>
                <w:rFonts w:eastAsia="Calibri"/>
                <w:szCs w:val="22"/>
              </w:rPr>
              <w:t>TPID Tag Protocol Identifier (for IEEE 802.1Q networks)</w:t>
            </w:r>
          </w:p>
          <w:p w:rsidR="001C4C31" w:rsidRPr="00C2384D" w:rsidRDefault="001C4C31" w:rsidP="001C4C31">
            <w:pPr>
              <w:tabs>
                <w:tab w:val="left" w:pos="0"/>
              </w:tabs>
              <w:ind w:left="0" w:firstLine="0"/>
              <w:rPr>
                <w:rFonts w:eastAsia="Calibri"/>
                <w:szCs w:val="22"/>
              </w:rPr>
            </w:pPr>
            <w:r w:rsidRPr="00C2384D">
              <w:rPr>
                <w:rFonts w:eastAsia="Calibri"/>
                <w:szCs w:val="22"/>
              </w:rPr>
              <w:t>T-Profile  Transport Profile</w:t>
            </w:r>
          </w:p>
          <w:p w:rsidR="001C4C31" w:rsidRPr="00C2384D" w:rsidRDefault="001C4C31" w:rsidP="001C4C31">
            <w:pPr>
              <w:tabs>
                <w:tab w:val="left" w:pos="0"/>
              </w:tabs>
              <w:ind w:left="0" w:firstLine="0"/>
              <w:rPr>
                <w:rFonts w:eastAsia="Calibri"/>
                <w:szCs w:val="22"/>
              </w:rPr>
            </w:pPr>
            <w:r w:rsidRPr="00C2384D">
              <w:rPr>
                <w:rFonts w:eastAsia="Calibri"/>
                <w:szCs w:val="22"/>
              </w:rPr>
              <w:t>TSAP Transport Service Access Point</w:t>
            </w:r>
          </w:p>
          <w:p w:rsidR="001C4C31" w:rsidRPr="00C2384D" w:rsidRDefault="001C4C31" w:rsidP="001C4C31">
            <w:pPr>
              <w:tabs>
                <w:tab w:val="left" w:pos="0"/>
              </w:tabs>
              <w:ind w:left="0" w:firstLine="0"/>
              <w:rPr>
                <w:rFonts w:eastAsia="Calibri"/>
                <w:szCs w:val="22"/>
              </w:rPr>
            </w:pPr>
            <w:r w:rsidRPr="00C2384D">
              <w:rPr>
                <w:rFonts w:eastAsia="Calibri"/>
                <w:szCs w:val="22"/>
              </w:rPr>
              <w:t>TSDU  Transport Service Data Unit</w:t>
            </w:r>
          </w:p>
          <w:p w:rsidR="001C4C31" w:rsidRPr="00C2384D" w:rsidRDefault="001C4C31" w:rsidP="001C4C31">
            <w:pPr>
              <w:tabs>
                <w:tab w:val="left" w:pos="0"/>
              </w:tabs>
              <w:ind w:left="0" w:firstLine="0"/>
              <w:rPr>
                <w:rFonts w:eastAsia="Calibri"/>
                <w:szCs w:val="22"/>
              </w:rPr>
            </w:pPr>
            <w:r w:rsidRPr="00C2384D">
              <w:rPr>
                <w:rFonts w:eastAsia="Calibri"/>
                <w:szCs w:val="22"/>
              </w:rPr>
              <w:t>TSEL Transport Selector</w:t>
            </w:r>
          </w:p>
          <w:p w:rsidR="001C4C31" w:rsidRPr="00C2384D" w:rsidRDefault="001C4C31" w:rsidP="001C4C31">
            <w:pPr>
              <w:tabs>
                <w:tab w:val="left" w:pos="0"/>
              </w:tabs>
              <w:ind w:left="0" w:firstLine="0"/>
              <w:rPr>
                <w:rFonts w:eastAsia="Calibri"/>
                <w:szCs w:val="22"/>
              </w:rPr>
            </w:pPr>
            <w:r w:rsidRPr="00C2384D">
              <w:rPr>
                <w:rFonts w:eastAsia="Calibri"/>
                <w:szCs w:val="22"/>
              </w:rPr>
              <w:t>UDP  User Datagram Protocol</w:t>
            </w:r>
          </w:p>
          <w:p w:rsidR="001C4C31" w:rsidRPr="00C2384D" w:rsidRDefault="001C4C31" w:rsidP="001C4C31">
            <w:pPr>
              <w:tabs>
                <w:tab w:val="left" w:pos="0"/>
              </w:tabs>
              <w:ind w:left="0" w:firstLine="0"/>
              <w:rPr>
                <w:rFonts w:eastAsia="Calibri"/>
                <w:szCs w:val="22"/>
              </w:rPr>
            </w:pPr>
            <w:r w:rsidRPr="00C2384D">
              <w:rPr>
                <w:rFonts w:eastAsia="Calibri"/>
                <w:szCs w:val="22"/>
              </w:rPr>
              <w:t>VT  Voltage Transformer. Also known as a Potential Transformer (PT).</w:t>
            </w:r>
          </w:p>
          <w:p w:rsidR="001C4C31" w:rsidRPr="00C2384D" w:rsidRDefault="001C4C31" w:rsidP="001C4C31">
            <w:pPr>
              <w:tabs>
                <w:tab w:val="left" w:pos="0"/>
              </w:tabs>
              <w:ind w:left="0" w:firstLine="0"/>
              <w:rPr>
                <w:rFonts w:eastAsia="Calibri"/>
                <w:szCs w:val="22"/>
              </w:rPr>
            </w:pPr>
            <w:r w:rsidRPr="00C2384D">
              <w:rPr>
                <w:rFonts w:eastAsia="Calibri"/>
                <w:szCs w:val="22"/>
              </w:rPr>
              <w:t>W   Writeable</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WAMPAC  Wide </w:t>
            </w:r>
          </w:p>
          <w:p w:rsidR="001C4C31" w:rsidRPr="00C2384D" w:rsidRDefault="001C4C31" w:rsidP="001C4C31">
            <w:pPr>
              <w:tabs>
                <w:tab w:val="left" w:pos="0"/>
              </w:tabs>
              <w:ind w:left="0" w:firstLine="0"/>
              <w:rPr>
                <w:rFonts w:eastAsia="Calibri"/>
                <w:szCs w:val="22"/>
              </w:rPr>
            </w:pPr>
            <w:r w:rsidRPr="00C2384D">
              <w:rPr>
                <w:rFonts w:eastAsia="Calibri"/>
                <w:szCs w:val="22"/>
              </w:rPr>
              <w:t>WAN          Wide area network</w:t>
            </w:r>
          </w:p>
          <w:p w:rsidR="001C4C31" w:rsidRPr="00C2384D" w:rsidRDefault="001C4C31" w:rsidP="001C4C31">
            <w:pPr>
              <w:tabs>
                <w:tab w:val="left" w:pos="0"/>
              </w:tabs>
              <w:ind w:left="0" w:firstLine="0"/>
              <w:rPr>
                <w:rFonts w:eastAsia="Calibri"/>
                <w:szCs w:val="22"/>
              </w:rPr>
            </w:pPr>
            <w:r w:rsidRPr="00C2384D">
              <w:rPr>
                <w:rFonts w:eastAsia="Calibri"/>
                <w:szCs w:val="22"/>
              </w:rPr>
              <w:lastRenderedPageBreak/>
              <w:t>XML            eXtensible Markup Language</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XSD        eXtensible Markup Language  (XML) Schema Definition </w:t>
            </w:r>
          </w:p>
          <w:p w:rsidR="001C4C31" w:rsidRPr="00C2384D" w:rsidRDefault="001C4C31" w:rsidP="001C4C31">
            <w:pPr>
              <w:tabs>
                <w:tab w:val="left" w:pos="0"/>
              </w:tabs>
              <w:ind w:left="0" w:firstLine="0"/>
              <w:rPr>
                <w:rFonts w:eastAsia="Calibri"/>
                <w:szCs w:val="22"/>
              </w:rPr>
            </w:pPr>
            <w:r w:rsidRPr="00C2384D">
              <w:rPr>
                <w:rFonts w:eastAsia="Calibri"/>
                <w:szCs w:val="22"/>
              </w:rPr>
              <w:t>R-MSVCB    Routable Multicast Sampled Value Control Block</w:t>
            </w:r>
          </w:p>
          <w:p w:rsidR="001C4C31" w:rsidRPr="00C2384D" w:rsidRDefault="001C4C31" w:rsidP="001C4C31">
            <w:pPr>
              <w:tabs>
                <w:tab w:val="left" w:pos="0"/>
              </w:tabs>
              <w:ind w:left="0" w:firstLine="0"/>
              <w:rPr>
                <w:rFonts w:eastAsia="Calibri"/>
                <w:szCs w:val="22"/>
              </w:rPr>
            </w:pPr>
            <w:r w:rsidRPr="00C2384D">
              <w:rPr>
                <w:rFonts w:eastAsia="Calibri"/>
                <w:szCs w:val="22"/>
              </w:rPr>
              <w:t>R-GoCB       R- GoCB</w:t>
            </w:r>
            <w:r w:rsidRPr="00C2384D">
              <w:rPr>
                <w:rFonts w:eastAsia="Calibri"/>
                <w:szCs w:val="22"/>
              </w:rPr>
              <w:tab/>
              <w:t>Routable GOOSE Control Block</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 w:val="20"/>
                <w:szCs w:val="20"/>
              </w:rPr>
            </w:pPr>
            <w:r w:rsidRPr="00C2384D">
              <w:rPr>
                <w:rFonts w:eastAsia="Calibri"/>
                <w:sz w:val="20"/>
                <w:szCs w:val="20"/>
              </w:rPr>
              <w:t>NOTE Abbreviations used for the identification of the common data classes and as names of the attributes are specified in the specific clauses of this document and are not repeated here.</w:t>
            </w: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Default="001C4C31" w:rsidP="001C4C31">
            <w:pPr>
              <w:tabs>
                <w:tab w:val="left" w:pos="0"/>
              </w:tabs>
              <w:ind w:left="0" w:firstLine="0"/>
              <w:rPr>
                <w:rFonts w:eastAsia="Calibri"/>
                <w:szCs w:val="22"/>
              </w:rPr>
            </w:pPr>
          </w:p>
          <w:p w:rsidR="00D80958" w:rsidRDefault="00D80958" w:rsidP="001C4C31">
            <w:pPr>
              <w:tabs>
                <w:tab w:val="left" w:pos="0"/>
              </w:tabs>
              <w:ind w:left="0" w:firstLine="0"/>
              <w:rPr>
                <w:rFonts w:eastAsia="Calibri"/>
                <w:szCs w:val="22"/>
              </w:rPr>
            </w:pPr>
          </w:p>
          <w:p w:rsidR="00D80958" w:rsidRPr="00C2384D" w:rsidRDefault="00D80958"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b/>
                <w:szCs w:val="22"/>
              </w:rPr>
            </w:pPr>
            <w:r w:rsidRPr="00C2384D">
              <w:rPr>
                <w:rFonts w:eastAsia="Calibri"/>
                <w:b/>
                <w:szCs w:val="22"/>
              </w:rPr>
              <w:t>5 Use cases</w:t>
            </w:r>
          </w:p>
          <w:p w:rsidR="001C4C31" w:rsidRPr="00C2384D" w:rsidRDefault="001C4C31" w:rsidP="001C4C31">
            <w:pPr>
              <w:tabs>
                <w:tab w:val="left" w:pos="0"/>
              </w:tabs>
              <w:ind w:left="0" w:firstLine="0"/>
              <w:rPr>
                <w:rFonts w:eastAsia="Calibri"/>
                <w:b/>
                <w:szCs w:val="22"/>
              </w:rPr>
            </w:pPr>
            <w:r w:rsidRPr="00C2384D">
              <w:rPr>
                <w:rFonts w:eastAsia="Calibri"/>
                <w:b/>
                <w:szCs w:val="22"/>
              </w:rPr>
              <w:t>5.1 General</w:t>
            </w:r>
          </w:p>
          <w:p w:rsidR="001C4C31" w:rsidRPr="00C2384D" w:rsidRDefault="001C4C31" w:rsidP="001C4C31">
            <w:pPr>
              <w:tabs>
                <w:tab w:val="left" w:pos="0"/>
              </w:tabs>
              <w:ind w:left="0" w:firstLine="0"/>
              <w:rPr>
                <w:rFonts w:eastAsia="Calibri"/>
                <w:szCs w:val="22"/>
              </w:rPr>
            </w:pPr>
            <w:r w:rsidRPr="00C2384D">
              <w:rPr>
                <w:rFonts w:eastAsia="Calibri"/>
                <w:szCs w:val="22"/>
              </w:rPr>
              <w:t>Synchrophasor communication can be used within a substation such as for synchrocheck or substation level state estimation, or from several substations to a center which performs regional or network level alarms and stability calculations. Both areas of  use  are described and delineated in the following subclauses.</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In the following use cases, the arrows indicate data flow from one device to another. The solid-like arrows are the basic data flow for all illustrated applications, and the dashed arrows are </w:t>
            </w:r>
            <w:r w:rsidRPr="00C2384D">
              <w:rPr>
                <w:rFonts w:eastAsia="Calibri"/>
                <w:szCs w:val="22"/>
              </w:rPr>
              <w:lastRenderedPageBreak/>
              <w:t>optional data flow from additional locations. The dashed boxes around groups of objects are co-located equipment as labelled.</w:t>
            </w:r>
          </w:p>
          <w:p w:rsidR="001C4C31" w:rsidRDefault="001C4C31" w:rsidP="001C4C31">
            <w:pPr>
              <w:tabs>
                <w:tab w:val="left" w:pos="0"/>
              </w:tabs>
              <w:ind w:left="0" w:firstLine="0"/>
              <w:rPr>
                <w:rFonts w:eastAsia="Calibri"/>
                <w:szCs w:val="22"/>
              </w:rPr>
            </w:pPr>
            <w:bookmarkStart w:id="4" w:name="5.2_Wide_area_applications_utilizing_syn"/>
            <w:bookmarkEnd w:id="4"/>
          </w:p>
          <w:p w:rsidR="00D80958" w:rsidRDefault="00D80958" w:rsidP="001C4C31">
            <w:pPr>
              <w:tabs>
                <w:tab w:val="left" w:pos="0"/>
              </w:tabs>
              <w:ind w:left="0" w:firstLine="0"/>
              <w:rPr>
                <w:rFonts w:eastAsia="Calibri"/>
                <w:szCs w:val="22"/>
              </w:rPr>
            </w:pPr>
          </w:p>
          <w:p w:rsidR="00D80958" w:rsidRDefault="00D80958" w:rsidP="001C4C31">
            <w:pPr>
              <w:tabs>
                <w:tab w:val="left" w:pos="0"/>
              </w:tabs>
              <w:ind w:left="0" w:firstLine="0"/>
              <w:rPr>
                <w:rFonts w:eastAsia="Calibri"/>
                <w:szCs w:val="22"/>
              </w:rPr>
            </w:pPr>
          </w:p>
          <w:p w:rsidR="00D80958" w:rsidRDefault="00D80958" w:rsidP="001C4C31">
            <w:pPr>
              <w:tabs>
                <w:tab w:val="left" w:pos="0"/>
              </w:tabs>
              <w:ind w:left="0" w:firstLine="0"/>
              <w:rPr>
                <w:rFonts w:eastAsia="Calibri"/>
                <w:szCs w:val="22"/>
              </w:rPr>
            </w:pPr>
          </w:p>
          <w:p w:rsidR="00D80958" w:rsidRPr="00C2384D" w:rsidRDefault="00D80958"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b/>
                <w:szCs w:val="22"/>
              </w:rPr>
            </w:pPr>
            <w:r w:rsidRPr="00C2384D">
              <w:rPr>
                <w:rFonts w:eastAsia="Calibri"/>
                <w:b/>
                <w:szCs w:val="22"/>
              </w:rPr>
              <w:t>5.2 Wide area applications utilizing synchrophasors</w:t>
            </w:r>
          </w:p>
          <w:p w:rsidR="001C4C31" w:rsidRPr="00C2384D" w:rsidRDefault="001C4C31" w:rsidP="001C4C31">
            <w:pPr>
              <w:tabs>
                <w:tab w:val="left" w:pos="0"/>
              </w:tabs>
              <w:ind w:left="0" w:firstLine="0"/>
              <w:rPr>
                <w:rFonts w:eastAsia="Calibri"/>
                <w:szCs w:val="22"/>
              </w:rPr>
            </w:pPr>
            <w:r w:rsidRPr="00C2384D">
              <w:rPr>
                <w:rFonts w:eastAsia="Calibri"/>
                <w:szCs w:val="22"/>
              </w:rPr>
              <w:t>In the majority of the applications, the sources and sinks for the synchrophasor data are separated by large distances. In this  context, "large" means  distances which  extend essentially further than a typical local area network (LAN).</w:t>
            </w:r>
          </w:p>
          <w:p w:rsidR="001C4C31" w:rsidRPr="00C2384D" w:rsidRDefault="001C4C31" w:rsidP="001C4C31">
            <w:pPr>
              <w:tabs>
                <w:tab w:val="left" w:pos="0"/>
              </w:tabs>
              <w:ind w:left="0" w:firstLine="0"/>
              <w:rPr>
                <w:rFonts w:eastAsia="Calibri"/>
                <w:szCs w:val="22"/>
              </w:rPr>
            </w:pPr>
            <w:r w:rsidRPr="00C2384D">
              <w:rPr>
                <w:rFonts w:eastAsia="Calibri"/>
                <w:szCs w:val="22"/>
              </w:rPr>
              <w:t>One of the options to transmit data over arbitrary large distances is using the Internet Protocol (IP). The IP allows the routing of  data packets (IP packets) between different networks over  any distance. This document focuses on options that utilize IP.</w:t>
            </w:r>
          </w:p>
          <w:p w:rsidR="001C4C31" w:rsidRPr="00C2384D" w:rsidRDefault="001C4C31" w:rsidP="001C4C31">
            <w:pPr>
              <w:tabs>
                <w:tab w:val="left" w:pos="0"/>
              </w:tabs>
              <w:ind w:left="0" w:firstLine="0"/>
              <w:rPr>
                <w:rFonts w:eastAsia="Calibri"/>
                <w:szCs w:val="22"/>
              </w:rPr>
            </w:pPr>
            <w:r w:rsidRPr="00C2384D">
              <w:rPr>
                <w:rFonts w:eastAsia="Calibri"/>
                <w:szCs w:val="22"/>
              </w:rPr>
              <w:t>The use of UDP for the streaming of the synchrophasor data is a proven  and functional  method. The many working applications of the IEEE C37.118 protocol confirm this. Thus, a method utilizing UDP for streaming the SV data is again required. TCP can also be and has been used but with the reservations outlined in 6.4.</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In  all use cases, the latency requirement refers to end-to-end communications delay. This is the interval of time from when the message is sent from the measurement device to when it is received by the application. It includes all communication delays including LAN, WAN, and router delays as well as delays in intermediate processing units such at ssPDC and PDC units. It does  not include measurement delays from  the signal </w:t>
            </w:r>
            <w:r w:rsidRPr="00C2384D">
              <w:rPr>
                <w:rFonts w:eastAsia="Calibri"/>
                <w:szCs w:val="22"/>
              </w:rPr>
              <w:lastRenderedPageBreak/>
              <w:t>input to synchrophasor calculation. It  is specified for each use case as a general guideline for communication planning for the described application. Individual application needs will vary and those particular requirements need to be assessed at the time of implementation.</w:t>
            </w:r>
          </w:p>
          <w:p w:rsidR="001C4C31" w:rsidRPr="00C2384D" w:rsidRDefault="001C4C31" w:rsidP="001C4C31">
            <w:pPr>
              <w:tabs>
                <w:tab w:val="left" w:pos="0"/>
              </w:tabs>
              <w:ind w:left="0" w:firstLine="0"/>
              <w:rPr>
                <w:rFonts w:eastAsia="Calibri"/>
                <w:szCs w:val="22"/>
              </w:rPr>
            </w:pPr>
            <w:r w:rsidRPr="00C2384D">
              <w:rPr>
                <w:rFonts w:eastAsia="Calibri"/>
                <w:szCs w:val="22"/>
              </w:rPr>
              <w:t>For an application which takes an action based on data it receives, lost packets effectively increase delay in response. A single lost packet will cause a delay equivalent to the interval between packets set by the data reporting rate. The application can tolerate lost packets up to the allowable delay for response. It can therefore tolerate greater numbers of successive lost packets by using higher data rates. Some applications may be able to estimate values for lost data from previous ones, but even this will result in a delayed action. In all cases, applications dependent on transmitted data require a time out to detect excessive packet loss and a fall back operating mode and/or alarm when this occurs.</w:t>
            </w:r>
          </w:p>
          <w:p w:rsidR="001C4C31" w:rsidRPr="00C2384D" w:rsidRDefault="001C4C31" w:rsidP="001C4C31">
            <w:pPr>
              <w:tabs>
                <w:tab w:val="left" w:pos="0"/>
              </w:tabs>
              <w:ind w:left="0" w:firstLine="0"/>
              <w:rPr>
                <w:rFonts w:eastAsia="Calibri"/>
                <w:szCs w:val="22"/>
              </w:rPr>
            </w:pPr>
            <w:r w:rsidRPr="00C2384D">
              <w:rPr>
                <w:rFonts w:eastAsia="Calibri"/>
                <w:szCs w:val="22"/>
              </w:rPr>
              <w:t>Applications that record data or build response curves for calculation or visualisation will  usually tolerate some data loss with little problem. They can approximate missing values with various patching techniques. The problem is more in the pattern of loss  rather than simply  loss. Short loss intervals are much easier to patch with reasonable accuracy than long ones. Loss consisting of short dropouts of a few successive samples is more tolerable than less frequent longer dropouts. Any response will be delayed as previously described. A data loss detection timeout and fall-back operating mode and/or alarms are also required.</w:t>
            </w:r>
          </w:p>
          <w:p w:rsidR="001C4C31" w:rsidRPr="00C2384D" w:rsidRDefault="001C4C31" w:rsidP="001C4C31">
            <w:pPr>
              <w:tabs>
                <w:tab w:val="left" w:pos="0"/>
              </w:tabs>
              <w:ind w:left="0" w:firstLine="0"/>
              <w:rPr>
                <w:rFonts w:eastAsia="Calibri"/>
                <w:szCs w:val="22"/>
              </w:rPr>
            </w:pPr>
            <w:r w:rsidRPr="00C2384D">
              <w:rPr>
                <w:rFonts w:eastAsia="Calibri"/>
                <w:szCs w:val="22"/>
              </w:rPr>
              <w:t xml:space="preserve">Jitter, or variation in  delay, will cause a  variation in  action time of  any application that uses  the data. As long as the jitter is  </w:t>
            </w:r>
            <w:r w:rsidRPr="00C2384D">
              <w:rPr>
                <w:rFonts w:eastAsia="Calibri"/>
                <w:szCs w:val="22"/>
              </w:rPr>
              <w:lastRenderedPageBreak/>
              <w:t>considerably lower than the data rate interval, it should not  have much effect on the application. If it approaches the allowable delay time which could be larger or smaller than the interval between successive data samples, it  will have an effect on the response and can be the limiting factor. Data concentration will be delayed by jitter as the process must wait for all data to arrive before assembling a complete packet and forwarding it.  In all cases, jitter needs to be included in the worst case delay calculations.</w:t>
            </w:r>
          </w:p>
          <w:p w:rsidR="001C4C31" w:rsidRPr="00C2384D" w:rsidRDefault="001C4C31" w:rsidP="001C4C31">
            <w:pPr>
              <w:pStyle w:val="BodyText"/>
              <w:tabs>
                <w:tab w:val="left" w:pos="0"/>
              </w:tabs>
              <w:spacing w:before="1" w:line="276" w:lineRule="auto"/>
              <w:ind w:right="449"/>
              <w:jc w:val="both"/>
              <w:rPr>
                <w:rFonts w:eastAsia="Calibri"/>
                <w:bCs w:val="0"/>
                <w:sz w:val="24"/>
                <w:szCs w:val="22"/>
                <w:lang w:val="mn-MN"/>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szCs w:val="22"/>
              </w:rPr>
            </w:pPr>
          </w:p>
          <w:p w:rsidR="001C4C31" w:rsidRPr="00C2384D" w:rsidRDefault="001C4C31" w:rsidP="001C4C31">
            <w:pPr>
              <w:tabs>
                <w:tab w:val="left" w:pos="0"/>
              </w:tabs>
              <w:ind w:left="0" w:firstLine="0"/>
              <w:rPr>
                <w:rFonts w:eastAsia="Calibri"/>
                <w:b/>
                <w:szCs w:val="22"/>
              </w:rPr>
            </w:pPr>
            <w:r w:rsidRPr="00C2384D">
              <w:rPr>
                <w:rFonts w:eastAsia="Calibri"/>
                <w:b/>
                <w:szCs w:val="22"/>
              </w:rPr>
              <w:t>5.3 Synchro-check</w:t>
            </w:r>
          </w:p>
          <w:p w:rsidR="001C4C31" w:rsidRPr="00C2384D" w:rsidRDefault="001C4C31" w:rsidP="001C4C31">
            <w:pPr>
              <w:tabs>
                <w:tab w:val="left" w:pos="0"/>
              </w:tabs>
              <w:ind w:left="0" w:firstLine="0"/>
              <w:rPr>
                <w:rFonts w:eastAsia="Calibri"/>
                <w:szCs w:val="22"/>
              </w:rPr>
            </w:pPr>
            <w:r w:rsidRPr="00C2384D">
              <w:rPr>
                <w:rFonts w:eastAsia="Calibri"/>
                <w:noProof/>
                <w:szCs w:val="22"/>
                <w:lang w:val="en-US"/>
              </w:rPr>
              <mc:AlternateContent>
                <mc:Choice Requires="wpg">
                  <w:drawing>
                    <wp:anchor distT="0" distB="0" distL="114300" distR="114300" simplePos="0" relativeHeight="251665408" behindDoc="0" locked="0" layoutInCell="1" allowOverlap="1" wp14:anchorId="4B0B1492" wp14:editId="032111EB">
                      <wp:simplePos x="0" y="0"/>
                      <wp:positionH relativeFrom="page">
                        <wp:posOffset>4402455</wp:posOffset>
                      </wp:positionH>
                      <wp:positionV relativeFrom="paragraph">
                        <wp:posOffset>1475105</wp:posOffset>
                      </wp:positionV>
                      <wp:extent cx="577850" cy="76200"/>
                      <wp:effectExtent l="1905" t="635" r="1270" b="889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76200"/>
                                <a:chOff x="6933" y="2323"/>
                                <a:chExt cx="910" cy="120"/>
                              </a:xfrm>
                            </wpg:grpSpPr>
                            <wps:wsp>
                              <wps:cNvPr id="23" name="Line 13"/>
                              <wps:cNvCnPr>
                                <a:cxnSpLocks noChangeShapeType="1"/>
                              </wps:cNvCnPr>
                              <wps:spPr bwMode="auto">
                                <a:xfrm>
                                  <a:off x="6943" y="2382"/>
                                  <a:ext cx="800" cy="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Freeform 14"/>
                              <wps:cNvSpPr>
                                <a:spLocks/>
                              </wps:cNvSpPr>
                              <wps:spPr bwMode="auto">
                                <a:xfrm>
                                  <a:off x="7722" y="2323"/>
                                  <a:ext cx="121" cy="120"/>
                                </a:xfrm>
                                <a:custGeom>
                                  <a:avLst/>
                                  <a:gdLst>
                                    <a:gd name="T0" fmla="+- 0 7723 7723"/>
                                    <a:gd name="T1" fmla="*/ T0 w 121"/>
                                    <a:gd name="T2" fmla="+- 0 2323 2323"/>
                                    <a:gd name="T3" fmla="*/ 2323 h 120"/>
                                    <a:gd name="T4" fmla="+- 0 7723 7723"/>
                                    <a:gd name="T5" fmla="*/ T4 w 121"/>
                                    <a:gd name="T6" fmla="+- 0 2443 2323"/>
                                    <a:gd name="T7" fmla="*/ 2443 h 120"/>
                                    <a:gd name="T8" fmla="+- 0 7843 7723"/>
                                    <a:gd name="T9" fmla="*/ T8 w 121"/>
                                    <a:gd name="T10" fmla="+- 0 2383 2323"/>
                                    <a:gd name="T11" fmla="*/ 2383 h 120"/>
                                    <a:gd name="T12" fmla="+- 0 7723 7723"/>
                                    <a:gd name="T13" fmla="*/ T12 w 121"/>
                                    <a:gd name="T14" fmla="+- 0 2323 2323"/>
                                    <a:gd name="T15" fmla="*/ 2323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E1BAE" id="Group 22" o:spid="_x0000_s1026" style="position:absolute;margin-left:346.65pt;margin-top:116.15pt;width:45.5pt;height:6pt;z-index:251665408;mso-position-horizontal-relative:page" coordorigin="6933,2323" coordsize="9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">
                      <v:line id="Line 13" o:spid="_x0000_s1027" style="position:absolute;visibility:visible;mso-wrap-style:square" from="6943,2382" to="7743,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shape id="Freeform 14" o:spid="_x0000_s1028" style="position:absolute;left:7722;top:2323;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" path="m,l,120,120,60,,xe" fillcolor="black" stroked="f">
                        <v:path arrowok="t" o:connecttype="custom" o:connectlocs="0,2323;0,2443;120,2383;0,2323" o:connectangles="0,0,0,0"/>
                      </v:shape>
                      <w10:wrap anchorx="page"/>
                    </v:group>
                  </w:pict>
                </mc:Fallback>
              </mc:AlternateContent>
            </w:r>
            <w:r w:rsidRPr="00C2384D">
              <w:rPr>
                <w:rFonts w:eastAsia="Calibri"/>
                <w:szCs w:val="22"/>
              </w:rPr>
              <w:t xml:space="preserve">In this application, data are sent from one or more PMU devices to a sync check relay. The general information flow is shown in </w:t>
            </w:r>
            <w:hyperlink w:anchor="_bookmark1" w:history="1">
              <w:r w:rsidRPr="00C2384D">
                <w:rPr>
                  <w:rFonts w:eastAsia="Calibri"/>
                  <w:szCs w:val="22"/>
                </w:rPr>
                <w:t>Figure 1.</w:t>
              </w:r>
            </w:hyperlink>
            <w:r w:rsidRPr="00C2384D">
              <w:rPr>
                <w:rFonts w:eastAsia="Calibri"/>
                <w:szCs w:val="22"/>
              </w:rPr>
              <w:t xml:space="preserve"> The relay uses this information to assure the phase angles of the voltage on two sides of a  breaker are close enough that the breaker can  be closed without harm.</w:t>
            </w:r>
          </w:p>
          <w:p w:rsidR="001C4C31" w:rsidRPr="00C2384D" w:rsidRDefault="001C4C31" w:rsidP="001C4C31">
            <w:pPr>
              <w:tabs>
                <w:tab w:val="left" w:pos="0"/>
              </w:tabs>
              <w:ind w:left="0" w:firstLine="0"/>
              <w:rPr>
                <w:rFonts w:eastAsia="Calibri"/>
                <w:szCs w:val="22"/>
              </w:rPr>
            </w:pPr>
          </w:p>
        </w:tc>
      </w:tr>
      <w:tr w:rsidR="001C4C31" w:rsidTr="001C4C31">
        <w:tc>
          <w:tcPr>
            <w:tcW w:w="9344" w:type="dxa"/>
            <w:gridSpan w:val="2"/>
          </w:tcPr>
          <w:p w:rsidR="001C4C31" w:rsidRPr="00BB4857" w:rsidRDefault="001C4C31" w:rsidP="001C4C31">
            <w:pPr>
              <w:tabs>
                <w:tab w:val="left" w:pos="0"/>
              </w:tabs>
              <w:ind w:left="0" w:firstLine="0"/>
              <w:rPr>
                <w:rFonts w:eastAsia="Calibri"/>
                <w:b/>
                <w:szCs w:val="22"/>
              </w:rPr>
            </w:pPr>
          </w:p>
        </w:tc>
      </w:tr>
    </w:tbl>
    <w:p w:rsidR="001C4C31" w:rsidRDefault="001C4C31" w:rsidP="001C4C31">
      <w:pPr>
        <w:spacing w:after="0" w:line="240" w:lineRule="auto"/>
        <w:ind w:left="0" w:firstLine="0"/>
        <w:rPr>
          <w:b/>
          <w:bCs/>
          <w:color w:val="000000"/>
          <w:shd w:val="clear" w:color="auto" w:fill="FFFFFF"/>
          <w:lang w:val="en-US"/>
        </w:rPr>
      </w:pPr>
    </w:p>
    <w:p w:rsidR="001C4C31" w:rsidRDefault="001C4C31" w:rsidP="001C4C31">
      <w:pPr>
        <w:spacing w:after="0" w:line="240" w:lineRule="auto"/>
        <w:ind w:left="0" w:firstLine="0"/>
        <w:jc w:val="center"/>
        <w:rPr>
          <w:b/>
          <w:bCs/>
          <w:color w:val="000000"/>
          <w:shd w:val="clear" w:color="auto" w:fill="FFFFFF"/>
          <w:lang w:val="en-US"/>
        </w:rPr>
      </w:pPr>
      <w:r>
        <w:rPr>
          <w:noProof/>
          <w:lang w:val="en-US"/>
        </w:rPr>
        <w:lastRenderedPageBreak/>
        <w:drawing>
          <wp:inline distT="0" distB="0" distL="0" distR="0" wp14:anchorId="26388745" wp14:editId="3E50B0C0">
            <wp:extent cx="5248275" cy="2371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8275" cy="2371725"/>
                    </a:xfrm>
                    <a:prstGeom prst="rect">
                      <a:avLst/>
                    </a:prstGeom>
                  </pic:spPr>
                </pic:pic>
              </a:graphicData>
            </a:graphic>
          </wp:inline>
        </w:drawing>
      </w:r>
    </w:p>
    <w:p w:rsidR="001C4C31" w:rsidRDefault="001C4C31" w:rsidP="001C4C31">
      <w:pPr>
        <w:pStyle w:val="Heading5"/>
        <w:tabs>
          <w:tab w:val="left" w:pos="0"/>
        </w:tabs>
        <w:spacing w:before="93" w:line="276" w:lineRule="auto"/>
        <w:ind w:right="1743"/>
        <w:jc w:val="center"/>
        <w:rPr>
          <w:rFonts w:ascii="Arial" w:hAnsi="Arial" w:cs="Arial"/>
          <w:b/>
          <w:color w:val="auto"/>
          <w:szCs w:val="24"/>
          <w:lang w:val="mn-MN"/>
        </w:rPr>
      </w:pPr>
      <w:r w:rsidRPr="00731F96">
        <w:rPr>
          <w:rFonts w:ascii="Arial" w:hAnsi="Arial" w:cs="Arial"/>
          <w:b/>
          <w:color w:val="auto"/>
          <w:szCs w:val="24"/>
          <w:lang w:val="mn-MN"/>
        </w:rPr>
        <w:t>1</w:t>
      </w:r>
      <w:r>
        <w:rPr>
          <w:rFonts w:ascii="Arial" w:hAnsi="Arial" w:cs="Arial"/>
          <w:b/>
          <w:color w:val="auto"/>
          <w:szCs w:val="24"/>
          <w:lang w:val="mn-MN"/>
        </w:rPr>
        <w:t>-р зураг</w:t>
      </w:r>
      <w:r w:rsidRPr="00731F96">
        <w:rPr>
          <w:rFonts w:ascii="Arial" w:hAnsi="Arial" w:cs="Arial"/>
          <w:b/>
          <w:color w:val="auto"/>
          <w:szCs w:val="24"/>
          <w:lang w:val="mn-MN"/>
        </w:rPr>
        <w:t xml:space="preserve"> – Синхрон хяналт хийхэд ашиглах схем</w:t>
      </w:r>
    </w:p>
    <w:p w:rsidR="001C4C31" w:rsidRPr="001C4C31" w:rsidRDefault="001C4C31" w:rsidP="001C4C31">
      <w:pPr>
        <w:pStyle w:val="Heading5"/>
        <w:tabs>
          <w:tab w:val="left" w:pos="0"/>
        </w:tabs>
        <w:spacing w:before="93" w:line="276" w:lineRule="auto"/>
        <w:ind w:right="1743"/>
        <w:jc w:val="center"/>
        <w:rPr>
          <w:rFonts w:ascii="Arial" w:hAnsi="Arial" w:cs="Arial"/>
          <w:color w:val="auto"/>
          <w:szCs w:val="24"/>
          <w:lang w:val="mn-MN"/>
        </w:rPr>
      </w:pPr>
      <w:r>
        <w:rPr>
          <w:rFonts w:ascii="Arial" w:hAnsi="Arial" w:cs="Arial"/>
          <w:b/>
          <w:color w:val="auto"/>
          <w:szCs w:val="24"/>
          <w:lang w:val="mn-MN"/>
        </w:rPr>
        <w:br/>
      </w:r>
      <w:r>
        <w:rPr>
          <w:noProof/>
        </w:rPr>
        <w:drawing>
          <wp:inline distT="0" distB="0" distL="0" distR="0" wp14:anchorId="618062CD" wp14:editId="155B49C3">
            <wp:extent cx="5232159" cy="2415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8085" cy="2423007"/>
                    </a:xfrm>
                    <a:prstGeom prst="rect">
                      <a:avLst/>
                    </a:prstGeom>
                  </pic:spPr>
                </pic:pic>
              </a:graphicData>
            </a:graphic>
          </wp:inline>
        </w:drawing>
      </w:r>
    </w:p>
    <w:p w:rsidR="001C4C31" w:rsidRPr="00731F96" w:rsidRDefault="001C4C31" w:rsidP="001C4C31">
      <w:pPr>
        <w:pStyle w:val="Heading5"/>
        <w:tabs>
          <w:tab w:val="left" w:pos="0"/>
        </w:tabs>
        <w:spacing w:before="93" w:line="276" w:lineRule="auto"/>
        <w:ind w:left="1790" w:right="1743"/>
        <w:rPr>
          <w:rFonts w:ascii="Arial" w:hAnsi="Arial" w:cs="Arial"/>
          <w:b/>
          <w:color w:val="auto"/>
          <w:szCs w:val="24"/>
          <w:lang w:val="mn-MN"/>
        </w:rPr>
      </w:pPr>
      <w:r w:rsidRPr="00731F96">
        <w:rPr>
          <w:rFonts w:ascii="Arial" w:hAnsi="Arial" w:cs="Arial"/>
          <w:b/>
          <w:color w:val="auto"/>
          <w:szCs w:val="24"/>
          <w:lang w:val="mn-MN"/>
        </w:rPr>
        <w:t>Figure 1 – Use case diagram for Synchro-chec</w:t>
      </w:r>
    </w:p>
    <w:p w:rsidR="001C4C31" w:rsidRPr="001C4C31" w:rsidRDefault="001C4C31" w:rsidP="001C4C31">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723"/>
        <w:gridCol w:w="5621"/>
      </w:tblGrid>
      <w:tr w:rsidR="001C4C31" w:rsidTr="001C4C31">
        <w:tc>
          <w:tcPr>
            <w:tcW w:w="4672" w:type="dxa"/>
          </w:tcPr>
          <w:p w:rsidR="001C4C31" w:rsidRPr="00EF2D2B" w:rsidRDefault="001C4C31" w:rsidP="001C4C31">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4672" w:type="dxa"/>
          </w:tcPr>
          <w:p w:rsidR="001C4C31" w:rsidRPr="00EF2D2B" w:rsidRDefault="001C4C31" w:rsidP="001C4C31">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1C4C31" w:rsidTr="001C4C31">
        <w:tc>
          <w:tcPr>
            <w:tcW w:w="3723"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PMU</w:t>
            </w:r>
          </w:p>
        </w:tc>
        <w:tc>
          <w:tcPr>
            <w:tcW w:w="5621"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Сонхрофазор ба давтамжийг тооцоолно</w:t>
            </w:r>
          </w:p>
        </w:tc>
      </w:tr>
      <w:tr w:rsidR="001C4C31" w:rsidTr="001C4C31">
        <w:tc>
          <w:tcPr>
            <w:tcW w:w="3723"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Реле</w:t>
            </w:r>
          </w:p>
        </w:tc>
        <w:tc>
          <w:tcPr>
            <w:tcW w:w="5621"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Сонгосон оролтуудын хоорондох фазын өнцгийг шалгана</w:t>
            </w:r>
          </w:p>
        </w:tc>
      </w:tr>
      <w:tr w:rsidR="001C4C31" w:rsidTr="001C4C31">
        <w:tc>
          <w:tcPr>
            <w:tcW w:w="3723" w:type="dxa"/>
          </w:tcPr>
          <w:p w:rsidR="001C4C31" w:rsidRPr="00EF2D2B" w:rsidRDefault="001C4C31" w:rsidP="001C4C31">
            <w:pPr>
              <w:pStyle w:val="TableParagraph"/>
              <w:tabs>
                <w:tab w:val="left" w:pos="0"/>
              </w:tabs>
              <w:spacing w:before="58" w:line="276" w:lineRule="auto"/>
              <w:rPr>
                <w:sz w:val="20"/>
                <w:szCs w:val="20"/>
                <w:lang w:val="mn-MN"/>
              </w:rPr>
            </w:pPr>
            <w:r w:rsidRPr="00EF2D2B">
              <w:rPr>
                <w:sz w:val="20"/>
                <w:szCs w:val="20"/>
                <w:lang w:val="mn-MN"/>
              </w:rPr>
              <w:t>Таслуур</w:t>
            </w:r>
          </w:p>
        </w:tc>
        <w:tc>
          <w:tcPr>
            <w:tcW w:w="5621" w:type="dxa"/>
          </w:tcPr>
          <w:p w:rsidR="001C4C31" w:rsidRPr="00731F96" w:rsidRDefault="001C4C31" w:rsidP="001C4C31">
            <w:pPr>
              <w:pStyle w:val="TableParagraph"/>
              <w:tabs>
                <w:tab w:val="left" w:pos="0"/>
              </w:tabs>
              <w:spacing w:before="58" w:line="276" w:lineRule="auto"/>
              <w:rPr>
                <w:sz w:val="20"/>
                <w:szCs w:val="20"/>
                <w:lang w:val="mn-MN"/>
              </w:rPr>
            </w:pPr>
            <w:r w:rsidRPr="00731F96">
              <w:rPr>
                <w:sz w:val="20"/>
                <w:szCs w:val="20"/>
                <w:lang w:val="mn-MN"/>
              </w:rPr>
              <w:t>Шугамыг таслах/залгах</w:t>
            </w:r>
          </w:p>
        </w:tc>
      </w:tr>
    </w:tbl>
    <w:p w:rsidR="001C4C31" w:rsidRPr="001C4C31" w:rsidRDefault="001C4C31" w:rsidP="001C4C31">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486"/>
        <w:gridCol w:w="5858"/>
      </w:tblGrid>
      <w:tr w:rsidR="001C4C31" w:rsidTr="001C4C31">
        <w:tc>
          <w:tcPr>
            <w:tcW w:w="3486" w:type="dxa"/>
          </w:tcPr>
          <w:p w:rsidR="001C4C31" w:rsidRPr="00EF2D2B" w:rsidRDefault="001C4C31" w:rsidP="001C4C31">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858" w:type="dxa"/>
          </w:tcPr>
          <w:p w:rsidR="001C4C31" w:rsidRPr="00EF2D2B" w:rsidRDefault="001C4C31" w:rsidP="001C4C31">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1C4C31" w:rsidTr="001C4C31">
        <w:tc>
          <w:tcPr>
            <w:tcW w:w="3486"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PMU</w:t>
            </w:r>
          </w:p>
        </w:tc>
        <w:tc>
          <w:tcPr>
            <w:tcW w:w="5858"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Computes synchrophasors &amp; frequency</w:t>
            </w:r>
          </w:p>
        </w:tc>
      </w:tr>
      <w:tr w:rsidR="001C4C31" w:rsidTr="001C4C31">
        <w:tc>
          <w:tcPr>
            <w:tcW w:w="3486"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Relay</w:t>
            </w:r>
          </w:p>
        </w:tc>
        <w:tc>
          <w:tcPr>
            <w:tcW w:w="5858"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Checks phase angle between selected inputs</w:t>
            </w:r>
          </w:p>
        </w:tc>
      </w:tr>
      <w:tr w:rsidR="001C4C31" w:rsidTr="001C4C31">
        <w:tc>
          <w:tcPr>
            <w:tcW w:w="3486"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Breaker</w:t>
            </w:r>
          </w:p>
        </w:tc>
        <w:tc>
          <w:tcPr>
            <w:tcW w:w="5858"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Connects/disconnects power line</w:t>
            </w:r>
          </w:p>
        </w:tc>
      </w:tr>
    </w:tbl>
    <w:p w:rsidR="001C4C31" w:rsidRDefault="001C4C31" w:rsidP="001C4C31">
      <w:pPr>
        <w:spacing w:after="0" w:line="240" w:lineRule="auto"/>
        <w:ind w:left="0" w:firstLine="0"/>
        <w:rPr>
          <w:b/>
          <w:bCs/>
          <w:color w:val="000000"/>
          <w:shd w:val="clear" w:color="auto" w:fill="FFFFFF"/>
          <w:lang w:val="en-US"/>
        </w:rPr>
      </w:pPr>
    </w:p>
    <w:p w:rsidR="001C4C31" w:rsidRDefault="001C4C31" w:rsidP="001C4C31">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723"/>
        <w:gridCol w:w="5621"/>
      </w:tblGrid>
      <w:tr w:rsidR="001C4C31" w:rsidRPr="00EF2D2B" w:rsidTr="001C4C31">
        <w:tc>
          <w:tcPr>
            <w:tcW w:w="3723" w:type="dxa"/>
          </w:tcPr>
          <w:p w:rsidR="001C4C31" w:rsidRPr="00EF2D2B" w:rsidRDefault="001C4C31" w:rsidP="001C4C31">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621" w:type="dxa"/>
          </w:tcPr>
          <w:p w:rsidR="001C4C31" w:rsidRPr="00EF2D2B" w:rsidRDefault="001C4C31" w:rsidP="001C4C31">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1C4C31" w:rsidRPr="00731F96" w:rsidTr="001C4C31">
        <w:tc>
          <w:tcPr>
            <w:tcW w:w="3723" w:type="dxa"/>
          </w:tcPr>
          <w:p w:rsidR="001C4C31" w:rsidRPr="00731F96" w:rsidRDefault="001C4C31" w:rsidP="001C4C31">
            <w:pPr>
              <w:pStyle w:val="TableParagraph"/>
              <w:tabs>
                <w:tab w:val="left" w:pos="0"/>
              </w:tabs>
              <w:spacing w:line="276" w:lineRule="auto"/>
              <w:rPr>
                <w:sz w:val="20"/>
                <w:szCs w:val="20"/>
                <w:lang w:val="mn-MN"/>
              </w:rPr>
            </w:pPr>
            <w:r w:rsidRPr="00EF2D2B">
              <w:rPr>
                <w:sz w:val="20"/>
                <w:szCs w:val="20"/>
                <w:lang w:val="mn-MN"/>
              </w:rPr>
              <w:t>Өгөгдлийн түүвэр ба Фазын тооцоо</w:t>
            </w:r>
          </w:p>
        </w:tc>
        <w:tc>
          <w:tcPr>
            <w:tcW w:w="5621" w:type="dxa"/>
          </w:tcPr>
          <w:p w:rsidR="001C4C31" w:rsidRPr="00EF2D2B" w:rsidRDefault="001C4C31" w:rsidP="001C4C31">
            <w:pPr>
              <w:pStyle w:val="TableParagraph"/>
              <w:tabs>
                <w:tab w:val="left" w:pos="0"/>
              </w:tabs>
              <w:spacing w:line="276" w:lineRule="auto"/>
              <w:rPr>
                <w:sz w:val="20"/>
                <w:szCs w:val="20"/>
                <w:lang w:val="mn-MN"/>
              </w:rPr>
            </w:pPr>
            <w:r w:rsidRPr="00731F96">
              <w:rPr>
                <w:sz w:val="20"/>
                <w:szCs w:val="20"/>
                <w:lang w:val="mn-MN"/>
              </w:rPr>
              <w:t>PMU нь хүчдэ</w:t>
            </w:r>
            <w:r w:rsidRPr="00EF2D2B">
              <w:rPr>
                <w:sz w:val="20"/>
                <w:szCs w:val="20"/>
                <w:lang w:val="mn-MN"/>
              </w:rPr>
              <w:t>л ба гүйдэлээс синхрофазор ба давтамжийн утгыг тооцдог</w:t>
            </w:r>
          </w:p>
        </w:tc>
      </w:tr>
      <w:tr w:rsidR="001C4C31" w:rsidRPr="00731F96" w:rsidTr="001C4C31">
        <w:tc>
          <w:tcPr>
            <w:tcW w:w="3723"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Өгөгдөл илгээх ба хүлээн авах</w:t>
            </w:r>
          </w:p>
        </w:tc>
        <w:tc>
          <w:tcPr>
            <w:tcW w:w="5621"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нь релений хүлээн авсан утгуудыг илгээдэг</w:t>
            </w:r>
          </w:p>
        </w:tc>
      </w:tr>
      <w:tr w:rsidR="001C4C31" w:rsidRPr="00731F96" w:rsidTr="001C4C31">
        <w:tc>
          <w:tcPr>
            <w:tcW w:w="3723"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lastRenderedPageBreak/>
              <w:t>Релений шийдвэр</w:t>
            </w:r>
          </w:p>
        </w:tc>
        <w:tc>
          <w:tcPr>
            <w:tcW w:w="5621"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Сонгосон оролтуудын хоорондох фазын өнцгийг шалгаж, оруулсан өнцөг нь хязгаарт байгаа тохиолдолд таслагч руу дохио өгдөг</w:t>
            </w:r>
          </w:p>
        </w:tc>
      </w:tr>
    </w:tbl>
    <w:p w:rsidR="001C4C31" w:rsidRPr="00EF2D2B" w:rsidRDefault="001C4C31" w:rsidP="001C4C31">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1C4C31" w:rsidRPr="00EF2D2B" w:rsidTr="001C4C31">
        <w:tc>
          <w:tcPr>
            <w:tcW w:w="3723" w:type="dxa"/>
          </w:tcPr>
          <w:p w:rsidR="001C4C31" w:rsidRPr="00EF2D2B" w:rsidRDefault="001C4C31" w:rsidP="001C4C31">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1C4C31" w:rsidRPr="00EF2D2B" w:rsidRDefault="001C4C31" w:rsidP="001C4C31">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1C4C31" w:rsidRPr="00EF2D2B" w:rsidTr="001C4C31">
        <w:tc>
          <w:tcPr>
            <w:tcW w:w="3723"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Data sampling &amp; phasor estimate</w:t>
            </w:r>
          </w:p>
        </w:tc>
        <w:tc>
          <w:tcPr>
            <w:tcW w:w="5621" w:type="dxa"/>
          </w:tcPr>
          <w:p w:rsidR="001C4C31" w:rsidRPr="00731F96" w:rsidRDefault="001C4C31" w:rsidP="001C4C31">
            <w:pPr>
              <w:pStyle w:val="TableParagraph"/>
              <w:tabs>
                <w:tab w:val="left" w:pos="0"/>
              </w:tabs>
              <w:spacing w:line="276" w:lineRule="auto"/>
              <w:ind w:right="434"/>
              <w:rPr>
                <w:sz w:val="20"/>
                <w:szCs w:val="20"/>
                <w:lang w:val="mn-MN"/>
              </w:rPr>
            </w:pPr>
            <w:r w:rsidRPr="00731F96">
              <w:rPr>
                <w:sz w:val="20"/>
                <w:szCs w:val="20"/>
                <w:lang w:val="mn-MN"/>
              </w:rPr>
              <w:t>PMU estimates synchrophasor and frequency values from voltages and currents</w:t>
            </w:r>
          </w:p>
        </w:tc>
      </w:tr>
      <w:tr w:rsidR="001C4C31" w:rsidRPr="00731F96" w:rsidTr="001C4C31">
        <w:tc>
          <w:tcPr>
            <w:tcW w:w="3723"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Data sending &amp; receiving</w:t>
            </w:r>
          </w:p>
        </w:tc>
        <w:tc>
          <w:tcPr>
            <w:tcW w:w="5621"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sends values that are received by relay</w:t>
            </w:r>
          </w:p>
        </w:tc>
      </w:tr>
      <w:tr w:rsidR="001C4C31" w:rsidRPr="00731F96" w:rsidTr="001C4C31">
        <w:tc>
          <w:tcPr>
            <w:tcW w:w="3723"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Relay decision</w:t>
            </w:r>
          </w:p>
        </w:tc>
        <w:tc>
          <w:tcPr>
            <w:tcW w:w="5621" w:type="dxa"/>
          </w:tcPr>
          <w:p w:rsidR="001C4C31" w:rsidRPr="00731F96" w:rsidRDefault="001C4C31" w:rsidP="001C4C31">
            <w:pPr>
              <w:pStyle w:val="TableParagraph"/>
              <w:tabs>
                <w:tab w:val="left" w:pos="0"/>
              </w:tabs>
              <w:spacing w:line="276" w:lineRule="auto"/>
              <w:ind w:right="434"/>
              <w:rPr>
                <w:sz w:val="20"/>
                <w:szCs w:val="20"/>
                <w:lang w:val="mn-MN"/>
              </w:rPr>
            </w:pPr>
            <w:r w:rsidRPr="00731F96">
              <w:rPr>
                <w:sz w:val="20"/>
                <w:szCs w:val="20"/>
                <w:lang w:val="mn-MN"/>
              </w:rPr>
              <w:t>Checks phase angle between selected inputs and issues a signal to breaker if included angle is within limits</w:t>
            </w:r>
          </w:p>
        </w:tc>
      </w:tr>
    </w:tbl>
    <w:p w:rsidR="001C4C31" w:rsidRPr="00EF2D2B" w:rsidRDefault="001C4C31" w:rsidP="001C4C31">
      <w:pPr>
        <w:tabs>
          <w:tab w:val="left" w:pos="0"/>
        </w:tabs>
        <w:spacing w:before="93"/>
        <w:rPr>
          <w:b/>
        </w:rPr>
      </w:pPr>
    </w:p>
    <w:p w:rsidR="001C4C31" w:rsidRPr="00731F96" w:rsidRDefault="001C4C31" w:rsidP="001C4C31">
      <w:pPr>
        <w:tabs>
          <w:tab w:val="left" w:pos="0"/>
        </w:tabs>
        <w:spacing w:before="93"/>
        <w:ind w:left="0" w:firstLine="0"/>
        <w:rPr>
          <w:b/>
        </w:rPr>
      </w:pPr>
      <w:r w:rsidRPr="00731F96">
        <w:rPr>
          <w:b/>
        </w:rPr>
        <w:t>Үндсэн</w:t>
      </w:r>
      <w:r>
        <w:rPr>
          <w:b/>
        </w:rPr>
        <w:t xml:space="preserve"> урсгал:</w:t>
      </w:r>
    </w:p>
    <w:p w:rsidR="001C4C31" w:rsidRPr="00EF2D2B" w:rsidRDefault="001C4C31" w:rsidP="001C4C31">
      <w:pPr>
        <w:tabs>
          <w:tab w:val="left" w:pos="0"/>
        </w:tabs>
        <w:spacing w:before="93"/>
        <w:ind w:left="0" w:firstLine="0"/>
        <w:rPr>
          <w:b/>
        </w:rPr>
      </w:pPr>
      <w:r w:rsidRPr="00EF2D2B">
        <w:rPr>
          <w:b/>
        </w:rPr>
        <w:t>Ө</w:t>
      </w:r>
      <w:r>
        <w:rPr>
          <w:b/>
        </w:rPr>
        <w:t>гөгдөл үүсгэх ба илгээх</w:t>
      </w:r>
    </w:p>
    <w:tbl>
      <w:tblPr>
        <w:tblStyle w:val="TableGrid"/>
        <w:tblW w:w="0" w:type="auto"/>
        <w:tblLook w:val="04A0" w:firstRow="1" w:lastRow="0" w:firstColumn="1" w:lastColumn="0" w:noHBand="0" w:noVBand="1"/>
      </w:tblPr>
      <w:tblGrid>
        <w:gridCol w:w="2547"/>
        <w:gridCol w:w="6797"/>
      </w:tblGrid>
      <w:tr w:rsidR="001C4C31" w:rsidRPr="00EF2D2B" w:rsidTr="001C4C31">
        <w:tc>
          <w:tcPr>
            <w:tcW w:w="2547" w:type="dxa"/>
          </w:tcPr>
          <w:p w:rsidR="001C4C31" w:rsidRPr="00EF2D2B" w:rsidRDefault="001C4C31" w:rsidP="001C4C31">
            <w:pPr>
              <w:pStyle w:val="TableParagraph"/>
              <w:tabs>
                <w:tab w:val="left" w:pos="0"/>
              </w:tabs>
              <w:spacing w:line="276" w:lineRule="auto"/>
              <w:ind w:left="309"/>
              <w:rPr>
                <w:b/>
                <w:sz w:val="20"/>
                <w:szCs w:val="20"/>
                <w:lang w:val="mn-MN"/>
              </w:rPr>
            </w:pPr>
            <w:r>
              <w:rPr>
                <w:b/>
                <w:sz w:val="20"/>
                <w:szCs w:val="20"/>
                <w:lang w:val="mn-MN"/>
              </w:rPr>
              <w:t>Алхмууд</w:t>
            </w:r>
          </w:p>
        </w:tc>
        <w:tc>
          <w:tcPr>
            <w:tcW w:w="6797" w:type="dxa"/>
          </w:tcPr>
          <w:p w:rsidR="001C4C31" w:rsidRPr="00731F96" w:rsidRDefault="001C4C31" w:rsidP="001C4C31">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Алхам 1</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нь V ба I –ээс синхрофазор ба системийн давтамжийг тооцоолдог</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Алхам 2</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нь өгөгдсөн гаралтын хурдаар фазууд болон давтамжийг сонгоно</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Алхам 3</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нь тохирох төлөв, цаг хугацааны тэмдэг бүхий өгөгдлийг багцалдаг</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Алхам 4</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нь реле руу өгөгдлийг илгээнэ</w:t>
            </w:r>
          </w:p>
        </w:tc>
      </w:tr>
    </w:tbl>
    <w:p w:rsidR="001C4C31" w:rsidRPr="00731F96" w:rsidRDefault="001C4C31" w:rsidP="001C4C31">
      <w:pPr>
        <w:tabs>
          <w:tab w:val="left" w:pos="0"/>
        </w:tabs>
        <w:spacing w:before="93"/>
        <w:ind w:left="0" w:firstLine="0"/>
        <w:rPr>
          <w:b/>
        </w:rPr>
      </w:pPr>
      <w:r>
        <w:rPr>
          <w:b/>
        </w:rPr>
        <w:t>Basic flow:</w:t>
      </w:r>
    </w:p>
    <w:p w:rsidR="001C4C31" w:rsidRPr="00EF2D2B" w:rsidRDefault="001C4C31" w:rsidP="001C4C31">
      <w:pPr>
        <w:tabs>
          <w:tab w:val="left" w:pos="0"/>
        </w:tabs>
        <w:spacing w:before="93"/>
        <w:ind w:left="0" w:firstLine="0"/>
        <w:rPr>
          <w:b/>
        </w:rPr>
      </w:pPr>
      <w:r>
        <w:rPr>
          <w:b/>
        </w:rPr>
        <w:t>Data origination &amp; sending</w:t>
      </w:r>
    </w:p>
    <w:tbl>
      <w:tblPr>
        <w:tblStyle w:val="TableGrid"/>
        <w:tblW w:w="0" w:type="auto"/>
        <w:tblLook w:val="04A0" w:firstRow="1" w:lastRow="0" w:firstColumn="1" w:lastColumn="0" w:noHBand="0" w:noVBand="1"/>
      </w:tblPr>
      <w:tblGrid>
        <w:gridCol w:w="2547"/>
        <w:gridCol w:w="6797"/>
      </w:tblGrid>
      <w:tr w:rsidR="001C4C31" w:rsidRPr="00731F96" w:rsidTr="001C4C31">
        <w:tc>
          <w:tcPr>
            <w:tcW w:w="2547" w:type="dxa"/>
          </w:tcPr>
          <w:p w:rsidR="001C4C31" w:rsidRPr="00EF2D2B" w:rsidRDefault="001C4C31" w:rsidP="001C4C31">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6797" w:type="dxa"/>
          </w:tcPr>
          <w:p w:rsidR="001C4C31" w:rsidRPr="00EF2D2B" w:rsidRDefault="001C4C31" w:rsidP="001C4C31">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Step 1</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computes V &amp; I synchrophasors &amp; system frequency</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Step 2</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selects phasors and frequency at given output rate</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Step 3</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packages data with appropriate status and time stamp</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Step 4</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sends data to relay</w:t>
            </w:r>
          </w:p>
        </w:tc>
      </w:tr>
    </w:tbl>
    <w:p w:rsidR="001C4C31" w:rsidRDefault="001C4C31" w:rsidP="001C4C31">
      <w:pPr>
        <w:spacing w:after="0" w:line="240" w:lineRule="auto"/>
        <w:ind w:left="0" w:firstLine="0"/>
        <w:rPr>
          <w:b/>
          <w:bCs/>
          <w:color w:val="000000"/>
          <w:shd w:val="clear" w:color="auto" w:fill="FFFFFF"/>
          <w:lang w:val="en-US"/>
        </w:rPr>
      </w:pPr>
    </w:p>
    <w:p w:rsidR="001C4C31" w:rsidRPr="00EF2D2B" w:rsidRDefault="001C4C31" w:rsidP="001C4C31">
      <w:pPr>
        <w:tabs>
          <w:tab w:val="left" w:pos="0"/>
        </w:tabs>
        <w:spacing w:before="93"/>
        <w:ind w:left="0" w:firstLine="0"/>
        <w:rPr>
          <w:b/>
        </w:rPr>
      </w:pPr>
      <w:r w:rsidRPr="00EF2D2B">
        <w:rPr>
          <w:b/>
        </w:rPr>
        <w:t>Ө</w:t>
      </w:r>
      <w:r>
        <w:rPr>
          <w:b/>
        </w:rPr>
        <w:t>гөгдөл хүлээн авах ба ажиллагаа</w:t>
      </w:r>
    </w:p>
    <w:tbl>
      <w:tblPr>
        <w:tblStyle w:val="TableGrid"/>
        <w:tblW w:w="0" w:type="auto"/>
        <w:tblLook w:val="04A0" w:firstRow="1" w:lastRow="0" w:firstColumn="1" w:lastColumn="0" w:noHBand="0" w:noVBand="1"/>
      </w:tblPr>
      <w:tblGrid>
        <w:gridCol w:w="1880"/>
        <w:gridCol w:w="7464"/>
      </w:tblGrid>
      <w:tr w:rsidR="001C4C31" w:rsidRPr="00EF2D2B" w:rsidTr="001C4C31">
        <w:tc>
          <w:tcPr>
            <w:tcW w:w="1880" w:type="dxa"/>
          </w:tcPr>
          <w:p w:rsidR="001C4C31" w:rsidRPr="00EF2D2B" w:rsidRDefault="001C4C31" w:rsidP="001C4C31">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1C4C31" w:rsidRPr="00731F96" w:rsidRDefault="001C4C31" w:rsidP="001C4C31">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1C4C31" w:rsidRPr="00731F96" w:rsidTr="001C4C31">
        <w:tc>
          <w:tcPr>
            <w:tcW w:w="1880"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Реле нь синхрофазорын өгөгдлийг хүлээн авна</w:t>
            </w:r>
          </w:p>
        </w:tc>
      </w:tr>
      <w:tr w:rsidR="001C4C31" w:rsidRPr="00731F96" w:rsidTr="001C4C31">
        <w:tc>
          <w:tcPr>
            <w:tcW w:w="1880"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Реле нь фазын өнцгийн зохих өгөгдлийг гаргаж, төлөвийн флагуудыг шалгана</w:t>
            </w:r>
          </w:p>
        </w:tc>
      </w:tr>
      <w:tr w:rsidR="001C4C31" w:rsidRPr="00731F96" w:rsidTr="001C4C31">
        <w:tc>
          <w:tcPr>
            <w:tcW w:w="1880"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1C4C31" w:rsidRPr="00731F96" w:rsidRDefault="001C4C31" w:rsidP="001C4C31">
            <w:pPr>
              <w:pStyle w:val="TableParagraph"/>
              <w:tabs>
                <w:tab w:val="left" w:pos="0"/>
              </w:tabs>
              <w:spacing w:before="58" w:line="276" w:lineRule="auto"/>
              <w:rPr>
                <w:sz w:val="20"/>
                <w:szCs w:val="20"/>
                <w:lang w:val="mn-MN"/>
              </w:rPr>
            </w:pPr>
            <w:r w:rsidRPr="00731F96">
              <w:rPr>
                <w:sz w:val="20"/>
                <w:szCs w:val="20"/>
                <w:lang w:val="mn-MN"/>
              </w:rPr>
              <w:t>Реле нь сонгосон оролтуудын хооронд фазын өнцгийг шалгана</w:t>
            </w:r>
          </w:p>
        </w:tc>
      </w:tr>
      <w:tr w:rsidR="001C4C31" w:rsidRPr="00731F96" w:rsidTr="001C4C31">
        <w:tc>
          <w:tcPr>
            <w:tcW w:w="1880"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Алхам 4</w:t>
            </w:r>
          </w:p>
        </w:tc>
        <w:tc>
          <w:tcPr>
            <w:tcW w:w="7464" w:type="dxa"/>
          </w:tcPr>
          <w:p w:rsidR="001C4C31" w:rsidRPr="00731F96" w:rsidRDefault="001C4C31" w:rsidP="001C4C31">
            <w:pPr>
              <w:pStyle w:val="TableParagraph"/>
              <w:tabs>
                <w:tab w:val="left" w:pos="0"/>
              </w:tabs>
              <w:spacing w:line="276" w:lineRule="auto"/>
              <w:ind w:left="105"/>
              <w:rPr>
                <w:sz w:val="20"/>
                <w:szCs w:val="20"/>
                <w:lang w:val="mn-MN"/>
              </w:rPr>
            </w:pPr>
            <w:r w:rsidRPr="00731F96">
              <w:rPr>
                <w:sz w:val="20"/>
                <w:szCs w:val="20"/>
                <w:lang w:val="mn-MN"/>
              </w:rPr>
              <w:t>Реле нь шаардлагатай бол шийдвэр гаргах ба команд өгнө</w:t>
            </w:r>
          </w:p>
        </w:tc>
      </w:tr>
    </w:tbl>
    <w:p w:rsidR="001C4C31" w:rsidRDefault="001C4C31" w:rsidP="001C4C31">
      <w:pPr>
        <w:tabs>
          <w:tab w:val="left" w:pos="0"/>
        </w:tabs>
        <w:spacing w:before="93"/>
        <w:ind w:left="0" w:firstLine="0"/>
        <w:rPr>
          <w:b/>
        </w:rPr>
      </w:pPr>
      <w:r w:rsidRPr="00731F96">
        <w:rPr>
          <w:b/>
        </w:rPr>
        <w:t>Data receivin</w:t>
      </w:r>
      <w:r>
        <w:rPr>
          <w:b/>
        </w:rPr>
        <w:t>g &amp; action</w:t>
      </w:r>
    </w:p>
    <w:tbl>
      <w:tblPr>
        <w:tblStyle w:val="TableGrid"/>
        <w:tblW w:w="0" w:type="auto"/>
        <w:tblLook w:val="04A0" w:firstRow="1" w:lastRow="0" w:firstColumn="1" w:lastColumn="0" w:noHBand="0" w:noVBand="1"/>
      </w:tblPr>
      <w:tblGrid>
        <w:gridCol w:w="1880"/>
        <w:gridCol w:w="7464"/>
      </w:tblGrid>
      <w:tr w:rsidR="001C4C31" w:rsidRPr="00731F96" w:rsidTr="001C4C31">
        <w:tc>
          <w:tcPr>
            <w:tcW w:w="1880" w:type="dxa"/>
          </w:tcPr>
          <w:p w:rsidR="001C4C31" w:rsidRPr="00EF2D2B" w:rsidRDefault="001C4C31" w:rsidP="001C4C31">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1C4C31" w:rsidRPr="00EF2D2B" w:rsidRDefault="001C4C31" w:rsidP="001C4C31">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1C4C31" w:rsidRPr="00731F96" w:rsidTr="001C4C31">
        <w:tc>
          <w:tcPr>
            <w:tcW w:w="1880" w:type="dxa"/>
          </w:tcPr>
          <w:p w:rsidR="001C4C31" w:rsidRPr="00EF2D2B" w:rsidRDefault="001C4C31" w:rsidP="001C4C31">
            <w:pPr>
              <w:pStyle w:val="TableParagraph"/>
              <w:tabs>
                <w:tab w:val="left" w:pos="0"/>
              </w:tabs>
              <w:spacing w:line="276" w:lineRule="auto"/>
              <w:ind w:left="105"/>
              <w:rPr>
                <w:sz w:val="20"/>
                <w:szCs w:val="20"/>
                <w:lang w:val="mn-MN"/>
              </w:rPr>
            </w:pPr>
            <w:r w:rsidRPr="00EF2D2B">
              <w:rPr>
                <w:sz w:val="20"/>
                <w:szCs w:val="20"/>
                <w:lang w:val="mn-MN"/>
              </w:rPr>
              <w:t>Step 1</w:t>
            </w:r>
          </w:p>
        </w:tc>
        <w:tc>
          <w:tcPr>
            <w:tcW w:w="7464" w:type="dxa"/>
          </w:tcPr>
          <w:p w:rsidR="001C4C31" w:rsidRPr="00731F96" w:rsidRDefault="001C4C31" w:rsidP="001C4C31">
            <w:pPr>
              <w:pStyle w:val="TableParagraph"/>
              <w:tabs>
                <w:tab w:val="left" w:pos="0"/>
              </w:tabs>
              <w:spacing w:line="276" w:lineRule="auto"/>
              <w:ind w:left="105"/>
              <w:rPr>
                <w:sz w:val="20"/>
                <w:szCs w:val="20"/>
                <w:lang w:val="mn-MN"/>
              </w:rPr>
            </w:pPr>
            <w:r w:rsidRPr="00731F96">
              <w:rPr>
                <w:sz w:val="20"/>
                <w:szCs w:val="20"/>
                <w:lang w:val="mn-MN"/>
              </w:rPr>
              <w:t>Relay receives synchrophasor data</w:t>
            </w:r>
          </w:p>
        </w:tc>
      </w:tr>
      <w:tr w:rsidR="001C4C31" w:rsidRPr="00731F96" w:rsidTr="001C4C31">
        <w:tc>
          <w:tcPr>
            <w:tcW w:w="1880" w:type="dxa"/>
          </w:tcPr>
          <w:p w:rsidR="001C4C31" w:rsidRPr="00EF2D2B" w:rsidRDefault="001C4C31" w:rsidP="001C4C31">
            <w:pPr>
              <w:pStyle w:val="TableParagraph"/>
              <w:tabs>
                <w:tab w:val="left" w:pos="0"/>
              </w:tabs>
              <w:spacing w:line="276" w:lineRule="auto"/>
              <w:ind w:left="105"/>
              <w:rPr>
                <w:sz w:val="20"/>
                <w:szCs w:val="20"/>
                <w:lang w:val="mn-MN"/>
              </w:rPr>
            </w:pPr>
            <w:r w:rsidRPr="00EF2D2B">
              <w:rPr>
                <w:sz w:val="20"/>
                <w:szCs w:val="20"/>
                <w:lang w:val="mn-MN"/>
              </w:rPr>
              <w:t>Step 2</w:t>
            </w:r>
          </w:p>
        </w:tc>
        <w:tc>
          <w:tcPr>
            <w:tcW w:w="7464" w:type="dxa"/>
          </w:tcPr>
          <w:p w:rsidR="001C4C31" w:rsidRPr="00731F96" w:rsidRDefault="001C4C31" w:rsidP="001C4C31">
            <w:pPr>
              <w:pStyle w:val="TableParagraph"/>
              <w:tabs>
                <w:tab w:val="left" w:pos="0"/>
              </w:tabs>
              <w:spacing w:line="276" w:lineRule="auto"/>
              <w:ind w:left="105"/>
              <w:rPr>
                <w:sz w:val="20"/>
                <w:szCs w:val="20"/>
                <w:lang w:val="mn-MN"/>
              </w:rPr>
            </w:pPr>
            <w:r w:rsidRPr="00731F96">
              <w:rPr>
                <w:sz w:val="20"/>
                <w:szCs w:val="20"/>
                <w:lang w:val="mn-MN"/>
              </w:rPr>
              <w:t>Relay extracts appropriate phase angle data and checks status flags</w:t>
            </w:r>
          </w:p>
        </w:tc>
      </w:tr>
      <w:tr w:rsidR="001C4C31" w:rsidRPr="00731F96" w:rsidTr="001C4C31">
        <w:tc>
          <w:tcPr>
            <w:tcW w:w="1880" w:type="dxa"/>
          </w:tcPr>
          <w:p w:rsidR="001C4C31" w:rsidRPr="00EF2D2B" w:rsidRDefault="001C4C31" w:rsidP="001C4C31">
            <w:pPr>
              <w:pStyle w:val="TableParagraph"/>
              <w:tabs>
                <w:tab w:val="left" w:pos="0"/>
              </w:tabs>
              <w:spacing w:line="276" w:lineRule="auto"/>
              <w:ind w:left="105"/>
              <w:rPr>
                <w:sz w:val="20"/>
                <w:szCs w:val="20"/>
                <w:lang w:val="mn-MN"/>
              </w:rPr>
            </w:pPr>
            <w:r w:rsidRPr="00EF2D2B">
              <w:rPr>
                <w:sz w:val="20"/>
                <w:szCs w:val="20"/>
                <w:lang w:val="mn-MN"/>
              </w:rPr>
              <w:t>Step 3</w:t>
            </w:r>
          </w:p>
        </w:tc>
        <w:tc>
          <w:tcPr>
            <w:tcW w:w="7464" w:type="dxa"/>
          </w:tcPr>
          <w:p w:rsidR="001C4C31" w:rsidRPr="00731F96" w:rsidRDefault="001C4C31" w:rsidP="001C4C31">
            <w:pPr>
              <w:pStyle w:val="TableParagraph"/>
              <w:tabs>
                <w:tab w:val="left" w:pos="0"/>
              </w:tabs>
              <w:spacing w:line="276" w:lineRule="auto"/>
              <w:ind w:left="105"/>
              <w:rPr>
                <w:sz w:val="20"/>
                <w:szCs w:val="20"/>
                <w:lang w:val="mn-MN"/>
              </w:rPr>
            </w:pPr>
            <w:r w:rsidRPr="00731F96">
              <w:rPr>
                <w:sz w:val="20"/>
                <w:szCs w:val="20"/>
                <w:lang w:val="mn-MN"/>
              </w:rPr>
              <w:t>Relay checks phase angle between selected inputs</w:t>
            </w:r>
          </w:p>
        </w:tc>
      </w:tr>
      <w:tr w:rsidR="001C4C31" w:rsidRPr="00731F96" w:rsidTr="001C4C31">
        <w:tc>
          <w:tcPr>
            <w:tcW w:w="1880" w:type="dxa"/>
          </w:tcPr>
          <w:p w:rsidR="001C4C31" w:rsidRPr="00EF2D2B" w:rsidRDefault="001C4C31" w:rsidP="001C4C31">
            <w:pPr>
              <w:pStyle w:val="TableParagraph"/>
              <w:tabs>
                <w:tab w:val="left" w:pos="0"/>
              </w:tabs>
              <w:spacing w:line="276" w:lineRule="auto"/>
              <w:ind w:left="105"/>
              <w:rPr>
                <w:sz w:val="20"/>
                <w:szCs w:val="20"/>
                <w:lang w:val="mn-MN"/>
              </w:rPr>
            </w:pPr>
            <w:r w:rsidRPr="00EF2D2B">
              <w:rPr>
                <w:sz w:val="20"/>
                <w:szCs w:val="20"/>
                <w:lang w:val="mn-MN"/>
              </w:rPr>
              <w:t>Step 4</w:t>
            </w:r>
          </w:p>
        </w:tc>
        <w:tc>
          <w:tcPr>
            <w:tcW w:w="7464" w:type="dxa"/>
          </w:tcPr>
          <w:p w:rsidR="001C4C31" w:rsidRPr="00731F96" w:rsidRDefault="001C4C31" w:rsidP="001C4C31">
            <w:pPr>
              <w:pStyle w:val="TableParagraph"/>
              <w:tabs>
                <w:tab w:val="left" w:pos="0"/>
              </w:tabs>
              <w:spacing w:line="276" w:lineRule="auto"/>
              <w:ind w:left="105"/>
              <w:rPr>
                <w:sz w:val="20"/>
                <w:szCs w:val="20"/>
                <w:lang w:val="mn-MN"/>
              </w:rPr>
            </w:pPr>
            <w:r w:rsidRPr="00731F96">
              <w:rPr>
                <w:sz w:val="20"/>
                <w:szCs w:val="20"/>
                <w:lang w:val="mn-MN"/>
              </w:rPr>
              <w:t>Relay makes decision &amp; issues command if needed</w:t>
            </w:r>
          </w:p>
        </w:tc>
      </w:tr>
    </w:tbl>
    <w:p w:rsidR="001C4C31" w:rsidRPr="00731F96" w:rsidRDefault="001C4C31" w:rsidP="001C4C31">
      <w:pPr>
        <w:tabs>
          <w:tab w:val="left" w:pos="0"/>
        </w:tabs>
        <w:spacing w:before="93"/>
        <w:ind w:left="0" w:firstLine="0"/>
        <w:rPr>
          <w:b/>
        </w:rPr>
      </w:pPr>
    </w:p>
    <w:p w:rsidR="001C4C31" w:rsidRDefault="001C4C31"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4672"/>
        <w:gridCol w:w="4672"/>
      </w:tblGrid>
      <w:tr w:rsidR="001C4C31" w:rsidTr="001C4C31">
        <w:tc>
          <w:tcPr>
            <w:tcW w:w="4672" w:type="dxa"/>
          </w:tcPr>
          <w:p w:rsidR="001C4C31" w:rsidRPr="001C4C31" w:rsidRDefault="001C4C31" w:rsidP="001C4C31">
            <w:pPr>
              <w:tabs>
                <w:tab w:val="left" w:pos="0"/>
              </w:tabs>
              <w:ind w:left="0" w:firstLine="0"/>
              <w:rPr>
                <w:rFonts w:eastAsia="Calibri"/>
                <w:szCs w:val="22"/>
              </w:rPr>
            </w:pPr>
            <w:r w:rsidRPr="001C4C31">
              <w:rPr>
                <w:rFonts w:eastAsia="Calibri"/>
                <w:szCs w:val="22"/>
              </w:rPr>
              <w:t>Хязгаарын шаардлага:</w:t>
            </w:r>
          </w:p>
          <w:p w:rsidR="001C4C31" w:rsidRPr="001C4C31" w:rsidRDefault="001C4C31" w:rsidP="001C4C31">
            <w:pPr>
              <w:tabs>
                <w:tab w:val="left" w:pos="0"/>
              </w:tabs>
              <w:ind w:left="0" w:firstLine="0"/>
              <w:rPr>
                <w:rFonts w:eastAsia="Calibri"/>
                <w:szCs w:val="22"/>
              </w:rPr>
            </w:pPr>
            <w:r w:rsidRPr="001C4C31">
              <w:rPr>
                <w:rFonts w:eastAsia="Calibri"/>
                <w:szCs w:val="22"/>
              </w:rPr>
              <w:t>Синхрофазорын хэмжилтийг янз бүрийн хурдаар дамжуулах боломжтой ба IEEE C37.118.1 болон бусад стандартад нийцсэн байна. Дараах хүснэгтэд хэмжилтийн хамгийн бага хурд, өгөгдөл дамжуулах хамгийн их хоцрогдол, хэмжилтийн хугацааны хамгийн их алдааг нэгтгэн харуулав. Хэмжилтийн хугацааны алдаа нь хэрэглээнд чухал ач холбогдолтой фазын өнцгийн хэмжилтийн алдаанд шууд нөлөөлдөг.Ийм хэмжилтийн алдааг IEEE C37.118.1-ээр зохицуулна</w:t>
            </w:r>
          </w:p>
        </w:tc>
        <w:tc>
          <w:tcPr>
            <w:tcW w:w="4672" w:type="dxa"/>
          </w:tcPr>
          <w:p w:rsidR="001C4C31" w:rsidRPr="001C4C31" w:rsidRDefault="001C4C31" w:rsidP="001C4C31">
            <w:pPr>
              <w:tabs>
                <w:tab w:val="left" w:pos="0"/>
              </w:tabs>
              <w:ind w:left="0" w:firstLine="0"/>
              <w:rPr>
                <w:rFonts w:eastAsia="Calibri"/>
                <w:szCs w:val="22"/>
              </w:rPr>
            </w:pPr>
            <w:r w:rsidRPr="001C4C31">
              <w:rPr>
                <w:rFonts w:eastAsia="Calibri"/>
                <w:szCs w:val="22"/>
              </w:rPr>
              <w:t>Constraints:</w:t>
            </w:r>
          </w:p>
          <w:p w:rsidR="001C4C31" w:rsidRPr="001C4C31" w:rsidRDefault="001C4C31" w:rsidP="001C4C31">
            <w:pPr>
              <w:tabs>
                <w:tab w:val="left" w:pos="0"/>
              </w:tabs>
              <w:ind w:left="0" w:firstLine="0"/>
              <w:rPr>
                <w:rFonts w:eastAsia="Calibri"/>
                <w:szCs w:val="22"/>
              </w:rPr>
            </w:pPr>
            <w:r w:rsidRPr="001C4C31">
              <w:rPr>
                <w:rFonts w:eastAsia="Calibri"/>
                <w:szCs w:val="22"/>
              </w:rPr>
              <w:t xml:space="preserve">Synchrophasor measurements can be communicated at a variety of rates and may conform to other standards such as IEEE C37.118.1. The following table summarizes a minimum measurement transmission rate,  maximum  delay in data transmission, and maximum measurement time error. The measurement timing error contributes directly to error in phase angle measurement which is critical for this application. Such measurement errors </w:t>
            </w:r>
            <w:r>
              <w:rPr>
                <w:rFonts w:eastAsia="Calibri"/>
                <w:szCs w:val="22"/>
              </w:rPr>
              <w:t>are governed by IEEE C37.118.1.</w:t>
            </w:r>
          </w:p>
        </w:tc>
      </w:tr>
    </w:tbl>
    <w:p w:rsidR="001C4C31" w:rsidRDefault="001C4C31" w:rsidP="001C4C31">
      <w:pPr>
        <w:spacing w:after="0" w:line="240" w:lineRule="auto"/>
        <w:ind w:left="0" w:firstLine="0"/>
        <w:jc w:val="center"/>
        <w:rPr>
          <w:b/>
          <w:bCs/>
          <w:color w:val="000000"/>
          <w:shd w:val="clear" w:color="auto" w:fill="FFFFFF"/>
          <w:lang w:val="en-US"/>
        </w:rPr>
      </w:pPr>
    </w:p>
    <w:p w:rsidR="001C4C31" w:rsidRDefault="001C4C31"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3114"/>
        <w:gridCol w:w="3115"/>
        <w:gridCol w:w="3115"/>
      </w:tblGrid>
      <w:tr w:rsidR="001C4C31" w:rsidTr="001C4C31">
        <w:tc>
          <w:tcPr>
            <w:tcW w:w="3114" w:type="dxa"/>
          </w:tcPr>
          <w:p w:rsidR="001C4C31" w:rsidRPr="00EF2D2B" w:rsidRDefault="001C4C31" w:rsidP="001C4C31">
            <w:pPr>
              <w:pStyle w:val="TableParagraph"/>
              <w:tabs>
                <w:tab w:val="left" w:pos="0"/>
              </w:tabs>
              <w:spacing w:line="276" w:lineRule="auto"/>
              <w:ind w:left="309"/>
              <w:rPr>
                <w:b/>
                <w:sz w:val="20"/>
                <w:szCs w:val="20"/>
                <w:lang w:val="mn-MN"/>
              </w:rPr>
            </w:pPr>
            <w:r w:rsidRPr="00EF2D2B">
              <w:rPr>
                <w:b/>
                <w:sz w:val="20"/>
                <w:szCs w:val="20"/>
                <w:lang w:val="mn-MN"/>
              </w:rPr>
              <w:t>Хамгийн бага хурд</w:t>
            </w:r>
          </w:p>
        </w:tc>
        <w:tc>
          <w:tcPr>
            <w:tcW w:w="3115" w:type="dxa"/>
          </w:tcPr>
          <w:p w:rsidR="001C4C31" w:rsidRPr="00EF2D2B" w:rsidRDefault="001C4C31" w:rsidP="001C4C31">
            <w:pPr>
              <w:pStyle w:val="TableParagraph"/>
              <w:tabs>
                <w:tab w:val="left" w:pos="0"/>
              </w:tabs>
              <w:spacing w:line="276" w:lineRule="auto"/>
              <w:ind w:left="309" w:right="132"/>
              <w:rPr>
                <w:b/>
                <w:sz w:val="20"/>
                <w:szCs w:val="20"/>
                <w:lang w:val="mn-MN"/>
              </w:rPr>
            </w:pPr>
            <w:r w:rsidRPr="00EF2D2B">
              <w:rPr>
                <w:b/>
                <w:sz w:val="20"/>
                <w:szCs w:val="20"/>
                <w:lang w:val="mn-MN"/>
              </w:rPr>
              <w:t>Мэдээлэл дамжуулах хамгийн их хоцрогдлын (хүлээгдэл) хугацаа</w:t>
            </w:r>
          </w:p>
        </w:tc>
        <w:tc>
          <w:tcPr>
            <w:tcW w:w="3115" w:type="dxa"/>
          </w:tcPr>
          <w:p w:rsidR="001C4C31" w:rsidRPr="00EF2D2B" w:rsidRDefault="001C4C31" w:rsidP="001C4C31">
            <w:pPr>
              <w:pStyle w:val="TableParagraph"/>
              <w:tabs>
                <w:tab w:val="left" w:pos="0"/>
              </w:tabs>
              <w:spacing w:line="276" w:lineRule="auto"/>
              <w:ind w:left="309" w:right="132"/>
              <w:rPr>
                <w:b/>
                <w:sz w:val="20"/>
                <w:szCs w:val="20"/>
                <w:lang w:val="mn-MN"/>
              </w:rPr>
            </w:pPr>
            <w:r w:rsidRPr="00EF2D2B">
              <w:rPr>
                <w:b/>
                <w:sz w:val="20"/>
                <w:szCs w:val="20"/>
                <w:lang w:val="mn-MN"/>
              </w:rPr>
              <w:t>Хэмжилтийн хугацааны хамгийн их алдаа</w:t>
            </w:r>
          </w:p>
        </w:tc>
      </w:tr>
      <w:tr w:rsidR="001C4C31" w:rsidTr="001C4C31">
        <w:tc>
          <w:tcPr>
            <w:tcW w:w="3114" w:type="dxa"/>
          </w:tcPr>
          <w:p w:rsidR="001C4C31" w:rsidRPr="00EF2D2B" w:rsidRDefault="001C4C31" w:rsidP="001C4C31">
            <w:pPr>
              <w:pStyle w:val="TableParagraph"/>
              <w:tabs>
                <w:tab w:val="left" w:pos="0"/>
              </w:tabs>
              <w:spacing w:line="276" w:lineRule="auto"/>
              <w:ind w:left="105"/>
              <w:rPr>
                <w:sz w:val="20"/>
                <w:szCs w:val="20"/>
                <w:lang w:val="mn-MN"/>
              </w:rPr>
            </w:pPr>
            <w:r w:rsidRPr="00EF2D2B">
              <w:rPr>
                <w:sz w:val="20"/>
                <w:szCs w:val="20"/>
                <w:lang w:val="mn-MN"/>
              </w:rPr>
              <w:t>4/секунд</w:t>
            </w:r>
          </w:p>
        </w:tc>
        <w:tc>
          <w:tcPr>
            <w:tcW w:w="3115" w:type="dxa"/>
          </w:tcPr>
          <w:p w:rsidR="001C4C31" w:rsidRPr="00731F96" w:rsidRDefault="001C4C31" w:rsidP="001C4C31">
            <w:pPr>
              <w:pStyle w:val="TableParagraph"/>
              <w:tabs>
                <w:tab w:val="left" w:pos="0"/>
              </w:tabs>
              <w:spacing w:line="276" w:lineRule="auto"/>
              <w:ind w:left="105" w:right="1165"/>
              <w:jc w:val="center"/>
              <w:rPr>
                <w:sz w:val="20"/>
                <w:szCs w:val="20"/>
                <w:lang w:val="mn-MN"/>
              </w:rPr>
            </w:pPr>
            <w:r w:rsidRPr="00731F96">
              <w:rPr>
                <w:sz w:val="20"/>
                <w:szCs w:val="20"/>
                <w:lang w:val="mn-MN"/>
              </w:rPr>
              <w:t>0,1 с</w:t>
            </w:r>
          </w:p>
        </w:tc>
        <w:tc>
          <w:tcPr>
            <w:tcW w:w="3115" w:type="dxa"/>
          </w:tcPr>
          <w:p w:rsidR="001C4C31" w:rsidRPr="00731F96" w:rsidRDefault="001C4C31" w:rsidP="001C4C31">
            <w:pPr>
              <w:pStyle w:val="TableParagraph"/>
              <w:tabs>
                <w:tab w:val="left" w:pos="0"/>
              </w:tabs>
              <w:spacing w:line="276" w:lineRule="auto"/>
              <w:ind w:left="105" w:right="1054"/>
              <w:jc w:val="center"/>
              <w:rPr>
                <w:sz w:val="20"/>
                <w:szCs w:val="20"/>
                <w:lang w:val="mn-MN"/>
              </w:rPr>
            </w:pPr>
            <w:r w:rsidRPr="00731F96">
              <w:rPr>
                <w:sz w:val="20"/>
                <w:szCs w:val="20"/>
                <w:lang w:val="mn-MN"/>
              </w:rPr>
              <w:t>0,05 мс</w:t>
            </w:r>
          </w:p>
        </w:tc>
      </w:tr>
    </w:tbl>
    <w:p w:rsidR="001C4C31" w:rsidRDefault="001C4C31" w:rsidP="001C4C31">
      <w:pPr>
        <w:spacing w:after="0" w:line="240" w:lineRule="auto"/>
        <w:ind w:left="0" w:firstLine="0"/>
        <w:jc w:val="center"/>
        <w:rPr>
          <w:b/>
          <w:bCs/>
          <w:color w:val="000000"/>
          <w:shd w:val="clear" w:color="auto" w:fill="FFFFFF"/>
          <w:lang w:val="en-US"/>
        </w:rPr>
      </w:pPr>
    </w:p>
    <w:p w:rsidR="001C4C31" w:rsidRDefault="001C4C31"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3114"/>
        <w:gridCol w:w="3115"/>
        <w:gridCol w:w="3115"/>
      </w:tblGrid>
      <w:tr w:rsidR="001C4C31" w:rsidRPr="00EF2D2B" w:rsidTr="001C4C31">
        <w:tc>
          <w:tcPr>
            <w:tcW w:w="3114" w:type="dxa"/>
          </w:tcPr>
          <w:p w:rsidR="001C4C31" w:rsidRPr="00731F96" w:rsidRDefault="001C4C31" w:rsidP="001C4C31">
            <w:pPr>
              <w:pStyle w:val="TableParagraph"/>
              <w:tabs>
                <w:tab w:val="left" w:pos="0"/>
              </w:tabs>
              <w:spacing w:line="276" w:lineRule="auto"/>
              <w:ind w:left="309"/>
              <w:rPr>
                <w:b/>
                <w:sz w:val="20"/>
                <w:szCs w:val="20"/>
                <w:lang w:val="mn-MN"/>
              </w:rPr>
            </w:pPr>
            <w:r w:rsidRPr="00731F96">
              <w:rPr>
                <w:b/>
                <w:sz w:val="20"/>
                <w:szCs w:val="20"/>
                <w:lang w:val="mn-MN"/>
              </w:rPr>
              <w:t>Minimum rate</w:t>
            </w:r>
          </w:p>
        </w:tc>
        <w:tc>
          <w:tcPr>
            <w:tcW w:w="3115" w:type="dxa"/>
          </w:tcPr>
          <w:p w:rsidR="001C4C31" w:rsidRPr="00731F96" w:rsidRDefault="001C4C31" w:rsidP="001C4C31">
            <w:pPr>
              <w:pStyle w:val="TableParagraph"/>
              <w:tabs>
                <w:tab w:val="left" w:pos="0"/>
              </w:tabs>
              <w:spacing w:line="276" w:lineRule="auto"/>
              <w:ind w:left="309"/>
              <w:rPr>
                <w:b/>
                <w:sz w:val="20"/>
                <w:szCs w:val="20"/>
                <w:lang w:val="mn-MN"/>
              </w:rPr>
            </w:pPr>
            <w:r w:rsidRPr="00731F96">
              <w:rPr>
                <w:b/>
                <w:sz w:val="20"/>
                <w:szCs w:val="20"/>
                <w:lang w:val="mn-MN"/>
              </w:rPr>
              <w:t>Maximum communication delay (latency) time</w:t>
            </w:r>
          </w:p>
        </w:tc>
        <w:tc>
          <w:tcPr>
            <w:tcW w:w="3115" w:type="dxa"/>
          </w:tcPr>
          <w:p w:rsidR="001C4C31" w:rsidRPr="00EF2D2B" w:rsidRDefault="001C4C31" w:rsidP="001C4C31">
            <w:pPr>
              <w:pStyle w:val="TableParagraph"/>
              <w:tabs>
                <w:tab w:val="left" w:pos="0"/>
              </w:tabs>
              <w:spacing w:line="276" w:lineRule="auto"/>
              <w:ind w:left="309"/>
              <w:rPr>
                <w:b/>
                <w:sz w:val="20"/>
                <w:szCs w:val="20"/>
                <w:lang w:val="mn-MN"/>
              </w:rPr>
            </w:pPr>
            <w:r w:rsidRPr="00EF2D2B">
              <w:rPr>
                <w:b/>
                <w:sz w:val="20"/>
                <w:szCs w:val="20"/>
                <w:lang w:val="mn-MN"/>
              </w:rPr>
              <w:t>Maximum measurement timing error</w:t>
            </w:r>
          </w:p>
        </w:tc>
      </w:tr>
      <w:tr w:rsidR="001C4C31" w:rsidRPr="00731F96" w:rsidTr="001C4C31">
        <w:tc>
          <w:tcPr>
            <w:tcW w:w="3114" w:type="dxa"/>
          </w:tcPr>
          <w:p w:rsidR="001C4C31" w:rsidRPr="00EF2D2B" w:rsidRDefault="001C4C31" w:rsidP="001C4C31">
            <w:pPr>
              <w:pStyle w:val="TableParagraph"/>
              <w:tabs>
                <w:tab w:val="left" w:pos="0"/>
              </w:tabs>
              <w:spacing w:line="276" w:lineRule="auto"/>
              <w:ind w:left="105"/>
              <w:rPr>
                <w:sz w:val="20"/>
                <w:szCs w:val="20"/>
                <w:lang w:val="mn-MN"/>
              </w:rPr>
            </w:pPr>
            <w:r w:rsidRPr="00EF2D2B">
              <w:rPr>
                <w:sz w:val="20"/>
                <w:szCs w:val="20"/>
                <w:lang w:val="mn-MN"/>
              </w:rPr>
              <w:t>4/second</w:t>
            </w:r>
          </w:p>
        </w:tc>
        <w:tc>
          <w:tcPr>
            <w:tcW w:w="3115" w:type="dxa"/>
          </w:tcPr>
          <w:p w:rsidR="001C4C31" w:rsidRPr="00731F96" w:rsidRDefault="001C4C31" w:rsidP="001C4C31">
            <w:pPr>
              <w:pStyle w:val="TableParagraph"/>
              <w:tabs>
                <w:tab w:val="left" w:pos="0"/>
              </w:tabs>
              <w:spacing w:line="276" w:lineRule="auto"/>
              <w:ind w:left="105" w:right="1165"/>
              <w:jc w:val="center"/>
              <w:rPr>
                <w:sz w:val="20"/>
                <w:szCs w:val="20"/>
                <w:lang w:val="mn-MN"/>
              </w:rPr>
            </w:pPr>
            <w:r w:rsidRPr="00731F96">
              <w:rPr>
                <w:sz w:val="20"/>
                <w:szCs w:val="20"/>
                <w:lang w:val="mn-MN"/>
              </w:rPr>
              <w:t>0,1 s</w:t>
            </w:r>
          </w:p>
        </w:tc>
        <w:tc>
          <w:tcPr>
            <w:tcW w:w="3115" w:type="dxa"/>
          </w:tcPr>
          <w:p w:rsidR="001C4C31" w:rsidRPr="00731F96" w:rsidRDefault="001C4C31" w:rsidP="001C4C31">
            <w:pPr>
              <w:pStyle w:val="TableParagraph"/>
              <w:tabs>
                <w:tab w:val="left" w:pos="0"/>
              </w:tabs>
              <w:spacing w:line="276" w:lineRule="auto"/>
              <w:ind w:left="105" w:right="1054"/>
              <w:jc w:val="center"/>
              <w:rPr>
                <w:sz w:val="20"/>
                <w:szCs w:val="20"/>
                <w:lang w:val="mn-MN"/>
              </w:rPr>
            </w:pPr>
            <w:r w:rsidRPr="00731F96">
              <w:rPr>
                <w:sz w:val="20"/>
                <w:szCs w:val="20"/>
                <w:lang w:val="mn-MN"/>
              </w:rPr>
              <w:t>0,05 ms</w:t>
            </w:r>
          </w:p>
        </w:tc>
      </w:tr>
    </w:tbl>
    <w:p w:rsidR="001C4C31" w:rsidRDefault="001C4C31" w:rsidP="001C4C31">
      <w:pPr>
        <w:spacing w:after="0" w:line="240" w:lineRule="auto"/>
        <w:ind w:left="0" w:firstLine="0"/>
        <w:jc w:val="center"/>
        <w:rPr>
          <w:b/>
          <w:bCs/>
          <w:color w:val="000000"/>
          <w:shd w:val="clear" w:color="auto" w:fill="FFFFFF"/>
          <w:lang w:val="en-US"/>
        </w:rPr>
      </w:pPr>
    </w:p>
    <w:p w:rsidR="001C4C31" w:rsidRDefault="001C4C31"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4672"/>
        <w:gridCol w:w="4672"/>
      </w:tblGrid>
      <w:tr w:rsidR="001C4C31" w:rsidTr="001C4C31">
        <w:tc>
          <w:tcPr>
            <w:tcW w:w="4672" w:type="dxa"/>
          </w:tcPr>
          <w:p w:rsidR="001C4C31" w:rsidRPr="001C4C31" w:rsidRDefault="001C4C31" w:rsidP="001C4C31">
            <w:pPr>
              <w:tabs>
                <w:tab w:val="left" w:pos="0"/>
              </w:tabs>
              <w:ind w:left="0" w:firstLine="0"/>
              <w:rPr>
                <w:rFonts w:eastAsia="Calibri"/>
                <w:b/>
                <w:szCs w:val="22"/>
              </w:rPr>
            </w:pPr>
            <w:r w:rsidRPr="001C4C31">
              <w:rPr>
                <w:rFonts w:eastAsia="Calibri"/>
                <w:b/>
                <w:szCs w:val="22"/>
              </w:rPr>
              <w:t xml:space="preserve"> 5.4</w:t>
            </w:r>
            <w:r>
              <w:rPr>
                <w:rFonts w:eastAsia="Calibri"/>
                <w:szCs w:val="22"/>
              </w:rPr>
              <w:t xml:space="preserve"> </w:t>
            </w:r>
            <w:r w:rsidRPr="001C4C31">
              <w:rPr>
                <w:rFonts w:eastAsia="Calibri"/>
                <w:b/>
                <w:szCs w:val="22"/>
              </w:rPr>
              <w:t>Тохируулагдах реле</w:t>
            </w:r>
          </w:p>
          <w:p w:rsidR="001C4C31" w:rsidRPr="001C4C31" w:rsidRDefault="001C4C31" w:rsidP="001C4C31">
            <w:pPr>
              <w:tabs>
                <w:tab w:val="left" w:pos="0"/>
              </w:tabs>
              <w:ind w:left="0" w:firstLine="0"/>
              <w:rPr>
                <w:rFonts w:eastAsia="Calibri"/>
                <w:szCs w:val="22"/>
              </w:rPr>
            </w:pPr>
            <w:r w:rsidRPr="001C4C31">
              <w:rPr>
                <w:rFonts w:eastAsia="Calibri"/>
                <w:szCs w:val="22"/>
              </w:rPr>
              <w:t>Энэ хэрэглээнд өгөгдлийг нэг буюу хэд хэдэн PMU төхөөрөмжөөс релений хяналтын функц руу илгээдэг.Ерөнхий өгөгдлийн урсгалыг 2-р зурагт үзүүлэв.Хүлээн авагч төхөөрөмж нь энэхүү мэдээллийг ашиглан релений параметрүүдэд тохируулах буюу системийн бодит тохиргоонд үндэслэн тохиргоог хийдэг тул реле нь оновчтой шийдвэр гаргадаг.Одоогийн байдлаар энэ төрлийн хэрэглээ нь хурд багатай бөгөөд фазор хэмжилтийн системийн нарийвчлал, өргөн цар хүрээтэй байдлын давуу талыг ашигладаг.</w:t>
            </w:r>
          </w:p>
        </w:tc>
        <w:tc>
          <w:tcPr>
            <w:tcW w:w="4672" w:type="dxa"/>
          </w:tcPr>
          <w:p w:rsidR="001C4C31" w:rsidRPr="001C4C31" w:rsidRDefault="001C4C31" w:rsidP="001C4C31">
            <w:pPr>
              <w:tabs>
                <w:tab w:val="left" w:pos="0"/>
              </w:tabs>
              <w:ind w:left="0" w:firstLine="0"/>
              <w:rPr>
                <w:rFonts w:eastAsia="Calibri"/>
                <w:b/>
                <w:szCs w:val="22"/>
              </w:rPr>
            </w:pPr>
            <w:r w:rsidRPr="001C4C31">
              <w:rPr>
                <w:rFonts w:eastAsia="Calibri"/>
                <w:b/>
                <w:szCs w:val="22"/>
              </w:rPr>
              <w:t>5.4 Adaptive relaying</w:t>
            </w:r>
          </w:p>
          <w:p w:rsidR="001C4C31" w:rsidRPr="001C4C31" w:rsidRDefault="001C4C31" w:rsidP="001C4C31">
            <w:pPr>
              <w:tabs>
                <w:tab w:val="left" w:pos="0"/>
              </w:tabs>
              <w:ind w:left="0" w:firstLine="0"/>
              <w:rPr>
                <w:rFonts w:eastAsia="Calibri"/>
                <w:szCs w:val="22"/>
              </w:rPr>
            </w:pPr>
            <w:r w:rsidRPr="001C4C31">
              <w:rPr>
                <w:rFonts w:eastAsia="Calibri"/>
                <w:szCs w:val="22"/>
              </w:rPr>
              <w:t xml:space="preserve">In this application, data is sent from one or more PMU devices to a relay supervision function. The general information flow is shown in </w:t>
            </w:r>
            <w:hyperlink w:anchor="_bookmark2" w:history="1">
              <w:r w:rsidRPr="001C4C31">
                <w:rPr>
                  <w:rFonts w:eastAsia="Calibri"/>
                  <w:szCs w:val="22"/>
                </w:rPr>
                <w:t>Figure 2.</w:t>
              </w:r>
            </w:hyperlink>
            <w:r w:rsidRPr="001C4C31">
              <w:rPr>
                <w:rFonts w:eastAsia="Calibri"/>
                <w:szCs w:val="22"/>
              </w:rPr>
              <w:t xml:space="preserve">  The receiving device uses this information  to adjust relaying parameters or settings so the relay is making optimal  decisions  based on  the actual system configuration. This type of application as currently envisioned is a  low- speed application that takes advantage of the precision and wider observability of the phasor measurement system</w:t>
            </w:r>
          </w:p>
        </w:tc>
      </w:tr>
    </w:tbl>
    <w:p w:rsidR="001C4C31" w:rsidRDefault="001C4C31" w:rsidP="001C4C31">
      <w:pPr>
        <w:spacing w:after="0" w:line="240" w:lineRule="auto"/>
        <w:ind w:left="0" w:firstLine="0"/>
        <w:jc w:val="center"/>
        <w:rPr>
          <w:b/>
          <w:bCs/>
          <w:color w:val="000000"/>
          <w:shd w:val="clear" w:color="auto" w:fill="FFFFFF"/>
          <w:lang w:val="en-US"/>
        </w:rPr>
      </w:pPr>
    </w:p>
    <w:p w:rsidR="001C4C31" w:rsidRDefault="001C4C31" w:rsidP="001C4C31">
      <w:pPr>
        <w:spacing w:after="0" w:line="240" w:lineRule="auto"/>
        <w:ind w:left="0" w:firstLine="0"/>
        <w:jc w:val="center"/>
        <w:rPr>
          <w:b/>
          <w:bCs/>
          <w:color w:val="000000"/>
          <w:shd w:val="clear" w:color="auto" w:fill="FFFFFF"/>
          <w:lang w:val="en-US"/>
        </w:rPr>
      </w:pPr>
    </w:p>
    <w:p w:rsidR="001C4C31" w:rsidRDefault="001C4C31" w:rsidP="001C4C31">
      <w:pPr>
        <w:spacing w:after="0" w:line="240" w:lineRule="auto"/>
        <w:ind w:left="0" w:firstLine="0"/>
        <w:jc w:val="center"/>
        <w:rPr>
          <w:b/>
          <w:bCs/>
          <w:color w:val="000000"/>
          <w:shd w:val="clear" w:color="auto" w:fill="FFFFFF"/>
          <w:lang w:val="en-US"/>
        </w:rPr>
      </w:pPr>
      <w:r>
        <w:rPr>
          <w:noProof/>
          <w:lang w:val="en-US"/>
        </w:rPr>
        <w:lastRenderedPageBreak/>
        <w:drawing>
          <wp:inline distT="0" distB="0" distL="0" distR="0" wp14:anchorId="42C13DD8" wp14:editId="48B47891">
            <wp:extent cx="516255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2550" cy="2609850"/>
                    </a:xfrm>
                    <a:prstGeom prst="rect">
                      <a:avLst/>
                    </a:prstGeom>
                  </pic:spPr>
                </pic:pic>
              </a:graphicData>
            </a:graphic>
          </wp:inline>
        </w:drawing>
      </w:r>
    </w:p>
    <w:p w:rsidR="001C4C31" w:rsidRDefault="001C4C31" w:rsidP="001C4C31">
      <w:pPr>
        <w:spacing w:after="0" w:line="240" w:lineRule="auto"/>
        <w:ind w:left="0" w:firstLine="0"/>
        <w:jc w:val="center"/>
        <w:rPr>
          <w:b/>
          <w:bCs/>
          <w:color w:val="000000"/>
          <w:shd w:val="clear" w:color="auto" w:fill="FFFFFF"/>
          <w:lang w:val="en-US"/>
        </w:rPr>
      </w:pPr>
      <w:r w:rsidRPr="001C4C31">
        <w:rPr>
          <w:b/>
          <w:bCs/>
          <w:color w:val="000000"/>
          <w:shd w:val="clear" w:color="auto" w:fill="FFFFFF"/>
          <w:lang w:val="en-US"/>
        </w:rPr>
        <w:t>2</w:t>
      </w:r>
      <w:r>
        <w:rPr>
          <w:b/>
          <w:bCs/>
          <w:color w:val="000000"/>
          <w:shd w:val="clear" w:color="auto" w:fill="FFFFFF"/>
        </w:rPr>
        <w:t>-р з</w:t>
      </w:r>
      <w:r w:rsidRPr="001C4C31">
        <w:rPr>
          <w:b/>
          <w:bCs/>
          <w:color w:val="000000"/>
          <w:shd w:val="clear" w:color="auto" w:fill="FFFFFF"/>
          <w:lang w:val="en-US"/>
        </w:rPr>
        <w:t>ураг</w:t>
      </w:r>
      <w:r>
        <w:rPr>
          <w:b/>
          <w:bCs/>
          <w:color w:val="000000"/>
          <w:shd w:val="clear" w:color="auto" w:fill="FFFFFF"/>
          <w:lang w:val="en-US"/>
        </w:rPr>
        <w:t xml:space="preserve"> </w:t>
      </w:r>
      <w:r w:rsidRPr="001C4C31">
        <w:rPr>
          <w:b/>
          <w:bCs/>
          <w:color w:val="000000"/>
          <w:shd w:val="clear" w:color="auto" w:fill="FFFFFF"/>
          <w:lang w:val="en-US"/>
        </w:rPr>
        <w:t>– Дасан зохицох тохируулгатай реленд ашиглах схем</w:t>
      </w:r>
    </w:p>
    <w:p w:rsidR="001C4C31" w:rsidRDefault="001C4C31" w:rsidP="001C4C31">
      <w:pPr>
        <w:spacing w:after="0" w:line="240" w:lineRule="auto"/>
        <w:ind w:left="0" w:firstLine="0"/>
        <w:jc w:val="center"/>
        <w:rPr>
          <w:b/>
          <w:bCs/>
          <w:color w:val="000000"/>
          <w:shd w:val="clear" w:color="auto" w:fill="FFFFFF"/>
          <w:lang w:val="en-US"/>
        </w:rPr>
      </w:pPr>
    </w:p>
    <w:p w:rsidR="001C4C31" w:rsidRDefault="001C4C31" w:rsidP="001C4C31">
      <w:pPr>
        <w:spacing w:after="0" w:line="240" w:lineRule="auto"/>
        <w:ind w:left="0" w:firstLine="0"/>
        <w:jc w:val="center"/>
        <w:rPr>
          <w:bCs/>
          <w:color w:val="000000"/>
          <w:shd w:val="clear" w:color="auto" w:fill="FFFFFF"/>
          <w:lang w:val="en-US"/>
        </w:rPr>
      </w:pPr>
      <w:r>
        <w:rPr>
          <w:noProof/>
          <w:lang w:val="en-US"/>
        </w:rPr>
        <w:drawing>
          <wp:inline distT="0" distB="0" distL="0" distR="0" wp14:anchorId="5D165195" wp14:editId="3C6FBB60">
            <wp:extent cx="5181600" cy="2638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1600" cy="2638425"/>
                    </a:xfrm>
                    <a:prstGeom prst="rect">
                      <a:avLst/>
                    </a:prstGeom>
                  </pic:spPr>
                </pic:pic>
              </a:graphicData>
            </a:graphic>
          </wp:inline>
        </w:drawing>
      </w:r>
    </w:p>
    <w:p w:rsidR="001C4C31" w:rsidRDefault="001C4C31" w:rsidP="001C4C31">
      <w:pPr>
        <w:spacing w:after="0" w:line="240" w:lineRule="auto"/>
        <w:ind w:left="0" w:firstLine="0"/>
        <w:jc w:val="center"/>
        <w:rPr>
          <w:b/>
          <w:bCs/>
          <w:color w:val="000000"/>
          <w:shd w:val="clear" w:color="auto" w:fill="FFFFFF"/>
          <w:lang w:val="en-US"/>
        </w:rPr>
      </w:pPr>
      <w:r w:rsidRPr="001C4C31">
        <w:rPr>
          <w:b/>
          <w:bCs/>
          <w:color w:val="000000"/>
          <w:shd w:val="clear" w:color="auto" w:fill="FFFFFF"/>
          <w:lang w:val="en-US"/>
        </w:rPr>
        <w:t>Figure 2 – Use case diagram for adaptive relaying</w:t>
      </w:r>
    </w:p>
    <w:p w:rsidR="001C4C31" w:rsidRDefault="001C4C31" w:rsidP="001C4C31">
      <w:pPr>
        <w:spacing w:after="0" w:line="240" w:lineRule="auto"/>
        <w:ind w:left="0" w:firstLine="0"/>
        <w:jc w:val="center"/>
        <w:rPr>
          <w:b/>
          <w:bCs/>
          <w:color w:val="000000"/>
          <w:shd w:val="clear" w:color="auto" w:fill="FFFFFF"/>
          <w:lang w:val="en-US"/>
        </w:rPr>
      </w:pPr>
    </w:p>
    <w:p w:rsidR="001C4C31" w:rsidRDefault="001C4C31" w:rsidP="001C4C31">
      <w:pPr>
        <w:spacing w:after="0" w:line="240" w:lineRule="auto"/>
        <w:ind w:left="0" w:firstLine="0"/>
        <w:jc w:val="center"/>
        <w:rPr>
          <w:b/>
          <w:bCs/>
          <w:color w:val="000000"/>
          <w:shd w:val="clear" w:color="auto" w:fill="FFFFFF"/>
          <w:lang w:val="en-US"/>
        </w:rPr>
      </w:pPr>
    </w:p>
    <w:p w:rsidR="001C4C31" w:rsidRPr="001C4C31" w:rsidRDefault="001C4C31" w:rsidP="001C4C31">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723"/>
        <w:gridCol w:w="5621"/>
      </w:tblGrid>
      <w:tr w:rsidR="001C4C31" w:rsidTr="000B62E7">
        <w:tc>
          <w:tcPr>
            <w:tcW w:w="3723" w:type="dxa"/>
          </w:tcPr>
          <w:p w:rsidR="001C4C31" w:rsidRPr="00EF2D2B" w:rsidRDefault="001C4C31" w:rsidP="001C4C31">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5621" w:type="dxa"/>
          </w:tcPr>
          <w:p w:rsidR="001C4C31" w:rsidRPr="00EF2D2B" w:rsidRDefault="001C4C31" w:rsidP="001C4C31">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0B62E7" w:rsidTr="001C4C31">
        <w:tc>
          <w:tcPr>
            <w:tcW w:w="3723"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PMU</w:t>
            </w:r>
          </w:p>
        </w:tc>
        <w:tc>
          <w:tcPr>
            <w:tcW w:w="5621" w:type="dxa"/>
          </w:tcPr>
          <w:p w:rsidR="000B62E7" w:rsidRPr="00731F96" w:rsidRDefault="000B62E7" w:rsidP="000B62E7">
            <w:pPr>
              <w:pStyle w:val="TableParagraph"/>
              <w:tabs>
                <w:tab w:val="left" w:pos="0"/>
              </w:tabs>
              <w:spacing w:line="276" w:lineRule="auto"/>
              <w:rPr>
                <w:sz w:val="20"/>
                <w:szCs w:val="20"/>
                <w:lang w:val="mn-MN"/>
              </w:rPr>
            </w:pPr>
            <w:r w:rsidRPr="00731F96">
              <w:rPr>
                <w:sz w:val="20"/>
                <w:szCs w:val="20"/>
                <w:lang w:val="mn-MN"/>
              </w:rPr>
              <w:t>Сонхрофазор ба давтамжийг тооцоолно</w:t>
            </w:r>
          </w:p>
        </w:tc>
      </w:tr>
      <w:tr w:rsidR="000B62E7" w:rsidTr="001C4C31">
        <w:tc>
          <w:tcPr>
            <w:tcW w:w="3723"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 xml:space="preserve">Релений хянагч  </w:t>
            </w:r>
          </w:p>
        </w:tc>
        <w:tc>
          <w:tcPr>
            <w:tcW w:w="5621" w:type="dxa"/>
          </w:tcPr>
          <w:p w:rsidR="000B62E7" w:rsidRPr="00731F96" w:rsidRDefault="000B62E7" w:rsidP="000B62E7">
            <w:pPr>
              <w:pStyle w:val="TableParagraph"/>
              <w:tabs>
                <w:tab w:val="left" w:pos="0"/>
              </w:tabs>
              <w:spacing w:line="276" w:lineRule="auto"/>
              <w:ind w:right="588"/>
              <w:rPr>
                <w:sz w:val="20"/>
                <w:szCs w:val="20"/>
                <w:lang w:val="mn-MN"/>
              </w:rPr>
            </w:pPr>
            <w:r w:rsidRPr="00731F96">
              <w:rPr>
                <w:sz w:val="20"/>
                <w:szCs w:val="20"/>
                <w:lang w:val="mn-MN"/>
              </w:rPr>
              <w:t>Синкрофазорын хэмжилтийг ашиглан урьдчилан тодорхойлсон алгоритм ба хүснэгтэд үндэслэн өгөгдөл хүлээн авч тохиргооны тохируулга хийдэг</w:t>
            </w:r>
          </w:p>
        </w:tc>
      </w:tr>
    </w:tbl>
    <w:p w:rsidR="001C4C31" w:rsidRPr="001C4C31" w:rsidRDefault="001C4C31" w:rsidP="001C4C31">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486"/>
        <w:gridCol w:w="5858"/>
      </w:tblGrid>
      <w:tr w:rsidR="001C4C31" w:rsidTr="001C4C31">
        <w:tc>
          <w:tcPr>
            <w:tcW w:w="3486" w:type="dxa"/>
          </w:tcPr>
          <w:p w:rsidR="001C4C31" w:rsidRPr="00EF2D2B" w:rsidRDefault="001C4C31" w:rsidP="001C4C31">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858" w:type="dxa"/>
          </w:tcPr>
          <w:p w:rsidR="001C4C31" w:rsidRPr="00EF2D2B" w:rsidRDefault="001C4C31" w:rsidP="001C4C31">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0B62E7" w:rsidTr="001C4C31">
        <w:tc>
          <w:tcPr>
            <w:tcW w:w="3486"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PMU</w:t>
            </w:r>
          </w:p>
        </w:tc>
        <w:tc>
          <w:tcPr>
            <w:tcW w:w="5858" w:type="dxa"/>
          </w:tcPr>
          <w:p w:rsidR="000B62E7" w:rsidRPr="00731F96" w:rsidRDefault="000B62E7" w:rsidP="000B62E7">
            <w:pPr>
              <w:pStyle w:val="TableParagraph"/>
              <w:tabs>
                <w:tab w:val="left" w:pos="0"/>
              </w:tabs>
              <w:spacing w:line="276" w:lineRule="auto"/>
              <w:rPr>
                <w:sz w:val="20"/>
                <w:szCs w:val="20"/>
                <w:lang w:val="mn-MN"/>
              </w:rPr>
            </w:pPr>
            <w:r w:rsidRPr="00731F96">
              <w:rPr>
                <w:sz w:val="20"/>
                <w:szCs w:val="20"/>
                <w:lang w:val="mn-MN"/>
              </w:rPr>
              <w:t>Computes synchrophasors &amp; frequency</w:t>
            </w:r>
          </w:p>
        </w:tc>
      </w:tr>
      <w:tr w:rsidR="000B62E7" w:rsidTr="001C4C31">
        <w:tc>
          <w:tcPr>
            <w:tcW w:w="3486"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Relay supervisor</w:t>
            </w:r>
          </w:p>
        </w:tc>
        <w:tc>
          <w:tcPr>
            <w:tcW w:w="5858" w:type="dxa"/>
          </w:tcPr>
          <w:p w:rsidR="000B62E7" w:rsidRPr="00731F96" w:rsidRDefault="000B62E7" w:rsidP="000B62E7">
            <w:pPr>
              <w:pStyle w:val="TableParagraph"/>
              <w:tabs>
                <w:tab w:val="left" w:pos="0"/>
              </w:tabs>
              <w:spacing w:line="276" w:lineRule="auto"/>
              <w:ind w:right="588"/>
              <w:rPr>
                <w:sz w:val="20"/>
                <w:szCs w:val="20"/>
                <w:lang w:val="mn-MN"/>
              </w:rPr>
            </w:pPr>
            <w:r w:rsidRPr="00731F96">
              <w:rPr>
                <w:sz w:val="20"/>
                <w:szCs w:val="20"/>
                <w:lang w:val="mn-MN"/>
              </w:rPr>
              <w:t>Receives data &amp; makes setting adjustments based on pre-determined algorithm and tables using syncrophasor measurements</w:t>
            </w:r>
          </w:p>
        </w:tc>
      </w:tr>
    </w:tbl>
    <w:p w:rsidR="001C4C31" w:rsidRDefault="001C4C31" w:rsidP="001C4C31">
      <w:pPr>
        <w:spacing w:after="0" w:line="240" w:lineRule="auto"/>
        <w:ind w:left="0" w:firstLine="0"/>
        <w:rPr>
          <w:b/>
          <w:bCs/>
          <w:color w:val="000000"/>
          <w:shd w:val="clear" w:color="auto" w:fill="FFFFFF"/>
          <w:lang w:val="en-US"/>
        </w:rPr>
      </w:pPr>
    </w:p>
    <w:p w:rsidR="001C4C31" w:rsidRDefault="001C4C31" w:rsidP="001C4C31">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723"/>
        <w:gridCol w:w="5621"/>
      </w:tblGrid>
      <w:tr w:rsidR="001C4C31" w:rsidRPr="00EF2D2B" w:rsidTr="001C4C31">
        <w:tc>
          <w:tcPr>
            <w:tcW w:w="3723" w:type="dxa"/>
          </w:tcPr>
          <w:p w:rsidR="001C4C31" w:rsidRPr="00EF2D2B" w:rsidRDefault="001C4C31" w:rsidP="001C4C31">
            <w:pPr>
              <w:pStyle w:val="TableParagraph"/>
              <w:tabs>
                <w:tab w:val="left" w:pos="0"/>
              </w:tabs>
              <w:spacing w:before="53" w:line="276" w:lineRule="auto"/>
              <w:ind w:left="1251" w:right="1251"/>
              <w:jc w:val="center"/>
              <w:rPr>
                <w:b/>
                <w:sz w:val="20"/>
                <w:szCs w:val="20"/>
                <w:lang w:val="mn-MN"/>
              </w:rPr>
            </w:pPr>
            <w:r w:rsidRPr="00EF2D2B">
              <w:rPr>
                <w:b/>
                <w:sz w:val="20"/>
                <w:szCs w:val="20"/>
                <w:lang w:val="mn-MN"/>
              </w:rPr>
              <w:lastRenderedPageBreak/>
              <w:t xml:space="preserve">Нэр </w:t>
            </w:r>
          </w:p>
        </w:tc>
        <w:tc>
          <w:tcPr>
            <w:tcW w:w="5621" w:type="dxa"/>
          </w:tcPr>
          <w:p w:rsidR="001C4C31" w:rsidRPr="00EF2D2B" w:rsidRDefault="001C4C31" w:rsidP="001C4C31">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0B62E7" w:rsidRPr="00731F96" w:rsidTr="001C4C31">
        <w:tc>
          <w:tcPr>
            <w:tcW w:w="3723" w:type="dxa"/>
          </w:tcPr>
          <w:p w:rsidR="000B62E7" w:rsidRPr="00731F96" w:rsidRDefault="000B62E7" w:rsidP="000B62E7">
            <w:pPr>
              <w:pStyle w:val="TableParagraph"/>
              <w:tabs>
                <w:tab w:val="left" w:pos="0"/>
              </w:tabs>
              <w:spacing w:line="276" w:lineRule="auto"/>
              <w:rPr>
                <w:sz w:val="20"/>
                <w:szCs w:val="20"/>
                <w:lang w:val="mn-MN"/>
              </w:rPr>
            </w:pPr>
            <w:r w:rsidRPr="00EF2D2B">
              <w:rPr>
                <w:sz w:val="20"/>
                <w:szCs w:val="20"/>
                <w:lang w:val="mn-MN"/>
              </w:rPr>
              <w:t>Өгөгдлийн түүвэр ба Фазор тооцоо</w:t>
            </w:r>
          </w:p>
        </w:tc>
        <w:tc>
          <w:tcPr>
            <w:tcW w:w="5621" w:type="dxa"/>
          </w:tcPr>
          <w:p w:rsidR="000B62E7" w:rsidRPr="00731F96" w:rsidRDefault="000B62E7" w:rsidP="000B62E7">
            <w:pPr>
              <w:pStyle w:val="TableParagraph"/>
              <w:tabs>
                <w:tab w:val="left" w:pos="0"/>
              </w:tabs>
              <w:spacing w:line="276" w:lineRule="auto"/>
              <w:ind w:right="588"/>
              <w:rPr>
                <w:sz w:val="20"/>
                <w:szCs w:val="20"/>
                <w:lang w:val="mn-MN"/>
              </w:rPr>
            </w:pPr>
            <w:r w:rsidRPr="00731F96">
              <w:rPr>
                <w:sz w:val="20"/>
                <w:szCs w:val="20"/>
                <w:lang w:val="mn-MN"/>
              </w:rPr>
              <w:t>PMU нь хүчдэл ба гүйдлээс синхрофазор ба давтамжийн утгыг тооцдог</w:t>
            </w:r>
          </w:p>
        </w:tc>
      </w:tr>
      <w:tr w:rsidR="000B62E7" w:rsidRPr="00731F96" w:rsidTr="001C4C31">
        <w:tc>
          <w:tcPr>
            <w:tcW w:w="3723"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Өгөгдөл илгээх ба хүлээн авах</w:t>
            </w:r>
          </w:p>
        </w:tc>
        <w:tc>
          <w:tcPr>
            <w:tcW w:w="5621" w:type="dxa"/>
          </w:tcPr>
          <w:p w:rsidR="000B62E7" w:rsidRPr="00731F96" w:rsidRDefault="000B62E7" w:rsidP="000B62E7">
            <w:pPr>
              <w:pStyle w:val="TableParagraph"/>
              <w:tabs>
                <w:tab w:val="left" w:pos="0"/>
              </w:tabs>
              <w:spacing w:line="276" w:lineRule="auto"/>
              <w:rPr>
                <w:sz w:val="20"/>
                <w:szCs w:val="20"/>
                <w:lang w:val="mn-MN"/>
              </w:rPr>
            </w:pPr>
            <w:r w:rsidRPr="00731F96">
              <w:rPr>
                <w:sz w:val="20"/>
                <w:szCs w:val="20"/>
                <w:lang w:val="mn-MN"/>
              </w:rPr>
              <w:t>PMU нь хянагч релений хүлээн авах утгуудыг илгээдэг</w:t>
            </w:r>
          </w:p>
        </w:tc>
      </w:tr>
      <w:tr w:rsidR="000B62E7" w:rsidRPr="00731F96" w:rsidTr="001C4C31">
        <w:tc>
          <w:tcPr>
            <w:tcW w:w="3723"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Хянагч релений  шийдвэр</w:t>
            </w:r>
          </w:p>
        </w:tc>
        <w:tc>
          <w:tcPr>
            <w:tcW w:w="5621" w:type="dxa"/>
          </w:tcPr>
          <w:p w:rsidR="000B62E7" w:rsidRPr="00731F96" w:rsidRDefault="000B62E7" w:rsidP="000B62E7">
            <w:pPr>
              <w:pStyle w:val="TableParagraph"/>
              <w:tabs>
                <w:tab w:val="left" w:pos="0"/>
              </w:tabs>
              <w:spacing w:line="276" w:lineRule="auto"/>
              <w:rPr>
                <w:sz w:val="20"/>
                <w:szCs w:val="20"/>
                <w:lang w:val="mn-MN"/>
              </w:rPr>
            </w:pPr>
            <w:r w:rsidRPr="00731F96">
              <w:rPr>
                <w:sz w:val="20"/>
                <w:szCs w:val="20"/>
                <w:lang w:val="mn-MN"/>
              </w:rPr>
              <w:t>Өгөгдсөн алгоритмыг ашиглан хэмжилтийг жишиг утгатай харьцуулж үздэг; шаардлагатай бол релений параметрүүдийг өөрчилнө.</w:t>
            </w:r>
          </w:p>
        </w:tc>
      </w:tr>
    </w:tbl>
    <w:p w:rsidR="001C4C31" w:rsidRPr="00EF2D2B" w:rsidRDefault="001C4C31" w:rsidP="001C4C31">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1C4C31" w:rsidRPr="00EF2D2B" w:rsidTr="001C4C31">
        <w:tc>
          <w:tcPr>
            <w:tcW w:w="3723" w:type="dxa"/>
          </w:tcPr>
          <w:p w:rsidR="001C4C31" w:rsidRPr="00EF2D2B" w:rsidRDefault="001C4C31" w:rsidP="001C4C31">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1C4C31" w:rsidRPr="00EF2D2B" w:rsidRDefault="001C4C31" w:rsidP="001C4C31">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0B62E7" w:rsidRPr="00EF2D2B" w:rsidTr="001C4C31">
        <w:tc>
          <w:tcPr>
            <w:tcW w:w="3723"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Data sampling &amp; phasor estimate</w:t>
            </w:r>
          </w:p>
        </w:tc>
        <w:tc>
          <w:tcPr>
            <w:tcW w:w="5621" w:type="dxa"/>
          </w:tcPr>
          <w:p w:rsidR="000B62E7" w:rsidRPr="00731F96" w:rsidRDefault="000B62E7" w:rsidP="000B62E7">
            <w:pPr>
              <w:pStyle w:val="TableParagraph"/>
              <w:tabs>
                <w:tab w:val="left" w:pos="0"/>
              </w:tabs>
              <w:spacing w:line="276" w:lineRule="auto"/>
              <w:ind w:right="588"/>
              <w:rPr>
                <w:sz w:val="20"/>
                <w:szCs w:val="20"/>
                <w:lang w:val="mn-MN"/>
              </w:rPr>
            </w:pPr>
            <w:r w:rsidRPr="00731F96">
              <w:rPr>
                <w:sz w:val="20"/>
                <w:szCs w:val="20"/>
                <w:lang w:val="mn-MN"/>
              </w:rPr>
              <w:t>PMU estimates synchrophasor and frequency values from voltages and currents</w:t>
            </w:r>
          </w:p>
        </w:tc>
      </w:tr>
      <w:tr w:rsidR="000B62E7" w:rsidRPr="00731F96" w:rsidTr="001C4C31">
        <w:tc>
          <w:tcPr>
            <w:tcW w:w="3723"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Data sending &amp; receiving</w:t>
            </w:r>
          </w:p>
        </w:tc>
        <w:tc>
          <w:tcPr>
            <w:tcW w:w="5621" w:type="dxa"/>
          </w:tcPr>
          <w:p w:rsidR="000B62E7" w:rsidRPr="00731F96" w:rsidRDefault="000B62E7" w:rsidP="000B62E7">
            <w:pPr>
              <w:pStyle w:val="TableParagraph"/>
              <w:tabs>
                <w:tab w:val="left" w:pos="0"/>
              </w:tabs>
              <w:spacing w:line="276" w:lineRule="auto"/>
              <w:rPr>
                <w:sz w:val="20"/>
                <w:szCs w:val="20"/>
                <w:lang w:val="mn-MN"/>
              </w:rPr>
            </w:pPr>
            <w:r w:rsidRPr="00731F96">
              <w:rPr>
                <w:sz w:val="20"/>
                <w:szCs w:val="20"/>
                <w:lang w:val="mn-MN"/>
              </w:rPr>
              <w:t>PMU sends values that are received by relay supervisor</w:t>
            </w:r>
          </w:p>
        </w:tc>
      </w:tr>
      <w:tr w:rsidR="000B62E7" w:rsidRPr="00731F96" w:rsidTr="001C4C31">
        <w:tc>
          <w:tcPr>
            <w:tcW w:w="3723" w:type="dxa"/>
          </w:tcPr>
          <w:p w:rsidR="000B62E7" w:rsidRPr="00EF2D2B" w:rsidRDefault="000B62E7" w:rsidP="000B62E7">
            <w:pPr>
              <w:pStyle w:val="TableParagraph"/>
              <w:tabs>
                <w:tab w:val="left" w:pos="0"/>
              </w:tabs>
              <w:spacing w:line="276" w:lineRule="auto"/>
              <w:rPr>
                <w:sz w:val="20"/>
                <w:szCs w:val="20"/>
                <w:lang w:val="mn-MN"/>
              </w:rPr>
            </w:pPr>
            <w:r w:rsidRPr="00EF2D2B">
              <w:rPr>
                <w:sz w:val="20"/>
                <w:szCs w:val="20"/>
                <w:lang w:val="mn-MN"/>
              </w:rPr>
              <w:t>Relay supervisor decision</w:t>
            </w:r>
          </w:p>
        </w:tc>
        <w:tc>
          <w:tcPr>
            <w:tcW w:w="5621" w:type="dxa"/>
          </w:tcPr>
          <w:p w:rsidR="000B62E7" w:rsidRPr="00731F96" w:rsidRDefault="000B62E7" w:rsidP="000B62E7">
            <w:pPr>
              <w:pStyle w:val="TableParagraph"/>
              <w:tabs>
                <w:tab w:val="left" w:pos="0"/>
              </w:tabs>
              <w:spacing w:line="276" w:lineRule="auto"/>
              <w:ind w:right="588"/>
              <w:rPr>
                <w:sz w:val="20"/>
                <w:szCs w:val="20"/>
                <w:lang w:val="mn-MN"/>
              </w:rPr>
            </w:pPr>
            <w:r w:rsidRPr="00731F96">
              <w:rPr>
                <w:sz w:val="20"/>
                <w:szCs w:val="20"/>
                <w:lang w:val="mn-MN"/>
              </w:rPr>
              <w:t>Compares measurements with reference values using given algorithms; changes relay parameters as needed.</w:t>
            </w:r>
          </w:p>
        </w:tc>
      </w:tr>
    </w:tbl>
    <w:p w:rsidR="001C4C31" w:rsidRPr="00EF2D2B" w:rsidRDefault="001C4C31" w:rsidP="001C4C31">
      <w:pPr>
        <w:tabs>
          <w:tab w:val="left" w:pos="0"/>
        </w:tabs>
        <w:spacing w:before="93"/>
        <w:rPr>
          <w:b/>
        </w:rPr>
      </w:pPr>
    </w:p>
    <w:p w:rsidR="001C4C31" w:rsidRPr="00731F96" w:rsidRDefault="001C4C31" w:rsidP="001C4C31">
      <w:pPr>
        <w:tabs>
          <w:tab w:val="left" w:pos="0"/>
        </w:tabs>
        <w:spacing w:before="93"/>
        <w:ind w:left="0" w:firstLine="0"/>
        <w:rPr>
          <w:b/>
        </w:rPr>
      </w:pPr>
      <w:r w:rsidRPr="00731F96">
        <w:rPr>
          <w:b/>
        </w:rPr>
        <w:t>Үндсэн</w:t>
      </w:r>
      <w:r>
        <w:rPr>
          <w:b/>
        </w:rPr>
        <w:t xml:space="preserve"> урсгал:</w:t>
      </w:r>
    </w:p>
    <w:p w:rsidR="001C4C31" w:rsidRPr="00EF2D2B" w:rsidRDefault="001C4C31" w:rsidP="001C4C31">
      <w:pPr>
        <w:tabs>
          <w:tab w:val="left" w:pos="0"/>
        </w:tabs>
        <w:spacing w:before="93"/>
        <w:ind w:left="0" w:firstLine="0"/>
        <w:rPr>
          <w:b/>
        </w:rPr>
      </w:pPr>
      <w:r w:rsidRPr="00EF2D2B">
        <w:rPr>
          <w:b/>
        </w:rPr>
        <w:t>Ө</w:t>
      </w:r>
      <w:r>
        <w:rPr>
          <w:b/>
        </w:rPr>
        <w:t>гөгдөл үүсгэх ба илгээх</w:t>
      </w:r>
    </w:p>
    <w:tbl>
      <w:tblPr>
        <w:tblStyle w:val="TableGrid"/>
        <w:tblW w:w="0" w:type="auto"/>
        <w:tblLook w:val="04A0" w:firstRow="1" w:lastRow="0" w:firstColumn="1" w:lastColumn="0" w:noHBand="0" w:noVBand="1"/>
      </w:tblPr>
      <w:tblGrid>
        <w:gridCol w:w="2547"/>
        <w:gridCol w:w="6797"/>
      </w:tblGrid>
      <w:tr w:rsidR="001C4C31" w:rsidRPr="00EF2D2B" w:rsidTr="001C4C31">
        <w:tc>
          <w:tcPr>
            <w:tcW w:w="2547" w:type="dxa"/>
          </w:tcPr>
          <w:p w:rsidR="001C4C31" w:rsidRPr="00EF2D2B" w:rsidRDefault="001C4C31" w:rsidP="001C4C31">
            <w:pPr>
              <w:pStyle w:val="TableParagraph"/>
              <w:tabs>
                <w:tab w:val="left" w:pos="0"/>
              </w:tabs>
              <w:spacing w:line="276" w:lineRule="auto"/>
              <w:ind w:left="309"/>
              <w:rPr>
                <w:b/>
                <w:sz w:val="20"/>
                <w:szCs w:val="20"/>
                <w:lang w:val="mn-MN"/>
              </w:rPr>
            </w:pPr>
            <w:r>
              <w:rPr>
                <w:b/>
                <w:sz w:val="20"/>
                <w:szCs w:val="20"/>
                <w:lang w:val="mn-MN"/>
              </w:rPr>
              <w:t>Алхмууд</w:t>
            </w:r>
          </w:p>
        </w:tc>
        <w:tc>
          <w:tcPr>
            <w:tcW w:w="6797" w:type="dxa"/>
          </w:tcPr>
          <w:p w:rsidR="001C4C31" w:rsidRPr="00731F96" w:rsidRDefault="001C4C31" w:rsidP="001C4C31">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6363B6" w:rsidRPr="00731F96" w:rsidTr="001C4C31">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1</w:t>
            </w:r>
          </w:p>
        </w:tc>
        <w:tc>
          <w:tcPr>
            <w:tcW w:w="6797"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PMU нь V ба I –ээс синхрофазор ба системийн давтамжийг тооцоолдог</w:t>
            </w:r>
          </w:p>
        </w:tc>
      </w:tr>
      <w:tr w:rsidR="006363B6" w:rsidRPr="00731F96" w:rsidTr="001C4C31">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2</w:t>
            </w:r>
          </w:p>
        </w:tc>
        <w:tc>
          <w:tcPr>
            <w:tcW w:w="6797"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PMU нь өгөгдсөн гаралтын хурдаар фазууд болон давтамжийг сонгоно</w:t>
            </w:r>
          </w:p>
        </w:tc>
      </w:tr>
      <w:tr w:rsidR="006363B6" w:rsidRPr="00731F96" w:rsidTr="001C4C31">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3</w:t>
            </w:r>
          </w:p>
        </w:tc>
        <w:tc>
          <w:tcPr>
            <w:tcW w:w="6797"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PMU нь тохирох төлөв, цаг хугацааны тэмдэг бүхий өгөгдлийг багцалдаг</w:t>
            </w:r>
          </w:p>
        </w:tc>
      </w:tr>
      <w:tr w:rsidR="006363B6" w:rsidRPr="00731F96" w:rsidTr="001C4C31">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4</w:t>
            </w:r>
          </w:p>
        </w:tc>
        <w:tc>
          <w:tcPr>
            <w:tcW w:w="6797"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PMU нь реле руу өгөгдлийг илгээнэ</w:t>
            </w:r>
          </w:p>
        </w:tc>
      </w:tr>
    </w:tbl>
    <w:p w:rsidR="001C4C31" w:rsidRPr="00731F96" w:rsidRDefault="001C4C31" w:rsidP="001C4C31">
      <w:pPr>
        <w:tabs>
          <w:tab w:val="left" w:pos="0"/>
        </w:tabs>
        <w:spacing w:before="93"/>
        <w:ind w:left="0" w:firstLine="0"/>
        <w:rPr>
          <w:b/>
        </w:rPr>
      </w:pPr>
      <w:r>
        <w:rPr>
          <w:b/>
        </w:rPr>
        <w:t>Basic flow:</w:t>
      </w:r>
    </w:p>
    <w:p w:rsidR="001C4C31" w:rsidRPr="00EF2D2B" w:rsidRDefault="001C4C31" w:rsidP="001C4C31">
      <w:pPr>
        <w:tabs>
          <w:tab w:val="left" w:pos="0"/>
        </w:tabs>
        <w:spacing w:before="93"/>
        <w:ind w:left="0" w:firstLine="0"/>
        <w:rPr>
          <w:b/>
        </w:rPr>
      </w:pPr>
      <w:r>
        <w:rPr>
          <w:b/>
        </w:rPr>
        <w:t>Data origination &amp; sending</w:t>
      </w:r>
    </w:p>
    <w:tbl>
      <w:tblPr>
        <w:tblStyle w:val="TableGrid"/>
        <w:tblW w:w="0" w:type="auto"/>
        <w:tblLook w:val="04A0" w:firstRow="1" w:lastRow="0" w:firstColumn="1" w:lastColumn="0" w:noHBand="0" w:noVBand="1"/>
      </w:tblPr>
      <w:tblGrid>
        <w:gridCol w:w="2547"/>
        <w:gridCol w:w="6797"/>
      </w:tblGrid>
      <w:tr w:rsidR="001C4C31" w:rsidRPr="00731F96" w:rsidTr="001C4C31">
        <w:tc>
          <w:tcPr>
            <w:tcW w:w="2547" w:type="dxa"/>
          </w:tcPr>
          <w:p w:rsidR="001C4C31" w:rsidRPr="00EF2D2B" w:rsidRDefault="001C4C31" w:rsidP="001C4C31">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6797" w:type="dxa"/>
          </w:tcPr>
          <w:p w:rsidR="001C4C31" w:rsidRPr="00EF2D2B" w:rsidRDefault="001C4C31" w:rsidP="001C4C31">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Step 1</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computes V &amp; I synchrophasors &amp; system frequency</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Step 2</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selects phasors and frequency at given output rate</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Step 3</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packages data with appropriate status and time stamp</w:t>
            </w:r>
          </w:p>
        </w:tc>
      </w:tr>
      <w:tr w:rsidR="001C4C31" w:rsidRPr="00731F96" w:rsidTr="001C4C31">
        <w:tc>
          <w:tcPr>
            <w:tcW w:w="2547" w:type="dxa"/>
          </w:tcPr>
          <w:p w:rsidR="001C4C31" w:rsidRPr="00EF2D2B" w:rsidRDefault="001C4C31" w:rsidP="001C4C31">
            <w:pPr>
              <w:pStyle w:val="TableParagraph"/>
              <w:tabs>
                <w:tab w:val="left" w:pos="0"/>
              </w:tabs>
              <w:spacing w:line="276" w:lineRule="auto"/>
              <w:rPr>
                <w:sz w:val="20"/>
                <w:szCs w:val="20"/>
                <w:lang w:val="mn-MN"/>
              </w:rPr>
            </w:pPr>
            <w:r w:rsidRPr="00EF2D2B">
              <w:rPr>
                <w:sz w:val="20"/>
                <w:szCs w:val="20"/>
                <w:lang w:val="mn-MN"/>
              </w:rPr>
              <w:t>Step 4</w:t>
            </w:r>
          </w:p>
        </w:tc>
        <w:tc>
          <w:tcPr>
            <w:tcW w:w="6797" w:type="dxa"/>
          </w:tcPr>
          <w:p w:rsidR="001C4C31" w:rsidRPr="00731F96" w:rsidRDefault="001C4C31" w:rsidP="001C4C31">
            <w:pPr>
              <w:pStyle w:val="TableParagraph"/>
              <w:tabs>
                <w:tab w:val="left" w:pos="0"/>
              </w:tabs>
              <w:spacing w:line="276" w:lineRule="auto"/>
              <w:rPr>
                <w:sz w:val="20"/>
                <w:szCs w:val="20"/>
                <w:lang w:val="mn-MN"/>
              </w:rPr>
            </w:pPr>
            <w:r w:rsidRPr="00731F96">
              <w:rPr>
                <w:sz w:val="20"/>
                <w:szCs w:val="20"/>
                <w:lang w:val="mn-MN"/>
              </w:rPr>
              <w:t>PMU sends data to relay</w:t>
            </w:r>
          </w:p>
        </w:tc>
      </w:tr>
    </w:tbl>
    <w:p w:rsidR="001C4C31" w:rsidRDefault="001C4C31" w:rsidP="001C4C31">
      <w:pPr>
        <w:spacing w:after="0" w:line="240" w:lineRule="auto"/>
        <w:ind w:left="0" w:firstLine="0"/>
        <w:rPr>
          <w:b/>
          <w:bCs/>
          <w:color w:val="000000"/>
          <w:shd w:val="clear" w:color="auto" w:fill="FFFFFF"/>
          <w:lang w:val="en-US"/>
        </w:rPr>
      </w:pPr>
    </w:p>
    <w:p w:rsidR="001C4C31" w:rsidRPr="00EF2D2B" w:rsidRDefault="001C4C31" w:rsidP="001C4C31">
      <w:pPr>
        <w:tabs>
          <w:tab w:val="left" w:pos="0"/>
        </w:tabs>
        <w:spacing w:before="93"/>
        <w:ind w:left="0" w:firstLine="0"/>
        <w:rPr>
          <w:b/>
        </w:rPr>
      </w:pPr>
      <w:r w:rsidRPr="00EF2D2B">
        <w:rPr>
          <w:b/>
        </w:rPr>
        <w:t>Ө</w:t>
      </w:r>
      <w:r>
        <w:rPr>
          <w:b/>
        </w:rPr>
        <w:t>гөгдөл хүлээн авах ба ажиллагаа</w:t>
      </w:r>
    </w:p>
    <w:tbl>
      <w:tblPr>
        <w:tblStyle w:val="TableGrid"/>
        <w:tblW w:w="0" w:type="auto"/>
        <w:tblLook w:val="04A0" w:firstRow="1" w:lastRow="0" w:firstColumn="1" w:lastColumn="0" w:noHBand="0" w:noVBand="1"/>
      </w:tblPr>
      <w:tblGrid>
        <w:gridCol w:w="1880"/>
        <w:gridCol w:w="7464"/>
      </w:tblGrid>
      <w:tr w:rsidR="001C4C31" w:rsidRPr="00EF2D2B" w:rsidTr="001C4C31">
        <w:tc>
          <w:tcPr>
            <w:tcW w:w="1880" w:type="dxa"/>
          </w:tcPr>
          <w:p w:rsidR="001C4C31" w:rsidRPr="00EF2D2B" w:rsidRDefault="001C4C31" w:rsidP="001C4C31">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1C4C31" w:rsidRPr="00731F96" w:rsidRDefault="001C4C31" w:rsidP="001C4C31">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6363B6" w:rsidRPr="00731F96" w:rsidTr="001C4C31">
        <w:tc>
          <w:tcPr>
            <w:tcW w:w="1880"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Хянагч реле нь синхрофазорын өгөгдлийг хүлээн авна</w:t>
            </w:r>
          </w:p>
        </w:tc>
      </w:tr>
      <w:tr w:rsidR="006363B6" w:rsidRPr="00731F96" w:rsidTr="001C4C31">
        <w:tc>
          <w:tcPr>
            <w:tcW w:w="1880"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Релений хянагч нь шаардлагатай бол хүчдэл/гүйдлийн өнцөг, хэмжээ, давтамжийн мэдээллийг авна</w:t>
            </w:r>
          </w:p>
        </w:tc>
      </w:tr>
      <w:tr w:rsidR="006363B6" w:rsidRPr="00731F96" w:rsidTr="001C4C31">
        <w:tc>
          <w:tcPr>
            <w:tcW w:w="1880"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6363B6" w:rsidRPr="00731F96" w:rsidRDefault="006363B6" w:rsidP="006363B6">
            <w:pPr>
              <w:pStyle w:val="TableParagraph"/>
              <w:tabs>
                <w:tab w:val="left" w:pos="0"/>
              </w:tabs>
              <w:spacing w:before="58" w:line="276" w:lineRule="auto"/>
              <w:rPr>
                <w:sz w:val="20"/>
                <w:szCs w:val="20"/>
                <w:lang w:val="mn-MN"/>
              </w:rPr>
            </w:pPr>
            <w:r w:rsidRPr="00731F96">
              <w:rPr>
                <w:sz w:val="20"/>
                <w:szCs w:val="20"/>
                <w:lang w:val="mn-MN"/>
              </w:rPr>
              <w:t>Релений хянагч нь алгоритмууд ба хэмжилтүүдэд үндэслэн тохиргоог тооцоолно</w:t>
            </w:r>
          </w:p>
        </w:tc>
      </w:tr>
      <w:tr w:rsidR="006363B6" w:rsidRPr="00731F96" w:rsidTr="001C4C31">
        <w:tc>
          <w:tcPr>
            <w:tcW w:w="1880"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4</w:t>
            </w:r>
          </w:p>
        </w:tc>
        <w:tc>
          <w:tcPr>
            <w:tcW w:w="7464"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Релений хянагч шаардлагатай бол тохиргоонд өөрчлөлт оруулна</w:t>
            </w:r>
          </w:p>
        </w:tc>
      </w:tr>
    </w:tbl>
    <w:p w:rsidR="001C4C31" w:rsidRDefault="001C4C31" w:rsidP="001C4C31">
      <w:pPr>
        <w:tabs>
          <w:tab w:val="left" w:pos="0"/>
        </w:tabs>
        <w:spacing w:before="93"/>
        <w:ind w:left="0" w:firstLine="0"/>
        <w:rPr>
          <w:b/>
        </w:rPr>
      </w:pPr>
      <w:r w:rsidRPr="00731F96">
        <w:rPr>
          <w:b/>
        </w:rPr>
        <w:t>Data receivin</w:t>
      </w:r>
      <w:r>
        <w:rPr>
          <w:b/>
        </w:rPr>
        <w:t>g &amp; action</w:t>
      </w:r>
    </w:p>
    <w:tbl>
      <w:tblPr>
        <w:tblStyle w:val="TableGrid"/>
        <w:tblW w:w="0" w:type="auto"/>
        <w:tblLook w:val="04A0" w:firstRow="1" w:lastRow="0" w:firstColumn="1" w:lastColumn="0" w:noHBand="0" w:noVBand="1"/>
      </w:tblPr>
      <w:tblGrid>
        <w:gridCol w:w="1880"/>
        <w:gridCol w:w="7464"/>
      </w:tblGrid>
      <w:tr w:rsidR="001C4C31" w:rsidRPr="00731F96" w:rsidTr="001C4C31">
        <w:tc>
          <w:tcPr>
            <w:tcW w:w="1880" w:type="dxa"/>
          </w:tcPr>
          <w:p w:rsidR="001C4C31" w:rsidRPr="00EF2D2B" w:rsidRDefault="001C4C31" w:rsidP="001C4C31">
            <w:pPr>
              <w:pStyle w:val="TableParagraph"/>
              <w:tabs>
                <w:tab w:val="left" w:pos="0"/>
              </w:tabs>
              <w:spacing w:line="276" w:lineRule="auto"/>
              <w:ind w:left="309"/>
              <w:rPr>
                <w:b/>
                <w:sz w:val="20"/>
                <w:szCs w:val="20"/>
                <w:lang w:val="mn-MN"/>
              </w:rPr>
            </w:pPr>
            <w:r w:rsidRPr="00EF2D2B">
              <w:rPr>
                <w:b/>
                <w:sz w:val="20"/>
                <w:szCs w:val="20"/>
                <w:lang w:val="mn-MN"/>
              </w:rPr>
              <w:lastRenderedPageBreak/>
              <w:t>Use case step</w:t>
            </w:r>
          </w:p>
        </w:tc>
        <w:tc>
          <w:tcPr>
            <w:tcW w:w="7464" w:type="dxa"/>
          </w:tcPr>
          <w:p w:rsidR="001C4C31" w:rsidRPr="00EF2D2B" w:rsidRDefault="001C4C31" w:rsidP="001C4C31">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6363B6" w:rsidRPr="00731F96" w:rsidTr="001C4C31">
        <w:tc>
          <w:tcPr>
            <w:tcW w:w="1880" w:type="dxa"/>
          </w:tcPr>
          <w:p w:rsidR="006363B6" w:rsidRPr="00EF2D2B" w:rsidRDefault="006363B6" w:rsidP="006363B6">
            <w:pPr>
              <w:pStyle w:val="TableParagraph"/>
              <w:tabs>
                <w:tab w:val="left" w:pos="0"/>
              </w:tabs>
              <w:spacing w:line="276" w:lineRule="auto"/>
              <w:ind w:left="105"/>
              <w:rPr>
                <w:sz w:val="20"/>
                <w:szCs w:val="20"/>
                <w:lang w:val="mn-MN"/>
              </w:rPr>
            </w:pPr>
            <w:r w:rsidRPr="00EF2D2B">
              <w:rPr>
                <w:sz w:val="20"/>
                <w:szCs w:val="20"/>
                <w:lang w:val="mn-MN"/>
              </w:rPr>
              <w:t>Step 1</w:t>
            </w:r>
          </w:p>
        </w:tc>
        <w:tc>
          <w:tcPr>
            <w:tcW w:w="7464"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Relay supervisor receives synchrophasor data</w:t>
            </w:r>
          </w:p>
        </w:tc>
      </w:tr>
      <w:tr w:rsidR="006363B6" w:rsidRPr="00731F96" w:rsidTr="001C4C31">
        <w:tc>
          <w:tcPr>
            <w:tcW w:w="1880" w:type="dxa"/>
          </w:tcPr>
          <w:p w:rsidR="006363B6" w:rsidRPr="00EF2D2B" w:rsidRDefault="006363B6" w:rsidP="006363B6">
            <w:pPr>
              <w:pStyle w:val="TableParagraph"/>
              <w:tabs>
                <w:tab w:val="left" w:pos="0"/>
              </w:tabs>
              <w:spacing w:line="276" w:lineRule="auto"/>
              <w:ind w:left="105"/>
              <w:rPr>
                <w:sz w:val="20"/>
                <w:szCs w:val="20"/>
                <w:lang w:val="mn-MN"/>
              </w:rPr>
            </w:pPr>
            <w:r w:rsidRPr="00EF2D2B">
              <w:rPr>
                <w:sz w:val="20"/>
                <w:szCs w:val="20"/>
                <w:lang w:val="mn-MN"/>
              </w:rPr>
              <w:t>Step 2</w:t>
            </w:r>
          </w:p>
        </w:tc>
        <w:tc>
          <w:tcPr>
            <w:tcW w:w="7464" w:type="dxa"/>
          </w:tcPr>
          <w:p w:rsidR="006363B6" w:rsidRPr="00731F96" w:rsidRDefault="006363B6" w:rsidP="006363B6">
            <w:pPr>
              <w:pStyle w:val="TableParagraph"/>
              <w:tabs>
                <w:tab w:val="left" w:pos="0"/>
              </w:tabs>
              <w:spacing w:line="276" w:lineRule="auto"/>
              <w:ind w:right="210"/>
              <w:rPr>
                <w:sz w:val="20"/>
                <w:szCs w:val="20"/>
                <w:lang w:val="mn-MN"/>
              </w:rPr>
            </w:pPr>
            <w:r w:rsidRPr="00731F96">
              <w:rPr>
                <w:sz w:val="20"/>
                <w:szCs w:val="20"/>
                <w:lang w:val="mn-MN"/>
              </w:rPr>
              <w:t>Relay supervisor extracts voltage/current angle and magnitude and frequency information as needed</w:t>
            </w:r>
          </w:p>
        </w:tc>
      </w:tr>
      <w:tr w:rsidR="006363B6" w:rsidRPr="00731F96" w:rsidTr="001C4C31">
        <w:tc>
          <w:tcPr>
            <w:tcW w:w="1880" w:type="dxa"/>
          </w:tcPr>
          <w:p w:rsidR="006363B6" w:rsidRPr="00EF2D2B" w:rsidRDefault="006363B6" w:rsidP="006363B6">
            <w:pPr>
              <w:pStyle w:val="TableParagraph"/>
              <w:tabs>
                <w:tab w:val="left" w:pos="0"/>
              </w:tabs>
              <w:spacing w:line="276" w:lineRule="auto"/>
              <w:ind w:left="105"/>
              <w:rPr>
                <w:sz w:val="20"/>
                <w:szCs w:val="20"/>
                <w:lang w:val="mn-MN"/>
              </w:rPr>
            </w:pPr>
            <w:r w:rsidRPr="00EF2D2B">
              <w:rPr>
                <w:sz w:val="20"/>
                <w:szCs w:val="20"/>
                <w:lang w:val="mn-MN"/>
              </w:rPr>
              <w:t>Step 3</w:t>
            </w:r>
          </w:p>
        </w:tc>
        <w:tc>
          <w:tcPr>
            <w:tcW w:w="7464"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Relay supervisor computes settings based on algorithms and measurements</w:t>
            </w:r>
          </w:p>
        </w:tc>
      </w:tr>
      <w:tr w:rsidR="006363B6" w:rsidRPr="00731F96" w:rsidTr="001C4C31">
        <w:tc>
          <w:tcPr>
            <w:tcW w:w="1880" w:type="dxa"/>
          </w:tcPr>
          <w:p w:rsidR="006363B6" w:rsidRPr="00EF2D2B" w:rsidRDefault="006363B6" w:rsidP="006363B6">
            <w:pPr>
              <w:pStyle w:val="TableParagraph"/>
              <w:tabs>
                <w:tab w:val="left" w:pos="0"/>
              </w:tabs>
              <w:spacing w:line="276" w:lineRule="auto"/>
              <w:ind w:left="105"/>
              <w:rPr>
                <w:sz w:val="20"/>
                <w:szCs w:val="20"/>
                <w:lang w:val="mn-MN"/>
              </w:rPr>
            </w:pPr>
            <w:r w:rsidRPr="00EF2D2B">
              <w:rPr>
                <w:sz w:val="20"/>
                <w:szCs w:val="20"/>
                <w:lang w:val="mn-MN"/>
              </w:rPr>
              <w:t>Step 4</w:t>
            </w:r>
          </w:p>
        </w:tc>
        <w:tc>
          <w:tcPr>
            <w:tcW w:w="7464"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Relay supervisor makes changes in relay settings as required</w:t>
            </w:r>
          </w:p>
        </w:tc>
      </w:tr>
    </w:tbl>
    <w:p w:rsidR="001C4C31" w:rsidRDefault="001C4C31" w:rsidP="001C4C31">
      <w:pPr>
        <w:spacing w:after="0" w:line="240" w:lineRule="auto"/>
        <w:ind w:left="0" w:firstLine="0"/>
        <w:jc w:val="center"/>
        <w:rPr>
          <w:b/>
          <w:bCs/>
          <w:color w:val="000000"/>
          <w:shd w:val="clear" w:color="auto" w:fill="FFFFFF"/>
          <w:lang w:val="en-US"/>
        </w:rPr>
      </w:pPr>
    </w:p>
    <w:p w:rsidR="006363B6" w:rsidRDefault="006363B6"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4672"/>
        <w:gridCol w:w="4672"/>
      </w:tblGrid>
      <w:tr w:rsidR="006363B6" w:rsidTr="006363B6">
        <w:tc>
          <w:tcPr>
            <w:tcW w:w="4672" w:type="dxa"/>
          </w:tcPr>
          <w:p w:rsidR="006363B6" w:rsidRPr="006363B6" w:rsidRDefault="006363B6" w:rsidP="006363B6">
            <w:pPr>
              <w:tabs>
                <w:tab w:val="left" w:pos="0"/>
              </w:tabs>
              <w:ind w:left="0" w:firstLine="0"/>
              <w:rPr>
                <w:rFonts w:eastAsia="Calibri"/>
                <w:b/>
                <w:szCs w:val="22"/>
              </w:rPr>
            </w:pPr>
            <w:r w:rsidRPr="006363B6">
              <w:rPr>
                <w:rFonts w:eastAsia="Calibri"/>
                <w:b/>
                <w:szCs w:val="22"/>
              </w:rPr>
              <w:t>Хязгаарын шаардлага:</w:t>
            </w:r>
          </w:p>
          <w:p w:rsidR="006363B6" w:rsidRPr="006363B6" w:rsidRDefault="006363B6" w:rsidP="006363B6">
            <w:pPr>
              <w:tabs>
                <w:tab w:val="left" w:pos="0"/>
              </w:tabs>
              <w:ind w:left="0" w:firstLine="0"/>
              <w:rPr>
                <w:rFonts w:eastAsia="Calibri"/>
                <w:szCs w:val="22"/>
              </w:rPr>
            </w:pPr>
            <w:r w:rsidRPr="006363B6">
              <w:rPr>
                <w:rFonts w:eastAsia="Calibri"/>
                <w:szCs w:val="22"/>
              </w:rPr>
              <w:t>Синхрофазорын хэмжилтийг янз бүрийн хурдаар дамжуулах боломжтой ба IEEE C37.118.1 болон бусад стандартад нийцсэн байна. Тохируулагдах реле нь тогтсон функц биш тул бодит цаг хугацаа, хурдны хэмжээ нь энэхүү удирдамжаас ялгаатай байж болно.Шаардлагатай утгууд болох өндөр хурдны өгөгдөл, хамгийн их харилцаа холбоо саатал, хамгийн их хэмжих цаг хугацааны алдааг энэ аппликейшинд төлөөлүүлэн тооцоолсон.</w:t>
            </w:r>
          </w:p>
        </w:tc>
        <w:tc>
          <w:tcPr>
            <w:tcW w:w="4672" w:type="dxa"/>
          </w:tcPr>
          <w:p w:rsidR="006363B6" w:rsidRPr="006363B6" w:rsidRDefault="006363B6" w:rsidP="006363B6">
            <w:pPr>
              <w:tabs>
                <w:tab w:val="left" w:pos="0"/>
              </w:tabs>
              <w:ind w:left="0" w:firstLine="0"/>
              <w:rPr>
                <w:rFonts w:eastAsia="Calibri"/>
                <w:b/>
                <w:szCs w:val="22"/>
              </w:rPr>
            </w:pPr>
            <w:r w:rsidRPr="006363B6">
              <w:rPr>
                <w:rFonts w:eastAsia="Calibri"/>
                <w:b/>
                <w:szCs w:val="22"/>
              </w:rPr>
              <w:t>Constraints:</w:t>
            </w:r>
          </w:p>
          <w:p w:rsidR="006363B6" w:rsidRPr="006363B6" w:rsidRDefault="006363B6" w:rsidP="006363B6">
            <w:pPr>
              <w:tabs>
                <w:tab w:val="left" w:pos="0"/>
              </w:tabs>
              <w:ind w:left="0" w:firstLine="0"/>
              <w:rPr>
                <w:rFonts w:eastAsia="Calibri"/>
                <w:szCs w:val="22"/>
              </w:rPr>
            </w:pPr>
            <w:r w:rsidRPr="006363B6">
              <w:rPr>
                <w:rFonts w:eastAsia="Calibri"/>
                <w:bCs/>
                <w:szCs w:val="22"/>
              </w:rPr>
              <w:t>Synchrophasor measurements can be communicated at a variety of rates and may conform to other standards, such as IEEE C37.118.1. Since adaptive relaying is not an established function, actual times and rates may vary considerably from this guideline. These values are estimated to represent the highest data rate, the maximum  communication delay,  and maximum measurement timing error that will be required by this application.</w:t>
            </w:r>
          </w:p>
        </w:tc>
      </w:tr>
    </w:tbl>
    <w:p w:rsidR="006363B6" w:rsidRDefault="006363B6" w:rsidP="001C4C31">
      <w:pPr>
        <w:spacing w:after="0" w:line="240" w:lineRule="auto"/>
        <w:ind w:left="0" w:firstLine="0"/>
        <w:jc w:val="center"/>
        <w:rPr>
          <w:b/>
          <w:bCs/>
          <w:color w:val="000000"/>
          <w:shd w:val="clear" w:color="auto" w:fill="FFFFFF"/>
          <w:lang w:val="en-US"/>
        </w:rPr>
      </w:pPr>
    </w:p>
    <w:p w:rsidR="006363B6" w:rsidRDefault="006363B6"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3114"/>
        <w:gridCol w:w="3115"/>
        <w:gridCol w:w="3115"/>
      </w:tblGrid>
      <w:tr w:rsidR="006363B6" w:rsidTr="006363B6">
        <w:tc>
          <w:tcPr>
            <w:tcW w:w="3114" w:type="dxa"/>
          </w:tcPr>
          <w:p w:rsidR="006363B6" w:rsidRPr="00731F96" w:rsidRDefault="006363B6" w:rsidP="006363B6">
            <w:pPr>
              <w:pStyle w:val="TableParagraph"/>
              <w:tabs>
                <w:tab w:val="left" w:pos="0"/>
              </w:tabs>
              <w:spacing w:line="276" w:lineRule="auto"/>
              <w:ind w:left="105"/>
              <w:rPr>
                <w:b/>
                <w:sz w:val="20"/>
                <w:szCs w:val="20"/>
                <w:lang w:val="mn-MN"/>
              </w:rPr>
            </w:pPr>
            <w:r w:rsidRPr="00731F96">
              <w:rPr>
                <w:b/>
                <w:sz w:val="20"/>
                <w:szCs w:val="20"/>
                <w:lang w:val="mn-MN"/>
              </w:rPr>
              <w:t>Хамгийн бага хурд</w:t>
            </w:r>
          </w:p>
        </w:tc>
        <w:tc>
          <w:tcPr>
            <w:tcW w:w="3115" w:type="dxa"/>
          </w:tcPr>
          <w:p w:rsidR="006363B6" w:rsidRPr="00731F96" w:rsidRDefault="006363B6" w:rsidP="006363B6">
            <w:pPr>
              <w:pStyle w:val="TableParagraph"/>
              <w:tabs>
                <w:tab w:val="left" w:pos="0"/>
              </w:tabs>
              <w:spacing w:line="276" w:lineRule="auto"/>
              <w:ind w:left="105"/>
              <w:rPr>
                <w:b/>
                <w:sz w:val="20"/>
                <w:szCs w:val="20"/>
                <w:lang w:val="mn-MN"/>
              </w:rPr>
            </w:pPr>
            <w:r w:rsidRPr="00731F96">
              <w:rPr>
                <w:b/>
                <w:sz w:val="20"/>
                <w:szCs w:val="20"/>
                <w:lang w:val="mn-MN"/>
              </w:rPr>
              <w:t>Дамжуулах хугацааны анги</w:t>
            </w:r>
          </w:p>
        </w:tc>
        <w:tc>
          <w:tcPr>
            <w:tcW w:w="3115" w:type="dxa"/>
          </w:tcPr>
          <w:p w:rsidR="006363B6" w:rsidRPr="00EF2D2B" w:rsidRDefault="006363B6" w:rsidP="006363B6">
            <w:pPr>
              <w:pStyle w:val="TableParagraph"/>
              <w:tabs>
                <w:tab w:val="left" w:pos="0"/>
              </w:tabs>
              <w:spacing w:line="276" w:lineRule="auto"/>
              <w:ind w:left="105" w:firstLine="8"/>
              <w:rPr>
                <w:b/>
                <w:sz w:val="20"/>
                <w:szCs w:val="20"/>
                <w:lang w:val="mn-MN"/>
              </w:rPr>
            </w:pPr>
            <w:r w:rsidRPr="00EF2D2B">
              <w:rPr>
                <w:b/>
                <w:sz w:val="20"/>
                <w:szCs w:val="20"/>
                <w:lang w:val="mn-MN"/>
              </w:rPr>
              <w:t>Хугацааны синхрончлолын нарийвчлалын анги</w:t>
            </w:r>
          </w:p>
        </w:tc>
      </w:tr>
      <w:tr w:rsidR="006363B6" w:rsidTr="006363B6">
        <w:tc>
          <w:tcPr>
            <w:tcW w:w="3114" w:type="dxa"/>
          </w:tcPr>
          <w:p w:rsidR="006363B6" w:rsidRPr="00EF2D2B" w:rsidRDefault="006363B6" w:rsidP="006363B6">
            <w:pPr>
              <w:pStyle w:val="TableParagraph"/>
              <w:tabs>
                <w:tab w:val="left" w:pos="0"/>
              </w:tabs>
              <w:spacing w:line="276" w:lineRule="auto"/>
              <w:ind w:left="105"/>
              <w:rPr>
                <w:sz w:val="20"/>
                <w:szCs w:val="20"/>
                <w:lang w:val="mn-MN"/>
              </w:rPr>
            </w:pPr>
            <w:r w:rsidRPr="00EF2D2B">
              <w:rPr>
                <w:sz w:val="20"/>
                <w:szCs w:val="20"/>
                <w:lang w:val="mn-MN"/>
              </w:rPr>
              <w:t>4/секунд</w:t>
            </w:r>
          </w:p>
        </w:tc>
        <w:tc>
          <w:tcPr>
            <w:tcW w:w="3115" w:type="dxa"/>
          </w:tcPr>
          <w:p w:rsidR="006363B6" w:rsidRPr="00731F96" w:rsidRDefault="006363B6" w:rsidP="006363B6">
            <w:pPr>
              <w:pStyle w:val="TableParagraph"/>
              <w:tabs>
                <w:tab w:val="left" w:pos="0"/>
              </w:tabs>
              <w:spacing w:line="276" w:lineRule="auto"/>
              <w:ind w:left="105"/>
              <w:rPr>
                <w:sz w:val="20"/>
                <w:szCs w:val="20"/>
                <w:lang w:val="mn-MN"/>
              </w:rPr>
            </w:pPr>
            <w:r w:rsidRPr="00731F96">
              <w:rPr>
                <w:sz w:val="20"/>
                <w:szCs w:val="20"/>
                <w:lang w:val="mn-MN"/>
              </w:rPr>
              <w:t>TT3 0,1 с</w:t>
            </w:r>
          </w:p>
        </w:tc>
        <w:tc>
          <w:tcPr>
            <w:tcW w:w="3115" w:type="dxa"/>
          </w:tcPr>
          <w:p w:rsidR="006363B6" w:rsidRPr="00731F96" w:rsidRDefault="006363B6" w:rsidP="006363B6">
            <w:pPr>
              <w:pStyle w:val="TableParagraph"/>
              <w:tabs>
                <w:tab w:val="left" w:pos="0"/>
              </w:tabs>
              <w:spacing w:line="276" w:lineRule="auto"/>
              <w:ind w:left="105"/>
              <w:rPr>
                <w:sz w:val="20"/>
                <w:szCs w:val="20"/>
                <w:lang w:val="mn-MN"/>
              </w:rPr>
            </w:pPr>
            <w:r w:rsidRPr="00731F96">
              <w:rPr>
                <w:sz w:val="20"/>
                <w:szCs w:val="20"/>
                <w:lang w:val="mn-MN"/>
              </w:rPr>
              <w:t>T3 0,025 мс</w:t>
            </w:r>
          </w:p>
        </w:tc>
      </w:tr>
    </w:tbl>
    <w:p w:rsidR="006363B6" w:rsidRDefault="006363B6" w:rsidP="001C4C31">
      <w:pPr>
        <w:spacing w:after="0" w:line="240" w:lineRule="auto"/>
        <w:ind w:left="0" w:firstLine="0"/>
        <w:jc w:val="center"/>
        <w:rPr>
          <w:b/>
          <w:bCs/>
          <w:color w:val="000000"/>
          <w:shd w:val="clear" w:color="auto" w:fill="FFFFFF"/>
          <w:lang w:val="en-US"/>
        </w:rPr>
      </w:pPr>
    </w:p>
    <w:p w:rsidR="006363B6" w:rsidRDefault="006363B6"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3114"/>
        <w:gridCol w:w="3115"/>
        <w:gridCol w:w="3115"/>
      </w:tblGrid>
      <w:tr w:rsidR="006363B6" w:rsidTr="00440B2A">
        <w:tc>
          <w:tcPr>
            <w:tcW w:w="3114" w:type="dxa"/>
          </w:tcPr>
          <w:p w:rsidR="006363B6" w:rsidRPr="00EF2D2B" w:rsidRDefault="006363B6" w:rsidP="006363B6">
            <w:pPr>
              <w:pStyle w:val="TableParagraph"/>
              <w:tabs>
                <w:tab w:val="left" w:pos="0"/>
              </w:tabs>
              <w:spacing w:line="276" w:lineRule="auto"/>
              <w:ind w:left="105"/>
              <w:rPr>
                <w:b/>
                <w:sz w:val="20"/>
                <w:szCs w:val="20"/>
                <w:lang w:val="mn-MN"/>
              </w:rPr>
            </w:pPr>
            <w:r w:rsidRPr="00EF2D2B">
              <w:rPr>
                <w:b/>
                <w:sz w:val="20"/>
                <w:szCs w:val="20"/>
                <w:lang w:val="mn-MN"/>
              </w:rPr>
              <w:t>Minimum rate</w:t>
            </w:r>
          </w:p>
        </w:tc>
        <w:tc>
          <w:tcPr>
            <w:tcW w:w="3115" w:type="dxa"/>
          </w:tcPr>
          <w:p w:rsidR="006363B6" w:rsidRPr="00731F96" w:rsidRDefault="006363B6" w:rsidP="006363B6">
            <w:pPr>
              <w:pStyle w:val="TableParagraph"/>
              <w:tabs>
                <w:tab w:val="left" w:pos="0"/>
              </w:tabs>
              <w:spacing w:line="276" w:lineRule="auto"/>
              <w:ind w:left="105"/>
              <w:rPr>
                <w:b/>
                <w:sz w:val="20"/>
                <w:szCs w:val="20"/>
                <w:lang w:val="mn-MN"/>
              </w:rPr>
            </w:pPr>
            <w:r w:rsidRPr="00731F96">
              <w:rPr>
                <w:b/>
                <w:sz w:val="20"/>
                <w:szCs w:val="20"/>
                <w:lang w:val="mn-MN"/>
              </w:rPr>
              <w:t>Transfer time class</w:t>
            </w:r>
          </w:p>
        </w:tc>
        <w:tc>
          <w:tcPr>
            <w:tcW w:w="3115" w:type="dxa"/>
          </w:tcPr>
          <w:p w:rsidR="006363B6" w:rsidRPr="00731F96" w:rsidRDefault="006363B6" w:rsidP="006363B6">
            <w:pPr>
              <w:pStyle w:val="TableParagraph"/>
              <w:tabs>
                <w:tab w:val="left" w:pos="0"/>
              </w:tabs>
              <w:spacing w:line="276" w:lineRule="auto"/>
              <w:ind w:left="105" w:hanging="276"/>
              <w:rPr>
                <w:b/>
                <w:sz w:val="20"/>
                <w:szCs w:val="20"/>
                <w:lang w:val="mn-MN"/>
              </w:rPr>
            </w:pPr>
            <w:r w:rsidRPr="00731F96">
              <w:rPr>
                <w:b/>
                <w:sz w:val="20"/>
                <w:szCs w:val="20"/>
                <w:lang w:val="mn-MN"/>
              </w:rPr>
              <w:t>Time synchronization accuracy class</w:t>
            </w:r>
          </w:p>
        </w:tc>
      </w:tr>
      <w:tr w:rsidR="006363B6" w:rsidTr="00440B2A">
        <w:tc>
          <w:tcPr>
            <w:tcW w:w="3114" w:type="dxa"/>
          </w:tcPr>
          <w:p w:rsidR="006363B6" w:rsidRPr="00EF2D2B" w:rsidRDefault="006363B6" w:rsidP="006363B6">
            <w:pPr>
              <w:pStyle w:val="TableParagraph"/>
              <w:tabs>
                <w:tab w:val="left" w:pos="0"/>
              </w:tabs>
              <w:spacing w:line="276" w:lineRule="auto"/>
              <w:ind w:left="105"/>
              <w:rPr>
                <w:sz w:val="20"/>
                <w:szCs w:val="20"/>
                <w:lang w:val="mn-MN"/>
              </w:rPr>
            </w:pPr>
            <w:r w:rsidRPr="00EF2D2B">
              <w:rPr>
                <w:sz w:val="20"/>
                <w:szCs w:val="20"/>
                <w:lang w:val="mn-MN"/>
              </w:rPr>
              <w:t>4/second</w:t>
            </w:r>
          </w:p>
        </w:tc>
        <w:tc>
          <w:tcPr>
            <w:tcW w:w="3115" w:type="dxa"/>
          </w:tcPr>
          <w:p w:rsidR="006363B6" w:rsidRPr="00731F96" w:rsidRDefault="006363B6" w:rsidP="006363B6">
            <w:pPr>
              <w:pStyle w:val="TableParagraph"/>
              <w:tabs>
                <w:tab w:val="left" w:pos="0"/>
              </w:tabs>
              <w:spacing w:line="276" w:lineRule="auto"/>
              <w:ind w:left="105"/>
              <w:rPr>
                <w:sz w:val="20"/>
                <w:szCs w:val="20"/>
                <w:lang w:val="mn-MN"/>
              </w:rPr>
            </w:pPr>
            <w:r w:rsidRPr="00731F96">
              <w:rPr>
                <w:sz w:val="20"/>
                <w:szCs w:val="20"/>
                <w:lang w:val="mn-MN"/>
              </w:rPr>
              <w:t>TT3 0,1 s</w:t>
            </w:r>
          </w:p>
        </w:tc>
        <w:tc>
          <w:tcPr>
            <w:tcW w:w="3115" w:type="dxa"/>
          </w:tcPr>
          <w:p w:rsidR="006363B6" w:rsidRPr="00731F96" w:rsidRDefault="006363B6" w:rsidP="006363B6">
            <w:pPr>
              <w:pStyle w:val="TableParagraph"/>
              <w:tabs>
                <w:tab w:val="left" w:pos="0"/>
              </w:tabs>
              <w:spacing w:line="276" w:lineRule="auto"/>
              <w:ind w:left="105"/>
              <w:rPr>
                <w:sz w:val="20"/>
                <w:szCs w:val="20"/>
                <w:lang w:val="mn-MN"/>
              </w:rPr>
            </w:pPr>
            <w:r w:rsidRPr="00731F96">
              <w:rPr>
                <w:sz w:val="20"/>
                <w:szCs w:val="20"/>
                <w:lang w:val="mn-MN"/>
              </w:rPr>
              <w:t>T3 0,025 ms</w:t>
            </w:r>
          </w:p>
        </w:tc>
      </w:tr>
    </w:tbl>
    <w:p w:rsidR="006363B6" w:rsidRDefault="006363B6" w:rsidP="001C4C31">
      <w:pPr>
        <w:spacing w:after="0" w:line="240" w:lineRule="auto"/>
        <w:ind w:left="0" w:firstLine="0"/>
        <w:jc w:val="center"/>
        <w:rPr>
          <w:b/>
          <w:bCs/>
          <w:color w:val="000000"/>
          <w:shd w:val="clear" w:color="auto" w:fill="FFFFFF"/>
          <w:lang w:val="en-US"/>
        </w:rPr>
      </w:pPr>
    </w:p>
    <w:p w:rsidR="006363B6" w:rsidRDefault="006363B6"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4672"/>
        <w:gridCol w:w="4672"/>
      </w:tblGrid>
      <w:tr w:rsidR="006363B6" w:rsidTr="006363B6">
        <w:tc>
          <w:tcPr>
            <w:tcW w:w="4672" w:type="dxa"/>
          </w:tcPr>
          <w:p w:rsidR="006363B6" w:rsidRPr="006363B6" w:rsidRDefault="006363B6" w:rsidP="006363B6">
            <w:pPr>
              <w:tabs>
                <w:tab w:val="left" w:pos="0"/>
              </w:tabs>
              <w:ind w:left="0" w:firstLine="0"/>
              <w:rPr>
                <w:rFonts w:eastAsia="Calibri"/>
                <w:b/>
                <w:bCs/>
                <w:szCs w:val="22"/>
              </w:rPr>
            </w:pPr>
            <w:r w:rsidRPr="006363B6">
              <w:rPr>
                <w:rFonts w:eastAsia="Calibri"/>
                <w:b/>
                <w:bCs/>
                <w:szCs w:val="22"/>
              </w:rPr>
              <w:t xml:space="preserve">5.5 Хязгаараас хэтрэх (OOS) үеийн хамгаалалт </w:t>
            </w:r>
          </w:p>
          <w:p w:rsidR="006363B6" w:rsidRPr="006363B6" w:rsidRDefault="006363B6" w:rsidP="006363B6">
            <w:pPr>
              <w:tabs>
                <w:tab w:val="left" w:pos="0"/>
              </w:tabs>
              <w:ind w:left="0" w:firstLine="0"/>
              <w:rPr>
                <w:rFonts w:eastAsia="Calibri"/>
                <w:bCs/>
                <w:szCs w:val="22"/>
              </w:rPr>
            </w:pPr>
            <w:r w:rsidRPr="006363B6">
              <w:rPr>
                <w:rFonts w:eastAsia="Calibri"/>
                <w:bCs/>
                <w:szCs w:val="22"/>
              </w:rPr>
              <w:t xml:space="preserve">Энэхүү хэрэглээ нь өгөгдөл нь хоёр (ба түүнээс дээш) PMU төхөөрөмжөөс дэд станц эсвэл системийн талбар хооронд хязгаараас хэтрэх нөхцөлийг хянагч илрүүлдэг.Энэ нь фазын өнцөг ба давтамжийн хэмжигдэхүүнийг ашиглан хэт их ба нэмэгдэж буй фазын өнцгийг илрүүлэхэд ашигладаг бөгөөд системийг өнцөг болон муж багасгах арга хэмжээ авдаг. Ерөнхий </w:t>
            </w:r>
            <w:r w:rsidRPr="006363B6">
              <w:rPr>
                <w:rFonts w:eastAsia="Calibri"/>
                <w:bCs/>
                <w:szCs w:val="22"/>
              </w:rPr>
              <w:lastRenderedPageBreak/>
              <w:t>мэдээллийн урсгалыг 3-р зурагт үзүүлэв.</w:t>
            </w:r>
          </w:p>
        </w:tc>
        <w:tc>
          <w:tcPr>
            <w:tcW w:w="4672" w:type="dxa"/>
          </w:tcPr>
          <w:p w:rsidR="006363B6" w:rsidRPr="006363B6" w:rsidRDefault="006363B6" w:rsidP="006363B6">
            <w:pPr>
              <w:tabs>
                <w:tab w:val="left" w:pos="0"/>
              </w:tabs>
              <w:ind w:left="0" w:firstLine="0"/>
              <w:rPr>
                <w:rFonts w:eastAsia="Calibri"/>
                <w:b/>
                <w:bCs/>
                <w:szCs w:val="22"/>
              </w:rPr>
            </w:pPr>
            <w:r w:rsidRPr="006363B6">
              <w:rPr>
                <w:rFonts w:eastAsia="Calibri"/>
                <w:b/>
                <w:bCs/>
                <w:szCs w:val="22"/>
              </w:rPr>
              <w:lastRenderedPageBreak/>
              <w:t>5.5 Out-of-step (OOS) protection</w:t>
            </w:r>
          </w:p>
          <w:p w:rsidR="006363B6" w:rsidRPr="006363B6" w:rsidRDefault="006363B6" w:rsidP="006363B6">
            <w:pPr>
              <w:tabs>
                <w:tab w:val="left" w:pos="0"/>
              </w:tabs>
              <w:ind w:left="0" w:firstLine="0"/>
              <w:rPr>
                <w:rFonts w:eastAsia="Calibri"/>
                <w:bCs/>
                <w:szCs w:val="22"/>
              </w:rPr>
            </w:pPr>
            <w:r w:rsidRPr="006363B6">
              <w:rPr>
                <w:rFonts w:eastAsia="Calibri"/>
                <w:bCs/>
                <w:szCs w:val="22"/>
              </w:rPr>
              <w:t xml:space="preserve">In this application, data is sent from two (or more) PMU devices to a controller that detects out-of-step conditions between substations or system areas. It uses the phase angle and frequency measurements to detect excessive and increasing phase angle, and takes action to reduce the angle or island the system. The general information flow is shown in </w:t>
            </w:r>
            <w:hyperlink w:anchor="_bookmark3" w:history="1">
              <w:r w:rsidRPr="006363B6">
                <w:rPr>
                  <w:rFonts w:eastAsia="Calibri"/>
                  <w:bCs/>
                  <w:szCs w:val="22"/>
                </w:rPr>
                <w:t>Figure 3.</w:t>
              </w:r>
            </w:hyperlink>
          </w:p>
          <w:p w:rsidR="006363B6" w:rsidRPr="006363B6" w:rsidRDefault="006363B6" w:rsidP="006363B6">
            <w:pPr>
              <w:tabs>
                <w:tab w:val="left" w:pos="0"/>
              </w:tabs>
              <w:ind w:left="0" w:firstLine="0"/>
              <w:rPr>
                <w:rFonts w:eastAsia="Calibri"/>
                <w:bCs/>
                <w:szCs w:val="22"/>
              </w:rPr>
            </w:pPr>
          </w:p>
        </w:tc>
      </w:tr>
    </w:tbl>
    <w:p w:rsidR="006363B6" w:rsidRDefault="006363B6" w:rsidP="001C4C31">
      <w:pPr>
        <w:spacing w:after="0" w:line="240" w:lineRule="auto"/>
        <w:ind w:left="0" w:firstLine="0"/>
        <w:jc w:val="center"/>
        <w:rPr>
          <w:b/>
          <w:bCs/>
          <w:color w:val="000000"/>
          <w:shd w:val="clear" w:color="auto" w:fill="FFFFFF"/>
          <w:lang w:val="en-US"/>
        </w:rPr>
      </w:pPr>
    </w:p>
    <w:p w:rsidR="006363B6" w:rsidRDefault="006363B6" w:rsidP="001C4C31">
      <w:pPr>
        <w:spacing w:after="0" w:line="240" w:lineRule="auto"/>
        <w:ind w:left="0" w:firstLine="0"/>
        <w:jc w:val="center"/>
        <w:rPr>
          <w:b/>
          <w:bCs/>
          <w:color w:val="000000"/>
          <w:shd w:val="clear" w:color="auto" w:fill="FFFFFF"/>
          <w:lang w:val="en-US"/>
        </w:rPr>
      </w:pPr>
    </w:p>
    <w:p w:rsidR="006363B6" w:rsidRDefault="006363B6" w:rsidP="001C4C31">
      <w:pPr>
        <w:spacing w:after="0" w:line="240" w:lineRule="auto"/>
        <w:ind w:left="0" w:firstLine="0"/>
        <w:jc w:val="center"/>
        <w:rPr>
          <w:b/>
          <w:bCs/>
          <w:color w:val="000000"/>
          <w:shd w:val="clear" w:color="auto" w:fill="FFFFFF"/>
          <w:lang w:val="en-US"/>
        </w:rPr>
      </w:pPr>
      <w:r>
        <w:rPr>
          <w:noProof/>
          <w:lang w:val="en-US"/>
        </w:rPr>
        <w:drawing>
          <wp:inline distT="0" distB="0" distL="0" distR="0" wp14:anchorId="4163DD61" wp14:editId="1940A6CB">
            <wp:extent cx="5781675" cy="2400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1675" cy="2400300"/>
                    </a:xfrm>
                    <a:prstGeom prst="rect">
                      <a:avLst/>
                    </a:prstGeom>
                  </pic:spPr>
                </pic:pic>
              </a:graphicData>
            </a:graphic>
          </wp:inline>
        </w:drawing>
      </w:r>
    </w:p>
    <w:p w:rsidR="006363B6" w:rsidRDefault="006363B6" w:rsidP="001C4C31">
      <w:pPr>
        <w:spacing w:after="0" w:line="240" w:lineRule="auto"/>
        <w:ind w:left="0" w:firstLine="0"/>
        <w:jc w:val="center"/>
        <w:rPr>
          <w:b/>
          <w:bCs/>
          <w:color w:val="000000"/>
          <w:shd w:val="clear" w:color="auto" w:fill="FFFFFF"/>
          <w:lang w:val="en-US"/>
        </w:rPr>
      </w:pPr>
    </w:p>
    <w:p w:rsidR="006363B6" w:rsidRDefault="006363B6" w:rsidP="001C4C31">
      <w:pPr>
        <w:spacing w:after="0" w:line="240" w:lineRule="auto"/>
        <w:ind w:left="0" w:firstLine="0"/>
        <w:jc w:val="center"/>
        <w:rPr>
          <w:b/>
          <w:bCs/>
          <w:color w:val="000000"/>
          <w:shd w:val="clear" w:color="auto" w:fill="FFFFFF"/>
          <w:lang w:val="en-US"/>
        </w:rPr>
      </w:pPr>
      <w:r w:rsidRPr="006363B6">
        <w:rPr>
          <w:b/>
          <w:bCs/>
          <w:color w:val="000000"/>
          <w:shd w:val="clear" w:color="auto" w:fill="FFFFFF"/>
          <w:lang w:val="en-US"/>
        </w:rPr>
        <w:t>3</w:t>
      </w:r>
      <w:r>
        <w:rPr>
          <w:b/>
          <w:bCs/>
          <w:color w:val="000000"/>
          <w:shd w:val="clear" w:color="auto" w:fill="FFFFFF"/>
        </w:rPr>
        <w:t>-р зураг</w:t>
      </w:r>
      <w:r w:rsidRPr="006363B6">
        <w:rPr>
          <w:b/>
          <w:bCs/>
          <w:color w:val="000000"/>
          <w:shd w:val="clear" w:color="auto" w:fill="FFFFFF"/>
          <w:lang w:val="en-US"/>
        </w:rPr>
        <w:t xml:space="preserve"> – Хязгаараас хэтрэх (OOS) үеийн хамгаалалтад ашиглах схем</w:t>
      </w:r>
    </w:p>
    <w:p w:rsidR="006363B6" w:rsidRDefault="006363B6" w:rsidP="001C4C31">
      <w:pPr>
        <w:spacing w:after="0" w:line="240" w:lineRule="auto"/>
        <w:ind w:left="0" w:firstLine="0"/>
        <w:jc w:val="center"/>
        <w:rPr>
          <w:b/>
          <w:bCs/>
          <w:color w:val="000000"/>
          <w:shd w:val="clear" w:color="auto" w:fill="FFFFFF"/>
          <w:lang w:val="en-US"/>
        </w:rPr>
      </w:pPr>
    </w:p>
    <w:p w:rsidR="006363B6" w:rsidRDefault="006363B6" w:rsidP="001C4C31">
      <w:pPr>
        <w:spacing w:after="0" w:line="240" w:lineRule="auto"/>
        <w:ind w:left="0" w:firstLine="0"/>
        <w:jc w:val="center"/>
        <w:rPr>
          <w:b/>
          <w:bCs/>
          <w:color w:val="000000"/>
          <w:shd w:val="clear" w:color="auto" w:fill="FFFFFF"/>
          <w:lang w:val="en-US"/>
        </w:rPr>
      </w:pPr>
      <w:r w:rsidRPr="00EF2D2B">
        <w:rPr>
          <w:noProof/>
          <w:lang w:val="en-US"/>
        </w:rPr>
        <w:drawing>
          <wp:inline distT="0" distB="0" distL="0" distR="0" wp14:anchorId="3D38AFB8" wp14:editId="42B9E921">
            <wp:extent cx="5353050"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3050" cy="2990850"/>
                    </a:xfrm>
                    <a:prstGeom prst="rect">
                      <a:avLst/>
                    </a:prstGeom>
                  </pic:spPr>
                </pic:pic>
              </a:graphicData>
            </a:graphic>
          </wp:inline>
        </w:drawing>
      </w:r>
    </w:p>
    <w:p w:rsidR="006363B6" w:rsidRDefault="006363B6" w:rsidP="001C4C31">
      <w:pPr>
        <w:spacing w:after="0" w:line="240" w:lineRule="auto"/>
        <w:ind w:left="0" w:firstLine="0"/>
        <w:jc w:val="center"/>
        <w:rPr>
          <w:b/>
          <w:bCs/>
          <w:color w:val="000000"/>
          <w:shd w:val="clear" w:color="auto" w:fill="FFFFFF"/>
          <w:lang w:val="en-US"/>
        </w:rPr>
      </w:pPr>
      <w:r w:rsidRPr="006363B6">
        <w:rPr>
          <w:b/>
          <w:bCs/>
          <w:color w:val="000000"/>
          <w:shd w:val="clear" w:color="auto" w:fill="FFFFFF"/>
          <w:lang w:val="en-US"/>
        </w:rPr>
        <w:t>Figure 3 – Use case diagram for out-of-step (OOS) protection</w:t>
      </w:r>
    </w:p>
    <w:p w:rsidR="006363B6" w:rsidRDefault="006363B6" w:rsidP="001C4C31">
      <w:pPr>
        <w:spacing w:after="0" w:line="240" w:lineRule="auto"/>
        <w:ind w:left="0" w:firstLine="0"/>
        <w:jc w:val="center"/>
        <w:rPr>
          <w:b/>
          <w:bCs/>
          <w:color w:val="000000"/>
          <w:shd w:val="clear" w:color="auto" w:fill="FFFFFF"/>
          <w:lang w:val="en-US"/>
        </w:rPr>
      </w:pPr>
    </w:p>
    <w:p w:rsidR="006363B6" w:rsidRPr="001C4C31" w:rsidRDefault="006363B6" w:rsidP="006363B6">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723"/>
        <w:gridCol w:w="5621"/>
      </w:tblGrid>
      <w:tr w:rsidR="006363B6" w:rsidTr="00440B2A">
        <w:tc>
          <w:tcPr>
            <w:tcW w:w="3723" w:type="dxa"/>
          </w:tcPr>
          <w:p w:rsidR="006363B6" w:rsidRPr="00EF2D2B" w:rsidRDefault="006363B6"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5621" w:type="dxa"/>
          </w:tcPr>
          <w:p w:rsidR="006363B6" w:rsidRPr="00EF2D2B" w:rsidRDefault="006363B6" w:rsidP="00440B2A">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6363B6" w:rsidTr="00440B2A">
        <w:tc>
          <w:tcPr>
            <w:tcW w:w="3723"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PMU</w:t>
            </w:r>
          </w:p>
        </w:tc>
        <w:tc>
          <w:tcPr>
            <w:tcW w:w="5621"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Сонхрофазор ба давтамжийг тооцоолно</w:t>
            </w:r>
          </w:p>
        </w:tc>
      </w:tr>
      <w:tr w:rsidR="006363B6" w:rsidTr="00440B2A">
        <w:tc>
          <w:tcPr>
            <w:tcW w:w="3723"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Хязгаараас хэтрэх үеийн удирдлага</w:t>
            </w:r>
          </w:p>
        </w:tc>
        <w:tc>
          <w:tcPr>
            <w:tcW w:w="5621" w:type="dxa"/>
          </w:tcPr>
          <w:p w:rsidR="006363B6" w:rsidRPr="00731F96" w:rsidRDefault="006363B6" w:rsidP="006363B6">
            <w:pPr>
              <w:pStyle w:val="TableParagraph"/>
              <w:tabs>
                <w:tab w:val="left" w:pos="0"/>
              </w:tabs>
              <w:spacing w:line="276" w:lineRule="auto"/>
              <w:rPr>
                <w:sz w:val="20"/>
                <w:szCs w:val="20"/>
                <w:lang w:val="mn-MN"/>
              </w:rPr>
            </w:pPr>
            <w:r>
              <w:rPr>
                <w:sz w:val="20"/>
                <w:szCs w:val="20"/>
                <w:lang w:val="mn-MN"/>
              </w:rPr>
              <w:t>дотоод</w:t>
            </w:r>
            <w:r w:rsidRPr="00731F96">
              <w:rPr>
                <w:sz w:val="20"/>
                <w:szCs w:val="20"/>
                <w:lang w:val="mn-MN"/>
              </w:rPr>
              <w:t xml:space="preserve"> PDC-ээс өгөгдөл хүлээн авах, төрөл бүрийн боловсруулалт, дохиолол, </w:t>
            </w:r>
            <w:r>
              <w:rPr>
                <w:sz w:val="20"/>
                <w:szCs w:val="20"/>
                <w:lang w:val="mn-MN"/>
              </w:rPr>
              <w:t>дүрсэлэх</w:t>
            </w:r>
            <w:r w:rsidRPr="00731F96">
              <w:rPr>
                <w:sz w:val="20"/>
                <w:szCs w:val="20"/>
                <w:lang w:val="mn-MN"/>
              </w:rPr>
              <w:t xml:space="preserve"> функцийг гүйцэтгэх</w:t>
            </w:r>
          </w:p>
        </w:tc>
      </w:tr>
      <w:tr w:rsidR="006363B6" w:rsidTr="00440B2A">
        <w:tc>
          <w:tcPr>
            <w:tcW w:w="3723" w:type="dxa"/>
          </w:tcPr>
          <w:p w:rsidR="006363B6" w:rsidRPr="00731F96" w:rsidRDefault="006363B6" w:rsidP="006363B6">
            <w:pPr>
              <w:pStyle w:val="TableParagraph"/>
              <w:tabs>
                <w:tab w:val="left" w:pos="0"/>
              </w:tabs>
              <w:spacing w:before="58" w:line="276" w:lineRule="auto"/>
              <w:rPr>
                <w:sz w:val="20"/>
                <w:szCs w:val="20"/>
                <w:lang w:val="mn-MN"/>
              </w:rPr>
            </w:pPr>
            <w:r w:rsidRPr="00EF2D2B">
              <w:rPr>
                <w:sz w:val="20"/>
                <w:szCs w:val="20"/>
                <w:lang w:val="mn-MN"/>
              </w:rPr>
              <w:t>Эрчим хүчний системийн удирдлагын төхөөрөмж</w:t>
            </w:r>
          </w:p>
        </w:tc>
        <w:tc>
          <w:tcPr>
            <w:tcW w:w="5621" w:type="dxa"/>
          </w:tcPr>
          <w:p w:rsidR="006363B6" w:rsidRPr="00731F96" w:rsidRDefault="006363B6" w:rsidP="006363B6">
            <w:pPr>
              <w:pStyle w:val="TableParagraph"/>
              <w:tabs>
                <w:tab w:val="left" w:pos="0"/>
              </w:tabs>
              <w:spacing w:before="58" w:line="276" w:lineRule="auto"/>
              <w:rPr>
                <w:sz w:val="20"/>
                <w:szCs w:val="20"/>
                <w:lang w:val="mn-MN"/>
              </w:rPr>
            </w:pPr>
            <w:r w:rsidRPr="00731F96">
              <w:rPr>
                <w:sz w:val="20"/>
                <w:szCs w:val="20"/>
                <w:lang w:val="mn-MN"/>
              </w:rPr>
              <w:t>Сэлгэн залгагч, FACTS удирдлага, DC удирдлага гэх мэтээр эрчим хүчний системийг удирддаг</w:t>
            </w:r>
          </w:p>
        </w:tc>
      </w:tr>
    </w:tbl>
    <w:p w:rsidR="006363B6" w:rsidRPr="001C4C31" w:rsidRDefault="006363B6" w:rsidP="006363B6">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486"/>
        <w:gridCol w:w="5858"/>
      </w:tblGrid>
      <w:tr w:rsidR="006363B6" w:rsidTr="00440B2A">
        <w:tc>
          <w:tcPr>
            <w:tcW w:w="3486" w:type="dxa"/>
          </w:tcPr>
          <w:p w:rsidR="006363B6" w:rsidRPr="00EF2D2B" w:rsidRDefault="006363B6"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858" w:type="dxa"/>
          </w:tcPr>
          <w:p w:rsidR="006363B6" w:rsidRPr="00EF2D2B" w:rsidRDefault="006363B6" w:rsidP="00440B2A">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6363B6" w:rsidTr="00440B2A">
        <w:tc>
          <w:tcPr>
            <w:tcW w:w="3486"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lastRenderedPageBreak/>
              <w:t>PMU</w:t>
            </w:r>
          </w:p>
        </w:tc>
        <w:tc>
          <w:tcPr>
            <w:tcW w:w="5858"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Computes synchrophasor &amp; frequency</w:t>
            </w:r>
          </w:p>
        </w:tc>
      </w:tr>
      <w:tr w:rsidR="006363B6" w:rsidTr="00440B2A">
        <w:tc>
          <w:tcPr>
            <w:tcW w:w="3486"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Out-of-step controller</w:t>
            </w:r>
          </w:p>
        </w:tc>
        <w:tc>
          <w:tcPr>
            <w:tcW w:w="5858"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Receive data from the local PDC &amp; perform various processing, alarming, and visualization functions</w:t>
            </w:r>
          </w:p>
        </w:tc>
      </w:tr>
      <w:tr w:rsidR="006363B6" w:rsidTr="00440B2A">
        <w:tc>
          <w:tcPr>
            <w:tcW w:w="3486" w:type="dxa"/>
          </w:tcPr>
          <w:p w:rsidR="006363B6" w:rsidRPr="00EF2D2B" w:rsidRDefault="006363B6" w:rsidP="006363B6">
            <w:pPr>
              <w:pStyle w:val="TableParagraph"/>
              <w:tabs>
                <w:tab w:val="left" w:pos="0"/>
              </w:tabs>
              <w:spacing w:before="58" w:line="276" w:lineRule="auto"/>
              <w:rPr>
                <w:sz w:val="20"/>
                <w:szCs w:val="20"/>
                <w:lang w:val="mn-MN"/>
              </w:rPr>
            </w:pPr>
            <w:r w:rsidRPr="00EF2D2B">
              <w:rPr>
                <w:sz w:val="20"/>
                <w:szCs w:val="20"/>
                <w:lang w:val="mn-MN"/>
              </w:rPr>
              <w:t>Power system control equipment</w:t>
            </w:r>
          </w:p>
        </w:tc>
        <w:tc>
          <w:tcPr>
            <w:tcW w:w="5858" w:type="dxa"/>
          </w:tcPr>
          <w:p w:rsidR="006363B6" w:rsidRPr="00731F96" w:rsidRDefault="006363B6" w:rsidP="006363B6">
            <w:pPr>
              <w:pStyle w:val="TableParagraph"/>
              <w:tabs>
                <w:tab w:val="left" w:pos="0"/>
              </w:tabs>
              <w:spacing w:before="58" w:line="276" w:lineRule="auto"/>
              <w:rPr>
                <w:sz w:val="20"/>
                <w:szCs w:val="20"/>
                <w:lang w:val="mn-MN"/>
              </w:rPr>
            </w:pPr>
            <w:r w:rsidRPr="00731F96">
              <w:rPr>
                <w:sz w:val="20"/>
                <w:szCs w:val="20"/>
                <w:lang w:val="mn-MN"/>
              </w:rPr>
              <w:t>Controls the power system through switching, FACTS power controllers, DC controls, etc.</w:t>
            </w:r>
          </w:p>
        </w:tc>
      </w:tr>
    </w:tbl>
    <w:p w:rsidR="006363B6" w:rsidRDefault="006363B6" w:rsidP="006363B6">
      <w:pPr>
        <w:spacing w:after="0" w:line="240" w:lineRule="auto"/>
        <w:ind w:left="0" w:firstLine="0"/>
        <w:rPr>
          <w:b/>
          <w:bCs/>
          <w:color w:val="000000"/>
          <w:shd w:val="clear" w:color="auto" w:fill="FFFFFF"/>
          <w:lang w:val="en-US"/>
        </w:rPr>
      </w:pPr>
    </w:p>
    <w:p w:rsidR="006363B6" w:rsidRDefault="006363B6" w:rsidP="006363B6">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723"/>
        <w:gridCol w:w="5621"/>
      </w:tblGrid>
      <w:tr w:rsidR="006363B6" w:rsidRPr="00EF2D2B" w:rsidTr="00440B2A">
        <w:tc>
          <w:tcPr>
            <w:tcW w:w="3723" w:type="dxa"/>
          </w:tcPr>
          <w:p w:rsidR="006363B6" w:rsidRPr="00EF2D2B" w:rsidRDefault="006363B6"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621" w:type="dxa"/>
          </w:tcPr>
          <w:p w:rsidR="006363B6" w:rsidRPr="00EF2D2B" w:rsidRDefault="006363B6" w:rsidP="00440B2A">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6363B6" w:rsidRPr="00731F96" w:rsidTr="00440B2A">
        <w:tc>
          <w:tcPr>
            <w:tcW w:w="3723" w:type="dxa"/>
          </w:tcPr>
          <w:p w:rsidR="006363B6" w:rsidRPr="00EF2D2B" w:rsidRDefault="006363B6" w:rsidP="006363B6">
            <w:pPr>
              <w:pStyle w:val="TableParagraph"/>
              <w:tabs>
                <w:tab w:val="left" w:pos="0"/>
              </w:tabs>
              <w:spacing w:before="58" w:line="276" w:lineRule="auto"/>
              <w:rPr>
                <w:sz w:val="20"/>
                <w:szCs w:val="20"/>
                <w:lang w:val="mn-MN"/>
              </w:rPr>
            </w:pPr>
            <w:r w:rsidRPr="00EF2D2B">
              <w:rPr>
                <w:sz w:val="20"/>
                <w:szCs w:val="20"/>
                <w:lang w:val="mn-MN"/>
              </w:rPr>
              <w:t>Өгөгдлийн түүвэр ба Фазор тооцоо</w:t>
            </w:r>
          </w:p>
        </w:tc>
        <w:tc>
          <w:tcPr>
            <w:tcW w:w="5621" w:type="dxa"/>
          </w:tcPr>
          <w:p w:rsidR="006363B6" w:rsidRPr="00731F96" w:rsidRDefault="006363B6" w:rsidP="006363B6">
            <w:pPr>
              <w:pStyle w:val="TableParagraph"/>
              <w:tabs>
                <w:tab w:val="left" w:pos="0"/>
              </w:tabs>
              <w:spacing w:line="276" w:lineRule="auto"/>
              <w:ind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6363B6" w:rsidRPr="00731F96" w:rsidTr="00440B2A">
        <w:tc>
          <w:tcPr>
            <w:tcW w:w="3723"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Өгөгдөл илгээх ба хүлээн авах</w:t>
            </w:r>
          </w:p>
        </w:tc>
        <w:tc>
          <w:tcPr>
            <w:tcW w:w="5621" w:type="dxa"/>
          </w:tcPr>
          <w:p w:rsidR="006363B6" w:rsidRPr="00731F96" w:rsidRDefault="006363B6" w:rsidP="006363B6">
            <w:pPr>
              <w:pStyle w:val="TableParagraph"/>
              <w:tabs>
                <w:tab w:val="left" w:pos="0"/>
              </w:tabs>
              <w:spacing w:line="276" w:lineRule="auto"/>
              <w:jc w:val="both"/>
              <w:rPr>
                <w:sz w:val="20"/>
                <w:szCs w:val="20"/>
                <w:lang w:val="mn-MN"/>
              </w:rPr>
            </w:pPr>
            <w:r w:rsidRPr="00731F96">
              <w:rPr>
                <w:sz w:val="20"/>
                <w:szCs w:val="20"/>
                <w:lang w:val="mn-MN"/>
              </w:rPr>
              <w:t>PMU нь хянагчийн хүлээн авах утгуудыг илгээдэг</w:t>
            </w:r>
          </w:p>
        </w:tc>
      </w:tr>
      <w:tr w:rsidR="006363B6" w:rsidRPr="00731F96" w:rsidTr="00440B2A">
        <w:tc>
          <w:tcPr>
            <w:tcW w:w="3723"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Хязгаараас хэтрэх үеийн хамгаалалт</w:t>
            </w:r>
          </w:p>
        </w:tc>
        <w:tc>
          <w:tcPr>
            <w:tcW w:w="5621" w:type="dxa"/>
          </w:tcPr>
          <w:p w:rsidR="006363B6" w:rsidRPr="00731F96" w:rsidRDefault="006363B6" w:rsidP="006363B6">
            <w:pPr>
              <w:pStyle w:val="TableParagraph"/>
              <w:tabs>
                <w:tab w:val="left" w:pos="0"/>
              </w:tabs>
              <w:spacing w:line="276" w:lineRule="auto"/>
              <w:ind w:right="230"/>
              <w:jc w:val="both"/>
              <w:rPr>
                <w:sz w:val="20"/>
                <w:szCs w:val="20"/>
                <w:lang w:val="mn-MN"/>
              </w:rPr>
            </w:pPr>
            <w:r w:rsidRPr="00731F96">
              <w:rPr>
                <w:sz w:val="20"/>
                <w:szCs w:val="20"/>
                <w:lang w:val="mn-MN"/>
              </w:rPr>
              <w:t>Тусгай хамгаалалттай талбарууд өөр хоорондоо нэг нэгтнийхээ хязгаараас хэтэрч байгаа байгаа эсэхийг шалгахын тулд хянагч бүх PMU-ийн өгөгдлийг харьцуулж үздэг.Хэрэв тухайн талбарууд OOS руу явж байгааг илтгэж байгаа бол хяналтын арга хэмжээг эхлүүлнэ</w:t>
            </w:r>
          </w:p>
        </w:tc>
      </w:tr>
    </w:tbl>
    <w:p w:rsidR="006363B6" w:rsidRPr="00EF2D2B" w:rsidRDefault="006363B6" w:rsidP="006363B6">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6363B6" w:rsidRPr="00EF2D2B" w:rsidTr="00440B2A">
        <w:tc>
          <w:tcPr>
            <w:tcW w:w="3723" w:type="dxa"/>
          </w:tcPr>
          <w:p w:rsidR="006363B6" w:rsidRPr="00EF2D2B" w:rsidRDefault="006363B6"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6363B6" w:rsidRPr="00EF2D2B" w:rsidRDefault="006363B6" w:rsidP="00440B2A">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6363B6" w:rsidRPr="00EF2D2B" w:rsidTr="00440B2A">
        <w:tc>
          <w:tcPr>
            <w:tcW w:w="3723"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Data sampling &amp; phasor estimate</w:t>
            </w:r>
          </w:p>
        </w:tc>
        <w:tc>
          <w:tcPr>
            <w:tcW w:w="5621" w:type="dxa"/>
          </w:tcPr>
          <w:p w:rsidR="006363B6" w:rsidRPr="00731F96" w:rsidRDefault="006363B6" w:rsidP="006363B6">
            <w:pPr>
              <w:pStyle w:val="TableParagraph"/>
              <w:tabs>
                <w:tab w:val="left" w:pos="0"/>
              </w:tabs>
              <w:spacing w:line="276" w:lineRule="auto"/>
              <w:ind w:right="588"/>
              <w:rPr>
                <w:sz w:val="20"/>
                <w:szCs w:val="20"/>
                <w:lang w:val="mn-MN"/>
              </w:rPr>
            </w:pPr>
            <w:r w:rsidRPr="00731F96">
              <w:rPr>
                <w:sz w:val="20"/>
                <w:szCs w:val="20"/>
                <w:lang w:val="mn-MN"/>
              </w:rPr>
              <w:t>PMU estimates synchrophasor and frequency values from voltages and currents</w:t>
            </w:r>
          </w:p>
        </w:tc>
      </w:tr>
      <w:tr w:rsidR="006363B6" w:rsidRPr="00731F96" w:rsidTr="00440B2A">
        <w:tc>
          <w:tcPr>
            <w:tcW w:w="3723"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Data sending &amp; receiving</w:t>
            </w:r>
          </w:p>
        </w:tc>
        <w:tc>
          <w:tcPr>
            <w:tcW w:w="5621"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PMU sends values that are received by the controller</w:t>
            </w:r>
          </w:p>
        </w:tc>
      </w:tr>
      <w:tr w:rsidR="006363B6" w:rsidRPr="00731F96" w:rsidTr="00440B2A">
        <w:tc>
          <w:tcPr>
            <w:tcW w:w="3723"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Out-of-step protection</w:t>
            </w:r>
          </w:p>
        </w:tc>
        <w:tc>
          <w:tcPr>
            <w:tcW w:w="5621" w:type="dxa"/>
          </w:tcPr>
          <w:p w:rsidR="006363B6" w:rsidRPr="00731F96" w:rsidRDefault="006363B6" w:rsidP="006363B6">
            <w:pPr>
              <w:pStyle w:val="TableParagraph"/>
              <w:tabs>
                <w:tab w:val="left" w:pos="0"/>
              </w:tabs>
              <w:spacing w:line="276" w:lineRule="auto"/>
              <w:ind w:right="230"/>
              <w:rPr>
                <w:sz w:val="20"/>
                <w:szCs w:val="20"/>
                <w:lang w:val="mn-MN"/>
              </w:rPr>
            </w:pPr>
            <w:r w:rsidRPr="00731F96">
              <w:rPr>
                <w:sz w:val="20"/>
                <w:szCs w:val="20"/>
                <w:lang w:val="mn-MN"/>
              </w:rPr>
              <w:t>The controller compares the data from all PMUs to detect if the protected areas are going out-of-step with each other. If it detects conditions that indicate the areas are going OOS, it initiates control actions</w:t>
            </w:r>
          </w:p>
        </w:tc>
      </w:tr>
    </w:tbl>
    <w:p w:rsidR="006363B6" w:rsidRPr="00EF2D2B" w:rsidRDefault="006363B6" w:rsidP="006363B6">
      <w:pPr>
        <w:tabs>
          <w:tab w:val="left" w:pos="0"/>
        </w:tabs>
        <w:spacing w:before="93"/>
        <w:rPr>
          <w:b/>
        </w:rPr>
      </w:pPr>
    </w:p>
    <w:p w:rsidR="006363B6" w:rsidRPr="00731F96" w:rsidRDefault="006363B6" w:rsidP="006363B6">
      <w:pPr>
        <w:tabs>
          <w:tab w:val="left" w:pos="0"/>
        </w:tabs>
        <w:spacing w:before="93"/>
        <w:ind w:left="0" w:firstLine="0"/>
        <w:rPr>
          <w:b/>
        </w:rPr>
      </w:pPr>
      <w:r w:rsidRPr="00731F96">
        <w:rPr>
          <w:b/>
        </w:rPr>
        <w:t>Үндсэн</w:t>
      </w:r>
      <w:r>
        <w:rPr>
          <w:b/>
        </w:rPr>
        <w:t xml:space="preserve"> урсгал:</w:t>
      </w:r>
    </w:p>
    <w:p w:rsidR="006363B6" w:rsidRPr="00EF2D2B" w:rsidRDefault="006363B6" w:rsidP="006363B6">
      <w:pPr>
        <w:tabs>
          <w:tab w:val="left" w:pos="0"/>
        </w:tabs>
        <w:spacing w:before="93"/>
        <w:ind w:left="0" w:firstLine="0"/>
        <w:rPr>
          <w:b/>
        </w:rPr>
      </w:pPr>
      <w:r w:rsidRPr="00EF2D2B">
        <w:rPr>
          <w:b/>
        </w:rPr>
        <w:t>Ө</w:t>
      </w:r>
      <w:r>
        <w:rPr>
          <w:b/>
        </w:rPr>
        <w:t>гөгдөл үүсгэх ба илгээх</w:t>
      </w:r>
    </w:p>
    <w:tbl>
      <w:tblPr>
        <w:tblStyle w:val="TableGrid"/>
        <w:tblW w:w="0" w:type="auto"/>
        <w:tblLook w:val="04A0" w:firstRow="1" w:lastRow="0" w:firstColumn="1" w:lastColumn="0" w:noHBand="0" w:noVBand="1"/>
      </w:tblPr>
      <w:tblGrid>
        <w:gridCol w:w="2547"/>
        <w:gridCol w:w="6797"/>
      </w:tblGrid>
      <w:tr w:rsidR="006363B6" w:rsidRPr="00EF2D2B" w:rsidTr="00440B2A">
        <w:tc>
          <w:tcPr>
            <w:tcW w:w="2547" w:type="dxa"/>
          </w:tcPr>
          <w:p w:rsidR="006363B6" w:rsidRPr="00EF2D2B" w:rsidRDefault="006363B6" w:rsidP="00440B2A">
            <w:pPr>
              <w:pStyle w:val="TableParagraph"/>
              <w:tabs>
                <w:tab w:val="left" w:pos="0"/>
              </w:tabs>
              <w:spacing w:line="276" w:lineRule="auto"/>
              <w:ind w:left="309"/>
              <w:rPr>
                <w:b/>
                <w:sz w:val="20"/>
                <w:szCs w:val="20"/>
                <w:lang w:val="mn-MN"/>
              </w:rPr>
            </w:pPr>
            <w:r>
              <w:rPr>
                <w:b/>
                <w:sz w:val="20"/>
                <w:szCs w:val="20"/>
                <w:lang w:val="mn-MN"/>
              </w:rPr>
              <w:t>Алхмууд</w:t>
            </w:r>
          </w:p>
        </w:tc>
        <w:tc>
          <w:tcPr>
            <w:tcW w:w="6797" w:type="dxa"/>
          </w:tcPr>
          <w:p w:rsidR="006363B6" w:rsidRPr="00731F96" w:rsidRDefault="006363B6" w:rsidP="00440B2A">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6363B6" w:rsidRPr="00731F96" w:rsidTr="00440B2A">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1</w:t>
            </w:r>
          </w:p>
        </w:tc>
        <w:tc>
          <w:tcPr>
            <w:tcW w:w="679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PMU нь V ба I –ээс синхрофазор ба системийн давтамжийг тооцоолдог</w:t>
            </w:r>
          </w:p>
        </w:tc>
      </w:tr>
      <w:tr w:rsidR="006363B6" w:rsidRPr="00731F96" w:rsidTr="00440B2A">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2</w:t>
            </w:r>
          </w:p>
        </w:tc>
        <w:tc>
          <w:tcPr>
            <w:tcW w:w="6797" w:type="dxa"/>
          </w:tcPr>
          <w:p w:rsidR="006363B6" w:rsidRPr="00731F96" w:rsidRDefault="006363B6" w:rsidP="006363B6">
            <w:pPr>
              <w:pStyle w:val="TableParagraph"/>
              <w:tabs>
                <w:tab w:val="left" w:pos="0"/>
              </w:tabs>
              <w:spacing w:line="276" w:lineRule="auto"/>
              <w:rPr>
                <w:sz w:val="20"/>
                <w:szCs w:val="20"/>
                <w:lang w:val="mn-MN"/>
              </w:rPr>
            </w:pPr>
            <w:r w:rsidRPr="00EF2D2B">
              <w:rPr>
                <w:sz w:val="20"/>
                <w:szCs w:val="20"/>
                <w:lang w:val="mn-MN"/>
              </w:rPr>
              <w:t>PMU нь гаралтын өгөгдсөн хурдаар фазор болон давтамжийг сонгоно</w:t>
            </w:r>
          </w:p>
        </w:tc>
      </w:tr>
      <w:tr w:rsidR="006363B6" w:rsidRPr="00731F96" w:rsidTr="00440B2A">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3</w:t>
            </w:r>
          </w:p>
        </w:tc>
        <w:tc>
          <w:tcPr>
            <w:tcW w:w="679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PMU нь тохирох төлөв, цаг хугацааны тэмдэг бүхий өгөгдлийг багцалдаг</w:t>
            </w:r>
          </w:p>
        </w:tc>
      </w:tr>
    </w:tbl>
    <w:p w:rsidR="006363B6" w:rsidRPr="00731F96" w:rsidRDefault="006363B6" w:rsidP="006363B6">
      <w:pPr>
        <w:tabs>
          <w:tab w:val="left" w:pos="0"/>
        </w:tabs>
        <w:spacing w:before="93"/>
        <w:ind w:left="0" w:firstLine="0"/>
        <w:rPr>
          <w:b/>
        </w:rPr>
      </w:pPr>
      <w:r>
        <w:rPr>
          <w:b/>
        </w:rPr>
        <w:t>Basic flow:</w:t>
      </w:r>
    </w:p>
    <w:p w:rsidR="006363B6" w:rsidRPr="00EF2D2B" w:rsidRDefault="006363B6" w:rsidP="006363B6">
      <w:pPr>
        <w:tabs>
          <w:tab w:val="left" w:pos="0"/>
        </w:tabs>
        <w:spacing w:before="93"/>
        <w:ind w:left="0" w:firstLine="0"/>
        <w:rPr>
          <w:b/>
        </w:rPr>
      </w:pPr>
      <w:r>
        <w:rPr>
          <w:b/>
        </w:rPr>
        <w:t>Data origination &amp; sending</w:t>
      </w:r>
    </w:p>
    <w:tbl>
      <w:tblPr>
        <w:tblStyle w:val="TableGrid"/>
        <w:tblW w:w="0" w:type="auto"/>
        <w:tblLook w:val="04A0" w:firstRow="1" w:lastRow="0" w:firstColumn="1" w:lastColumn="0" w:noHBand="0" w:noVBand="1"/>
      </w:tblPr>
      <w:tblGrid>
        <w:gridCol w:w="2547"/>
        <w:gridCol w:w="6797"/>
      </w:tblGrid>
      <w:tr w:rsidR="006363B6" w:rsidRPr="00731F96" w:rsidTr="00440B2A">
        <w:tc>
          <w:tcPr>
            <w:tcW w:w="2547" w:type="dxa"/>
          </w:tcPr>
          <w:p w:rsidR="006363B6" w:rsidRPr="00EF2D2B" w:rsidRDefault="006363B6" w:rsidP="00440B2A">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6797" w:type="dxa"/>
          </w:tcPr>
          <w:p w:rsidR="006363B6" w:rsidRPr="00EF2D2B" w:rsidRDefault="006363B6" w:rsidP="00440B2A">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6363B6" w:rsidRPr="00731F96" w:rsidTr="00440B2A">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Step 1</w:t>
            </w:r>
          </w:p>
        </w:tc>
        <w:tc>
          <w:tcPr>
            <w:tcW w:w="6797"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PMU computes V &amp; I synchrophasors &amp; system frequency</w:t>
            </w:r>
          </w:p>
        </w:tc>
      </w:tr>
      <w:tr w:rsidR="006363B6" w:rsidRPr="00731F96" w:rsidTr="00440B2A">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Step 2</w:t>
            </w:r>
          </w:p>
        </w:tc>
        <w:tc>
          <w:tcPr>
            <w:tcW w:w="6797"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PMU selects phasors and frequency at given output rate</w:t>
            </w:r>
          </w:p>
        </w:tc>
      </w:tr>
      <w:tr w:rsidR="006363B6" w:rsidRPr="00731F96" w:rsidTr="00440B2A">
        <w:tc>
          <w:tcPr>
            <w:tcW w:w="2547"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Step 3</w:t>
            </w:r>
          </w:p>
        </w:tc>
        <w:tc>
          <w:tcPr>
            <w:tcW w:w="6797" w:type="dxa"/>
          </w:tcPr>
          <w:p w:rsidR="006363B6" w:rsidRPr="00731F96" w:rsidRDefault="006363B6" w:rsidP="006363B6">
            <w:pPr>
              <w:pStyle w:val="TableParagraph"/>
              <w:tabs>
                <w:tab w:val="left" w:pos="0"/>
              </w:tabs>
              <w:spacing w:line="276" w:lineRule="auto"/>
              <w:rPr>
                <w:sz w:val="20"/>
                <w:szCs w:val="20"/>
                <w:lang w:val="mn-MN"/>
              </w:rPr>
            </w:pPr>
            <w:r w:rsidRPr="00731F96">
              <w:rPr>
                <w:sz w:val="20"/>
                <w:szCs w:val="20"/>
                <w:lang w:val="mn-MN"/>
              </w:rPr>
              <w:t>PMU packages data with appropriate status and time stamp</w:t>
            </w:r>
          </w:p>
        </w:tc>
      </w:tr>
    </w:tbl>
    <w:p w:rsidR="006363B6" w:rsidRDefault="006363B6" w:rsidP="006363B6">
      <w:pPr>
        <w:spacing w:after="0" w:line="240" w:lineRule="auto"/>
        <w:ind w:left="0" w:firstLine="0"/>
        <w:rPr>
          <w:b/>
          <w:bCs/>
          <w:color w:val="000000"/>
          <w:shd w:val="clear" w:color="auto" w:fill="FFFFFF"/>
          <w:lang w:val="en-US"/>
        </w:rPr>
      </w:pPr>
    </w:p>
    <w:p w:rsidR="006363B6" w:rsidRPr="00EF2D2B" w:rsidRDefault="006363B6" w:rsidP="006363B6">
      <w:pPr>
        <w:tabs>
          <w:tab w:val="left" w:pos="0"/>
        </w:tabs>
        <w:spacing w:before="93"/>
        <w:ind w:left="0" w:firstLine="0"/>
        <w:rPr>
          <w:b/>
        </w:rPr>
      </w:pPr>
      <w:r w:rsidRPr="00EF2D2B">
        <w:rPr>
          <w:b/>
        </w:rPr>
        <w:t>Ө</w:t>
      </w:r>
      <w:r>
        <w:rPr>
          <w:b/>
        </w:rPr>
        <w:t>гөгдөл хүлээн авах ба ажиллагаа</w:t>
      </w:r>
    </w:p>
    <w:tbl>
      <w:tblPr>
        <w:tblStyle w:val="TableGrid"/>
        <w:tblW w:w="0" w:type="auto"/>
        <w:tblLook w:val="04A0" w:firstRow="1" w:lastRow="0" w:firstColumn="1" w:lastColumn="0" w:noHBand="0" w:noVBand="1"/>
      </w:tblPr>
      <w:tblGrid>
        <w:gridCol w:w="1880"/>
        <w:gridCol w:w="7464"/>
      </w:tblGrid>
      <w:tr w:rsidR="006363B6" w:rsidRPr="00EF2D2B" w:rsidTr="00440B2A">
        <w:tc>
          <w:tcPr>
            <w:tcW w:w="1880" w:type="dxa"/>
          </w:tcPr>
          <w:p w:rsidR="006363B6" w:rsidRPr="00EF2D2B" w:rsidRDefault="006363B6" w:rsidP="00440B2A">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6363B6" w:rsidRPr="00731F96" w:rsidRDefault="006363B6" w:rsidP="00440B2A">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6363B6" w:rsidRPr="00731F96" w:rsidTr="00440B2A">
        <w:tc>
          <w:tcPr>
            <w:tcW w:w="1880"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lastRenderedPageBreak/>
              <w:t>Алхам 1</w:t>
            </w:r>
          </w:p>
        </w:tc>
        <w:tc>
          <w:tcPr>
            <w:tcW w:w="7464"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Удирдлага нь синхрофазор өгөгдлийг хүлээн авна</w:t>
            </w:r>
          </w:p>
        </w:tc>
      </w:tr>
      <w:tr w:rsidR="006363B6" w:rsidRPr="00731F96" w:rsidTr="00440B2A">
        <w:tc>
          <w:tcPr>
            <w:tcW w:w="1880"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6363B6" w:rsidRPr="00EF2D2B" w:rsidRDefault="006363B6" w:rsidP="006363B6">
            <w:pPr>
              <w:pStyle w:val="TableParagraph"/>
              <w:tabs>
                <w:tab w:val="left" w:pos="0"/>
              </w:tabs>
              <w:spacing w:line="276" w:lineRule="auto"/>
              <w:rPr>
                <w:sz w:val="20"/>
                <w:szCs w:val="20"/>
                <w:lang w:val="mn-MN"/>
              </w:rPr>
            </w:pPr>
            <w:r w:rsidRPr="00EF2D2B">
              <w:rPr>
                <w:sz w:val="20"/>
                <w:szCs w:val="20"/>
                <w:lang w:val="mn-MN"/>
              </w:rPr>
              <w:t>Удирдлага боловсруулахад тохиромжтой өгөгдлийг сонгоно</w:t>
            </w:r>
          </w:p>
        </w:tc>
      </w:tr>
      <w:tr w:rsidR="006363B6" w:rsidRPr="00731F96" w:rsidTr="00440B2A">
        <w:tc>
          <w:tcPr>
            <w:tcW w:w="1880" w:type="dxa"/>
          </w:tcPr>
          <w:p w:rsidR="006363B6" w:rsidRPr="00EF2D2B" w:rsidRDefault="006363B6" w:rsidP="007263E4">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6363B6" w:rsidRPr="00731F96" w:rsidRDefault="006363B6" w:rsidP="006363B6">
            <w:pPr>
              <w:pStyle w:val="TableParagraph"/>
              <w:tabs>
                <w:tab w:val="left" w:pos="0"/>
              </w:tabs>
              <w:spacing w:line="276" w:lineRule="auto"/>
              <w:ind w:right="777"/>
              <w:rPr>
                <w:sz w:val="20"/>
                <w:szCs w:val="20"/>
                <w:lang w:val="mn-MN"/>
              </w:rPr>
            </w:pPr>
            <w:r w:rsidRPr="00EF2D2B">
              <w:rPr>
                <w:sz w:val="20"/>
                <w:szCs w:val="20"/>
                <w:lang w:val="mn-MN"/>
              </w:rPr>
              <w:t>OOS - ын хэрэглээ нь заагдсан PMU-ийн хэмжилтийг харьцуулж, заагдсан нөхцөлийн дагуу арга хэмжээ авна</w:t>
            </w:r>
          </w:p>
        </w:tc>
      </w:tr>
    </w:tbl>
    <w:p w:rsidR="006363B6" w:rsidRDefault="006363B6" w:rsidP="006363B6">
      <w:pPr>
        <w:tabs>
          <w:tab w:val="left" w:pos="0"/>
        </w:tabs>
        <w:spacing w:before="93"/>
        <w:ind w:left="0" w:firstLine="0"/>
        <w:rPr>
          <w:b/>
        </w:rPr>
      </w:pPr>
      <w:r w:rsidRPr="00731F96">
        <w:rPr>
          <w:b/>
        </w:rPr>
        <w:t>Data receivin</w:t>
      </w:r>
      <w:r>
        <w:rPr>
          <w:b/>
        </w:rPr>
        <w:t>g &amp; action</w:t>
      </w:r>
    </w:p>
    <w:tbl>
      <w:tblPr>
        <w:tblStyle w:val="TableGrid"/>
        <w:tblW w:w="0" w:type="auto"/>
        <w:tblLook w:val="04A0" w:firstRow="1" w:lastRow="0" w:firstColumn="1" w:lastColumn="0" w:noHBand="0" w:noVBand="1"/>
      </w:tblPr>
      <w:tblGrid>
        <w:gridCol w:w="1880"/>
        <w:gridCol w:w="7464"/>
      </w:tblGrid>
      <w:tr w:rsidR="006363B6" w:rsidRPr="00731F96" w:rsidTr="00440B2A">
        <w:tc>
          <w:tcPr>
            <w:tcW w:w="1880" w:type="dxa"/>
          </w:tcPr>
          <w:p w:rsidR="006363B6" w:rsidRPr="00EF2D2B" w:rsidRDefault="006363B6" w:rsidP="00440B2A">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6363B6" w:rsidRPr="00EF2D2B" w:rsidRDefault="006363B6" w:rsidP="00440B2A">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7263E4" w:rsidRPr="00731F96" w:rsidTr="00440B2A">
        <w:tc>
          <w:tcPr>
            <w:tcW w:w="1880" w:type="dxa"/>
          </w:tcPr>
          <w:p w:rsidR="007263E4" w:rsidRPr="00EF2D2B" w:rsidRDefault="007263E4" w:rsidP="007263E4">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7263E4" w:rsidRPr="00731F96" w:rsidRDefault="007263E4" w:rsidP="007263E4">
            <w:pPr>
              <w:pStyle w:val="TableParagraph"/>
              <w:tabs>
                <w:tab w:val="left" w:pos="0"/>
              </w:tabs>
              <w:spacing w:line="276" w:lineRule="auto"/>
              <w:rPr>
                <w:sz w:val="20"/>
                <w:szCs w:val="20"/>
                <w:lang w:val="mn-MN"/>
              </w:rPr>
            </w:pPr>
            <w:r w:rsidRPr="00731F96">
              <w:rPr>
                <w:sz w:val="20"/>
                <w:szCs w:val="20"/>
                <w:lang w:val="mn-MN"/>
              </w:rPr>
              <w:t>Controller receives synchrophasor data</w:t>
            </w:r>
          </w:p>
        </w:tc>
      </w:tr>
      <w:tr w:rsidR="007263E4" w:rsidRPr="00731F96" w:rsidTr="00440B2A">
        <w:tc>
          <w:tcPr>
            <w:tcW w:w="1880" w:type="dxa"/>
          </w:tcPr>
          <w:p w:rsidR="007263E4" w:rsidRPr="00EF2D2B" w:rsidRDefault="007263E4" w:rsidP="007263E4">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7263E4" w:rsidRPr="00731F96" w:rsidRDefault="007263E4" w:rsidP="007263E4">
            <w:pPr>
              <w:pStyle w:val="TableParagraph"/>
              <w:tabs>
                <w:tab w:val="left" w:pos="0"/>
              </w:tabs>
              <w:spacing w:line="276" w:lineRule="auto"/>
              <w:rPr>
                <w:sz w:val="20"/>
                <w:szCs w:val="20"/>
                <w:lang w:val="mn-MN"/>
              </w:rPr>
            </w:pPr>
            <w:r w:rsidRPr="00731F96">
              <w:rPr>
                <w:sz w:val="20"/>
                <w:szCs w:val="20"/>
                <w:lang w:val="mn-MN"/>
              </w:rPr>
              <w:t>Controller selects appropriate data for processing</w:t>
            </w:r>
          </w:p>
        </w:tc>
      </w:tr>
      <w:tr w:rsidR="007263E4" w:rsidRPr="00731F96" w:rsidTr="00440B2A">
        <w:tc>
          <w:tcPr>
            <w:tcW w:w="1880" w:type="dxa"/>
          </w:tcPr>
          <w:p w:rsidR="007263E4" w:rsidRPr="00EF2D2B" w:rsidRDefault="007263E4" w:rsidP="007263E4">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7263E4" w:rsidRPr="00731F96" w:rsidRDefault="007263E4" w:rsidP="007263E4">
            <w:pPr>
              <w:pStyle w:val="TableParagraph"/>
              <w:tabs>
                <w:tab w:val="left" w:pos="0"/>
              </w:tabs>
              <w:spacing w:line="276" w:lineRule="auto"/>
              <w:ind w:right="777"/>
              <w:rPr>
                <w:sz w:val="20"/>
                <w:szCs w:val="20"/>
                <w:lang w:val="mn-MN"/>
              </w:rPr>
            </w:pPr>
            <w:r w:rsidRPr="00731F96">
              <w:rPr>
                <w:sz w:val="20"/>
                <w:szCs w:val="20"/>
                <w:lang w:val="mn-MN"/>
              </w:rPr>
              <w:t>OOS Application compares measurements from indicated PMUs and takes action according to indicated conditions</w:t>
            </w:r>
          </w:p>
        </w:tc>
      </w:tr>
    </w:tbl>
    <w:p w:rsidR="006363B6" w:rsidRDefault="006363B6" w:rsidP="001C4C31">
      <w:pPr>
        <w:spacing w:after="0" w:line="240" w:lineRule="auto"/>
        <w:ind w:left="0" w:firstLine="0"/>
        <w:jc w:val="center"/>
        <w:rPr>
          <w:b/>
          <w:bCs/>
          <w:color w:val="000000"/>
          <w:shd w:val="clear" w:color="auto" w:fill="FFFFFF"/>
          <w:lang w:val="en-US"/>
        </w:rPr>
      </w:pPr>
    </w:p>
    <w:p w:rsidR="007263E4" w:rsidRDefault="007263E4" w:rsidP="001C4C31">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4672"/>
        <w:gridCol w:w="4672"/>
      </w:tblGrid>
      <w:tr w:rsidR="007263E4" w:rsidTr="007263E4">
        <w:tc>
          <w:tcPr>
            <w:tcW w:w="4672" w:type="dxa"/>
          </w:tcPr>
          <w:p w:rsidR="007263E4" w:rsidRPr="007263E4" w:rsidRDefault="007263E4" w:rsidP="007263E4">
            <w:pPr>
              <w:tabs>
                <w:tab w:val="left" w:pos="0"/>
              </w:tabs>
              <w:ind w:left="0" w:firstLine="0"/>
              <w:rPr>
                <w:rFonts w:eastAsia="Calibri"/>
                <w:b/>
                <w:bCs/>
                <w:szCs w:val="22"/>
              </w:rPr>
            </w:pPr>
            <w:r w:rsidRPr="007263E4">
              <w:rPr>
                <w:rFonts w:eastAsia="Calibri"/>
                <w:b/>
                <w:bCs/>
                <w:szCs w:val="22"/>
              </w:rPr>
              <w:t>Хязгаарын шаардлага:</w:t>
            </w:r>
          </w:p>
          <w:p w:rsidR="007263E4" w:rsidRPr="007263E4" w:rsidRDefault="007263E4" w:rsidP="007263E4">
            <w:pPr>
              <w:tabs>
                <w:tab w:val="left" w:pos="0"/>
              </w:tabs>
              <w:ind w:left="0" w:firstLine="0"/>
              <w:rPr>
                <w:rFonts w:eastAsia="Calibri"/>
                <w:bCs/>
                <w:szCs w:val="22"/>
              </w:rPr>
            </w:pPr>
            <w:r w:rsidRPr="007263E4">
              <w:rPr>
                <w:rFonts w:eastAsia="Calibri"/>
                <w:bCs/>
                <w:szCs w:val="22"/>
              </w:rPr>
              <w:t>OOS хяналтын арга хэмжээ тодорхой хугацаанд хийгдэх ёстой. Хэмжилтийг богино хугацаанд баталгаажуулах ёстой. Түүврүүдийн хоорондын хоцрогдлыг зөвшөөрөх хэмжээнд байлгахын  тулд өгөгдлийн хурд нь хангалттай байх ёстой. Дараах хүснэгтэд хэмжилтийг дамжуулах хамгийн бага хурд, зөвшөөрөгдөх хоцролтын хязгаар, хэмжилтийн хамгийн их алдааг нэгтгэсэн болно.</w:t>
            </w:r>
          </w:p>
        </w:tc>
        <w:tc>
          <w:tcPr>
            <w:tcW w:w="4672" w:type="dxa"/>
          </w:tcPr>
          <w:p w:rsidR="007263E4" w:rsidRPr="007263E4" w:rsidRDefault="007263E4" w:rsidP="007263E4">
            <w:pPr>
              <w:tabs>
                <w:tab w:val="left" w:pos="0"/>
              </w:tabs>
              <w:ind w:left="0" w:firstLine="0"/>
              <w:rPr>
                <w:rFonts w:eastAsia="Calibri"/>
                <w:b/>
                <w:bCs/>
                <w:szCs w:val="22"/>
              </w:rPr>
            </w:pPr>
            <w:r w:rsidRPr="007263E4">
              <w:rPr>
                <w:rFonts w:eastAsia="Calibri"/>
                <w:b/>
                <w:bCs/>
                <w:szCs w:val="22"/>
              </w:rPr>
              <w:t>Constraints:</w:t>
            </w:r>
          </w:p>
          <w:p w:rsidR="007263E4" w:rsidRPr="007263E4" w:rsidRDefault="007263E4" w:rsidP="007263E4">
            <w:pPr>
              <w:tabs>
                <w:tab w:val="left" w:pos="0"/>
              </w:tabs>
              <w:ind w:left="0" w:firstLine="0"/>
              <w:rPr>
                <w:rFonts w:eastAsia="Calibri"/>
                <w:bCs/>
                <w:szCs w:val="22"/>
              </w:rPr>
            </w:pPr>
            <w:r w:rsidRPr="007263E4">
              <w:rPr>
                <w:rFonts w:eastAsia="Calibri"/>
                <w:bCs/>
                <w:szCs w:val="22"/>
              </w:rPr>
              <w:t>OOS control actions must take place within a limited time. The measurements must  be validated within a short period of time. The data rate has to be rapid enough to support the allowed latency between samples. The following table summarizes the minimum measurement transmission rate, allowable latency range, and maximum measurement timing error that can  be tolerated in this application.</w:t>
            </w:r>
          </w:p>
        </w:tc>
      </w:tr>
    </w:tbl>
    <w:p w:rsidR="007263E4" w:rsidRDefault="007263E4" w:rsidP="007263E4">
      <w:pPr>
        <w:spacing w:after="0" w:line="240" w:lineRule="auto"/>
        <w:ind w:left="0" w:firstLine="0"/>
        <w:rPr>
          <w:b/>
          <w:bCs/>
          <w:color w:val="000000"/>
          <w:shd w:val="clear" w:color="auto" w:fill="FFFFFF"/>
          <w:lang w:val="en-US"/>
        </w:rPr>
      </w:pPr>
    </w:p>
    <w:p w:rsidR="007263E4" w:rsidRDefault="007263E4" w:rsidP="007263E4">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3114"/>
        <w:gridCol w:w="3115"/>
        <w:gridCol w:w="3115"/>
      </w:tblGrid>
      <w:tr w:rsidR="007263E4" w:rsidTr="00440B2A">
        <w:tc>
          <w:tcPr>
            <w:tcW w:w="3114" w:type="dxa"/>
          </w:tcPr>
          <w:p w:rsidR="007263E4" w:rsidRPr="00731F96" w:rsidRDefault="007263E4" w:rsidP="00440B2A">
            <w:pPr>
              <w:pStyle w:val="TableParagraph"/>
              <w:tabs>
                <w:tab w:val="left" w:pos="0"/>
              </w:tabs>
              <w:spacing w:line="276" w:lineRule="auto"/>
              <w:ind w:left="105"/>
              <w:rPr>
                <w:b/>
                <w:sz w:val="20"/>
                <w:szCs w:val="20"/>
                <w:lang w:val="mn-MN"/>
              </w:rPr>
            </w:pPr>
            <w:r w:rsidRPr="00731F96">
              <w:rPr>
                <w:b/>
                <w:sz w:val="20"/>
                <w:szCs w:val="20"/>
                <w:lang w:val="mn-MN"/>
              </w:rPr>
              <w:t>Хамгийн бага хурд</w:t>
            </w:r>
          </w:p>
        </w:tc>
        <w:tc>
          <w:tcPr>
            <w:tcW w:w="3115" w:type="dxa"/>
          </w:tcPr>
          <w:p w:rsidR="007263E4" w:rsidRPr="00731F96" w:rsidRDefault="007263E4" w:rsidP="00440B2A">
            <w:pPr>
              <w:pStyle w:val="TableParagraph"/>
              <w:tabs>
                <w:tab w:val="left" w:pos="0"/>
              </w:tabs>
              <w:spacing w:line="276" w:lineRule="auto"/>
              <w:ind w:left="105"/>
              <w:rPr>
                <w:b/>
                <w:sz w:val="20"/>
                <w:szCs w:val="20"/>
                <w:lang w:val="mn-MN"/>
              </w:rPr>
            </w:pPr>
            <w:r w:rsidRPr="00731F96">
              <w:rPr>
                <w:b/>
                <w:sz w:val="20"/>
                <w:szCs w:val="20"/>
                <w:lang w:val="mn-MN"/>
              </w:rPr>
              <w:t>Дамжуулах хугацааны анги</w:t>
            </w:r>
          </w:p>
        </w:tc>
        <w:tc>
          <w:tcPr>
            <w:tcW w:w="3115" w:type="dxa"/>
          </w:tcPr>
          <w:p w:rsidR="007263E4" w:rsidRPr="00EF2D2B" w:rsidRDefault="007263E4" w:rsidP="00440B2A">
            <w:pPr>
              <w:pStyle w:val="TableParagraph"/>
              <w:tabs>
                <w:tab w:val="left" w:pos="0"/>
              </w:tabs>
              <w:spacing w:line="276" w:lineRule="auto"/>
              <w:ind w:left="105" w:firstLine="8"/>
              <w:rPr>
                <w:b/>
                <w:sz w:val="20"/>
                <w:szCs w:val="20"/>
                <w:lang w:val="mn-MN"/>
              </w:rPr>
            </w:pPr>
            <w:r w:rsidRPr="00EF2D2B">
              <w:rPr>
                <w:b/>
                <w:sz w:val="20"/>
                <w:szCs w:val="20"/>
                <w:lang w:val="mn-MN"/>
              </w:rPr>
              <w:t>Хугацааны синхрончлолын нарийвчлалын анги</w:t>
            </w:r>
          </w:p>
        </w:tc>
      </w:tr>
      <w:tr w:rsidR="007263E4" w:rsidTr="00440B2A">
        <w:tc>
          <w:tcPr>
            <w:tcW w:w="3114" w:type="dxa"/>
          </w:tcPr>
          <w:p w:rsidR="007263E4" w:rsidRPr="00EF2D2B" w:rsidRDefault="007263E4" w:rsidP="007263E4">
            <w:pPr>
              <w:pStyle w:val="TableParagraph"/>
              <w:tabs>
                <w:tab w:val="left" w:pos="0"/>
              </w:tabs>
              <w:spacing w:before="58" w:line="276" w:lineRule="auto"/>
              <w:ind w:left="107"/>
              <w:rPr>
                <w:sz w:val="20"/>
                <w:szCs w:val="20"/>
                <w:lang w:val="mn-MN"/>
              </w:rPr>
            </w:pPr>
            <w:r w:rsidRPr="00EF2D2B">
              <w:rPr>
                <w:sz w:val="20"/>
                <w:szCs w:val="20"/>
                <w:lang w:val="mn-MN"/>
              </w:rPr>
              <w:t>10/секунд</w:t>
            </w:r>
          </w:p>
        </w:tc>
        <w:tc>
          <w:tcPr>
            <w:tcW w:w="3115" w:type="dxa"/>
          </w:tcPr>
          <w:p w:rsidR="007263E4" w:rsidRPr="00731F96" w:rsidRDefault="007263E4" w:rsidP="007263E4">
            <w:pPr>
              <w:pStyle w:val="TableParagraph"/>
              <w:tabs>
                <w:tab w:val="left" w:pos="0"/>
              </w:tabs>
              <w:spacing w:before="58" w:line="276" w:lineRule="auto"/>
              <w:ind w:left="107"/>
              <w:jc w:val="center"/>
              <w:rPr>
                <w:sz w:val="20"/>
                <w:szCs w:val="20"/>
                <w:lang w:val="mn-MN"/>
              </w:rPr>
            </w:pPr>
            <w:r w:rsidRPr="00731F96">
              <w:rPr>
                <w:sz w:val="20"/>
                <w:szCs w:val="20"/>
                <w:lang w:val="mn-MN"/>
              </w:rPr>
              <w:t>TT2 0,5 с</w:t>
            </w:r>
          </w:p>
        </w:tc>
        <w:tc>
          <w:tcPr>
            <w:tcW w:w="3115" w:type="dxa"/>
          </w:tcPr>
          <w:p w:rsidR="007263E4" w:rsidRPr="00731F96" w:rsidRDefault="007263E4" w:rsidP="007263E4">
            <w:pPr>
              <w:pStyle w:val="TableParagraph"/>
              <w:tabs>
                <w:tab w:val="left" w:pos="0"/>
              </w:tabs>
              <w:spacing w:before="58" w:line="276" w:lineRule="auto"/>
              <w:ind w:left="108"/>
              <w:rPr>
                <w:sz w:val="20"/>
                <w:szCs w:val="20"/>
                <w:lang w:val="mn-MN"/>
              </w:rPr>
            </w:pPr>
            <w:r w:rsidRPr="00731F96">
              <w:rPr>
                <w:sz w:val="20"/>
                <w:szCs w:val="20"/>
                <w:lang w:val="mn-MN"/>
              </w:rPr>
              <w:t>T3 0,025 мс</w:t>
            </w:r>
          </w:p>
        </w:tc>
      </w:tr>
    </w:tbl>
    <w:p w:rsidR="007263E4" w:rsidRDefault="007263E4" w:rsidP="007263E4">
      <w:pPr>
        <w:spacing w:after="0" w:line="240" w:lineRule="auto"/>
        <w:ind w:left="0" w:firstLine="0"/>
        <w:jc w:val="center"/>
        <w:rPr>
          <w:b/>
          <w:bCs/>
          <w:color w:val="000000"/>
          <w:shd w:val="clear" w:color="auto" w:fill="FFFFFF"/>
          <w:lang w:val="en-US"/>
        </w:rPr>
      </w:pPr>
    </w:p>
    <w:p w:rsidR="007263E4" w:rsidRDefault="007263E4" w:rsidP="007263E4">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3114"/>
        <w:gridCol w:w="3115"/>
        <w:gridCol w:w="3115"/>
      </w:tblGrid>
      <w:tr w:rsidR="007263E4" w:rsidTr="00440B2A">
        <w:tc>
          <w:tcPr>
            <w:tcW w:w="3114" w:type="dxa"/>
          </w:tcPr>
          <w:p w:rsidR="007263E4" w:rsidRPr="00EF2D2B" w:rsidRDefault="007263E4" w:rsidP="00440B2A">
            <w:pPr>
              <w:pStyle w:val="TableParagraph"/>
              <w:tabs>
                <w:tab w:val="left" w:pos="0"/>
              </w:tabs>
              <w:spacing w:line="276" w:lineRule="auto"/>
              <w:ind w:left="105"/>
              <w:rPr>
                <w:b/>
                <w:sz w:val="20"/>
                <w:szCs w:val="20"/>
                <w:lang w:val="mn-MN"/>
              </w:rPr>
            </w:pPr>
            <w:r w:rsidRPr="00EF2D2B">
              <w:rPr>
                <w:b/>
                <w:sz w:val="20"/>
                <w:szCs w:val="20"/>
                <w:lang w:val="mn-MN"/>
              </w:rPr>
              <w:t>Minimum rate</w:t>
            </w:r>
          </w:p>
        </w:tc>
        <w:tc>
          <w:tcPr>
            <w:tcW w:w="3115" w:type="dxa"/>
          </w:tcPr>
          <w:p w:rsidR="007263E4" w:rsidRPr="00731F96" w:rsidRDefault="007263E4" w:rsidP="00440B2A">
            <w:pPr>
              <w:pStyle w:val="TableParagraph"/>
              <w:tabs>
                <w:tab w:val="left" w:pos="0"/>
              </w:tabs>
              <w:spacing w:line="276" w:lineRule="auto"/>
              <w:ind w:left="105"/>
              <w:rPr>
                <w:b/>
                <w:sz w:val="20"/>
                <w:szCs w:val="20"/>
                <w:lang w:val="mn-MN"/>
              </w:rPr>
            </w:pPr>
            <w:r w:rsidRPr="00731F96">
              <w:rPr>
                <w:b/>
                <w:sz w:val="20"/>
                <w:szCs w:val="20"/>
                <w:lang w:val="mn-MN"/>
              </w:rPr>
              <w:t>Transfer time class</w:t>
            </w:r>
          </w:p>
        </w:tc>
        <w:tc>
          <w:tcPr>
            <w:tcW w:w="3115" w:type="dxa"/>
          </w:tcPr>
          <w:p w:rsidR="007263E4" w:rsidRPr="00731F96" w:rsidRDefault="007263E4" w:rsidP="00440B2A">
            <w:pPr>
              <w:pStyle w:val="TableParagraph"/>
              <w:tabs>
                <w:tab w:val="left" w:pos="0"/>
              </w:tabs>
              <w:spacing w:line="276" w:lineRule="auto"/>
              <w:ind w:left="105" w:hanging="276"/>
              <w:rPr>
                <w:b/>
                <w:sz w:val="20"/>
                <w:szCs w:val="20"/>
                <w:lang w:val="mn-MN"/>
              </w:rPr>
            </w:pPr>
            <w:r w:rsidRPr="00731F96">
              <w:rPr>
                <w:b/>
                <w:sz w:val="20"/>
                <w:szCs w:val="20"/>
                <w:lang w:val="mn-MN"/>
              </w:rPr>
              <w:t>Time synchronization accuracy class</w:t>
            </w:r>
          </w:p>
        </w:tc>
      </w:tr>
      <w:tr w:rsidR="007263E4" w:rsidTr="00440B2A">
        <w:tc>
          <w:tcPr>
            <w:tcW w:w="3114" w:type="dxa"/>
          </w:tcPr>
          <w:p w:rsidR="007263E4" w:rsidRPr="00EF2D2B" w:rsidRDefault="007263E4" w:rsidP="007263E4">
            <w:pPr>
              <w:pStyle w:val="TableParagraph"/>
              <w:tabs>
                <w:tab w:val="left" w:pos="0"/>
              </w:tabs>
              <w:spacing w:before="58" w:line="276" w:lineRule="auto"/>
              <w:ind w:left="107"/>
              <w:rPr>
                <w:sz w:val="20"/>
                <w:szCs w:val="20"/>
                <w:lang w:val="mn-MN"/>
              </w:rPr>
            </w:pPr>
            <w:r w:rsidRPr="00EF2D2B">
              <w:rPr>
                <w:sz w:val="20"/>
                <w:szCs w:val="20"/>
                <w:lang w:val="mn-MN"/>
              </w:rPr>
              <w:t>10/second</w:t>
            </w:r>
          </w:p>
        </w:tc>
        <w:tc>
          <w:tcPr>
            <w:tcW w:w="3115" w:type="dxa"/>
          </w:tcPr>
          <w:p w:rsidR="007263E4" w:rsidRPr="00731F96" w:rsidRDefault="007263E4" w:rsidP="007263E4">
            <w:pPr>
              <w:pStyle w:val="TableParagraph"/>
              <w:tabs>
                <w:tab w:val="left" w:pos="0"/>
              </w:tabs>
              <w:spacing w:before="58" w:line="276" w:lineRule="auto"/>
              <w:ind w:left="107"/>
              <w:rPr>
                <w:sz w:val="20"/>
                <w:szCs w:val="20"/>
                <w:lang w:val="mn-MN"/>
              </w:rPr>
            </w:pPr>
            <w:r w:rsidRPr="00731F96">
              <w:rPr>
                <w:sz w:val="20"/>
                <w:szCs w:val="20"/>
                <w:lang w:val="mn-MN"/>
              </w:rPr>
              <w:t>TT2 0,5 s</w:t>
            </w:r>
          </w:p>
        </w:tc>
        <w:tc>
          <w:tcPr>
            <w:tcW w:w="3115" w:type="dxa"/>
          </w:tcPr>
          <w:p w:rsidR="007263E4" w:rsidRPr="00731F96" w:rsidRDefault="007263E4" w:rsidP="007263E4">
            <w:pPr>
              <w:pStyle w:val="TableParagraph"/>
              <w:tabs>
                <w:tab w:val="left" w:pos="0"/>
              </w:tabs>
              <w:spacing w:before="58" w:line="276" w:lineRule="auto"/>
              <w:ind w:left="108"/>
              <w:rPr>
                <w:sz w:val="20"/>
                <w:szCs w:val="20"/>
                <w:lang w:val="mn-MN"/>
              </w:rPr>
            </w:pPr>
            <w:r w:rsidRPr="00731F96">
              <w:rPr>
                <w:sz w:val="20"/>
                <w:szCs w:val="20"/>
                <w:lang w:val="mn-MN"/>
              </w:rPr>
              <w:t>T3 0,025 ms</w:t>
            </w:r>
          </w:p>
        </w:tc>
      </w:tr>
    </w:tbl>
    <w:p w:rsidR="007263E4" w:rsidRDefault="007263E4" w:rsidP="007263E4">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4672"/>
        <w:gridCol w:w="4672"/>
      </w:tblGrid>
      <w:tr w:rsidR="007263E4" w:rsidTr="007263E4">
        <w:tc>
          <w:tcPr>
            <w:tcW w:w="4672" w:type="dxa"/>
          </w:tcPr>
          <w:p w:rsidR="007263E4" w:rsidRPr="007263E4" w:rsidRDefault="007263E4" w:rsidP="007263E4">
            <w:pPr>
              <w:tabs>
                <w:tab w:val="left" w:pos="0"/>
              </w:tabs>
              <w:ind w:left="0" w:firstLine="0"/>
              <w:rPr>
                <w:rFonts w:eastAsia="Calibri"/>
                <w:b/>
                <w:bCs/>
                <w:szCs w:val="22"/>
              </w:rPr>
            </w:pPr>
            <w:r w:rsidRPr="007263E4">
              <w:rPr>
                <w:rFonts w:eastAsia="Calibri"/>
                <w:b/>
                <w:bCs/>
                <w:szCs w:val="22"/>
              </w:rPr>
              <w:t>5.6 Нөхцөл байдлын дохионы мэдээлэл</w:t>
            </w:r>
          </w:p>
          <w:p w:rsidR="007263E4" w:rsidRPr="007263E4" w:rsidRDefault="007263E4" w:rsidP="007263E4">
            <w:pPr>
              <w:tabs>
                <w:tab w:val="left" w:pos="0"/>
              </w:tabs>
              <w:ind w:left="0" w:firstLine="0"/>
              <w:rPr>
                <w:rFonts w:eastAsia="Calibri"/>
                <w:bCs/>
                <w:szCs w:val="22"/>
              </w:rPr>
            </w:pPr>
            <w:r w:rsidRPr="007263E4">
              <w:rPr>
                <w:rFonts w:eastAsia="Calibri"/>
                <w:bCs/>
                <w:szCs w:val="22"/>
              </w:rPr>
              <w:t xml:space="preserve">Энэ аппликейшинд өгөгдлийг нэг буюу хэд хэдэн PMU төхөөрөмжөөс аппликейшний удирдлагын төвд дохиолол болон харуулах зорилгоор илгээдэг.Эдгээр хэрэглээнүүд нь савлалтыг илрүүлэх, хязгаарын ачааллын арга гэх мэт боловсруулалт, дохиоллын функцүүдийг агуулж </w:t>
            </w:r>
            <w:r w:rsidRPr="007263E4">
              <w:rPr>
                <w:rFonts w:eastAsia="Calibri"/>
                <w:bCs/>
                <w:szCs w:val="22"/>
              </w:rPr>
              <w:lastRenderedPageBreak/>
              <w:t>болно.Эдгээр аппликейшнууд нь өгөгдлийг боловсруулж буй мэдээлэлд үндэслэн үйл ажиллагааны ажилтанд дохиолол өгдөг бөгөөд урьдчилан програмчлагдсан шалгуур үзүүлэлтүүдтэй харьцуулдаг. Ерөнхий мэдээллийн урсгалыг 4-р зурагт үзүүлэв.</w:t>
            </w:r>
          </w:p>
        </w:tc>
        <w:tc>
          <w:tcPr>
            <w:tcW w:w="4672" w:type="dxa"/>
          </w:tcPr>
          <w:p w:rsidR="007263E4" w:rsidRPr="007263E4" w:rsidRDefault="007263E4" w:rsidP="007263E4">
            <w:pPr>
              <w:tabs>
                <w:tab w:val="left" w:pos="0"/>
              </w:tabs>
              <w:ind w:left="0" w:firstLine="0"/>
              <w:rPr>
                <w:rFonts w:eastAsia="Calibri"/>
                <w:b/>
                <w:bCs/>
                <w:szCs w:val="22"/>
              </w:rPr>
            </w:pPr>
            <w:r w:rsidRPr="007263E4">
              <w:rPr>
                <w:rFonts w:eastAsia="Calibri"/>
                <w:b/>
                <w:bCs/>
                <w:szCs w:val="22"/>
              </w:rPr>
              <w:lastRenderedPageBreak/>
              <w:t>5.6 Нөхцөл байдлын дохионы мэдээлэл</w:t>
            </w:r>
          </w:p>
          <w:p w:rsidR="007263E4" w:rsidRPr="007263E4" w:rsidRDefault="007263E4" w:rsidP="007263E4">
            <w:pPr>
              <w:tabs>
                <w:tab w:val="left" w:pos="0"/>
              </w:tabs>
              <w:ind w:left="0" w:firstLine="0"/>
              <w:rPr>
                <w:rFonts w:eastAsia="Calibri"/>
                <w:bCs/>
                <w:szCs w:val="22"/>
              </w:rPr>
            </w:pPr>
            <w:r w:rsidRPr="007263E4">
              <w:rPr>
                <w:rFonts w:eastAsia="Calibri"/>
                <w:bCs/>
                <w:szCs w:val="22"/>
              </w:rPr>
              <w:t>In this application, data is sent from one or more PMU devices to alarm and display</w:t>
            </w:r>
          </w:p>
          <w:p w:rsidR="007263E4" w:rsidRPr="007263E4" w:rsidRDefault="007263E4" w:rsidP="007263E4">
            <w:pPr>
              <w:tabs>
                <w:tab w:val="left" w:pos="0"/>
              </w:tabs>
              <w:ind w:left="0" w:firstLine="0"/>
              <w:rPr>
                <w:rFonts w:eastAsia="Calibri"/>
                <w:bCs/>
                <w:szCs w:val="22"/>
              </w:rPr>
            </w:pPr>
            <w:r w:rsidRPr="007263E4">
              <w:rPr>
                <w:rFonts w:eastAsia="Calibri"/>
                <w:bCs/>
                <w:szCs w:val="22"/>
              </w:rPr>
              <w:t>applications in a control center. These applications may include processing and alarm</w:t>
            </w:r>
          </w:p>
          <w:p w:rsidR="007263E4" w:rsidRPr="007263E4" w:rsidRDefault="007263E4" w:rsidP="007263E4">
            <w:pPr>
              <w:tabs>
                <w:tab w:val="left" w:pos="0"/>
              </w:tabs>
              <w:ind w:left="0" w:firstLine="0"/>
              <w:rPr>
                <w:rFonts w:eastAsia="Calibri"/>
                <w:bCs/>
                <w:szCs w:val="22"/>
              </w:rPr>
            </w:pPr>
            <w:r w:rsidRPr="007263E4">
              <w:rPr>
                <w:rFonts w:eastAsia="Calibri"/>
                <w:bCs/>
                <w:szCs w:val="22"/>
              </w:rPr>
              <w:t>functions such as oscillation detection and path loading limits. These applications provide</w:t>
            </w:r>
          </w:p>
          <w:p w:rsidR="007263E4" w:rsidRPr="007263E4" w:rsidRDefault="007263E4" w:rsidP="007263E4">
            <w:pPr>
              <w:tabs>
                <w:tab w:val="left" w:pos="0"/>
              </w:tabs>
              <w:ind w:left="0" w:firstLine="0"/>
              <w:rPr>
                <w:rFonts w:eastAsia="Calibri"/>
                <w:bCs/>
                <w:szCs w:val="22"/>
                <w:lang w:val="en-US"/>
              </w:rPr>
            </w:pPr>
            <w:r w:rsidRPr="007263E4">
              <w:rPr>
                <w:rFonts w:eastAsia="Calibri"/>
                <w:bCs/>
                <w:szCs w:val="22"/>
              </w:rPr>
              <w:lastRenderedPageBreak/>
              <w:t>alarms to operations personnel based on information derived from the data and</w:t>
            </w:r>
            <w:r>
              <w:rPr>
                <w:rFonts w:eastAsia="Calibri"/>
                <w:bCs/>
                <w:szCs w:val="22"/>
              </w:rPr>
              <w:t xml:space="preserve"> </w:t>
            </w:r>
            <w:r>
              <w:rPr>
                <w:rFonts w:eastAsia="Calibri"/>
                <w:bCs/>
                <w:szCs w:val="22"/>
                <w:lang w:val="en-US"/>
              </w:rPr>
              <w:t>compared with pre-programmed criteria. The general information flow is shown in Figure 4.</w:t>
            </w:r>
          </w:p>
        </w:tc>
      </w:tr>
    </w:tbl>
    <w:p w:rsidR="007263E4" w:rsidRDefault="007263E4" w:rsidP="007263E4">
      <w:pPr>
        <w:spacing w:after="0" w:line="240" w:lineRule="auto"/>
        <w:ind w:left="0" w:firstLine="0"/>
        <w:jc w:val="center"/>
        <w:rPr>
          <w:b/>
          <w:bCs/>
          <w:color w:val="000000"/>
          <w:shd w:val="clear" w:color="auto" w:fill="FFFFFF"/>
          <w:lang w:val="en-US"/>
        </w:rPr>
      </w:pPr>
    </w:p>
    <w:p w:rsidR="007263E4" w:rsidRDefault="007263E4" w:rsidP="007263E4">
      <w:pPr>
        <w:spacing w:after="0" w:line="240" w:lineRule="auto"/>
        <w:ind w:left="0" w:firstLine="0"/>
        <w:jc w:val="center"/>
      </w:pPr>
      <w:r>
        <w:rPr>
          <w:noProof/>
          <w:lang w:val="en-US"/>
        </w:rPr>
        <w:drawing>
          <wp:inline distT="0" distB="0" distL="0" distR="0" wp14:anchorId="1D48FA62" wp14:editId="7EF36895">
            <wp:extent cx="5648325" cy="3495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8325" cy="3495675"/>
                    </a:xfrm>
                    <a:prstGeom prst="rect">
                      <a:avLst/>
                    </a:prstGeom>
                  </pic:spPr>
                </pic:pic>
              </a:graphicData>
            </a:graphic>
          </wp:inline>
        </w:drawing>
      </w:r>
    </w:p>
    <w:p w:rsidR="007263E4" w:rsidRDefault="007263E4" w:rsidP="007263E4">
      <w:pPr>
        <w:pStyle w:val="Heading5"/>
        <w:tabs>
          <w:tab w:val="left" w:pos="0"/>
        </w:tabs>
        <w:spacing w:line="276" w:lineRule="auto"/>
        <w:jc w:val="center"/>
        <w:rPr>
          <w:rFonts w:ascii="Arial" w:hAnsi="Arial" w:cs="Arial"/>
          <w:b/>
          <w:color w:val="auto"/>
          <w:szCs w:val="24"/>
          <w:lang w:val="mn-MN"/>
        </w:rPr>
      </w:pPr>
      <w:r w:rsidRPr="00731F96">
        <w:rPr>
          <w:rFonts w:ascii="Arial" w:hAnsi="Arial" w:cs="Arial"/>
          <w:b/>
          <w:color w:val="auto"/>
          <w:szCs w:val="24"/>
          <w:lang w:val="mn-MN"/>
        </w:rPr>
        <w:t>4</w:t>
      </w:r>
      <w:r>
        <w:rPr>
          <w:rFonts w:ascii="Arial" w:hAnsi="Arial" w:cs="Arial"/>
          <w:b/>
          <w:color w:val="auto"/>
          <w:szCs w:val="24"/>
        </w:rPr>
        <w:t>-</w:t>
      </w:r>
      <w:r>
        <w:rPr>
          <w:rFonts w:ascii="Arial" w:hAnsi="Arial" w:cs="Arial"/>
          <w:b/>
          <w:color w:val="auto"/>
          <w:szCs w:val="24"/>
          <w:lang w:val="mn-MN"/>
        </w:rPr>
        <w:t>р зураг</w:t>
      </w:r>
      <w:r w:rsidRPr="00731F96">
        <w:rPr>
          <w:rFonts w:ascii="Arial" w:hAnsi="Arial" w:cs="Arial"/>
          <w:b/>
          <w:color w:val="auto"/>
          <w:szCs w:val="24"/>
          <w:lang w:val="mn-MN"/>
        </w:rPr>
        <w:t xml:space="preserve"> – Нөхцөл байдлын талаарх ойлголтыг авахад ашиглах схем</w:t>
      </w:r>
    </w:p>
    <w:p w:rsidR="007263E4" w:rsidRDefault="007263E4" w:rsidP="007263E4"/>
    <w:p w:rsidR="007263E4" w:rsidRDefault="007263E4" w:rsidP="009817E2">
      <w:pPr>
        <w:jc w:val="left"/>
      </w:pPr>
      <w:r>
        <w:rPr>
          <w:noProof/>
          <w:lang w:val="en-US"/>
        </w:rPr>
        <w:drawing>
          <wp:inline distT="0" distB="0" distL="0" distR="0" wp14:anchorId="4306E3F5" wp14:editId="681DDE7D">
            <wp:extent cx="4981575" cy="3000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1575" cy="3000375"/>
                    </a:xfrm>
                    <a:prstGeom prst="rect">
                      <a:avLst/>
                    </a:prstGeom>
                  </pic:spPr>
                </pic:pic>
              </a:graphicData>
            </a:graphic>
          </wp:inline>
        </w:drawing>
      </w:r>
    </w:p>
    <w:p w:rsidR="006363B6" w:rsidRDefault="007263E4" w:rsidP="007263E4">
      <w:pPr>
        <w:jc w:val="center"/>
        <w:rPr>
          <w:b/>
          <w:lang w:val="en-US"/>
        </w:rPr>
      </w:pPr>
      <w:r w:rsidRPr="007263E4">
        <w:rPr>
          <w:b/>
          <w:lang w:val="en-US"/>
        </w:rPr>
        <w:t>Figure 4 –Use case d</w:t>
      </w:r>
      <w:r>
        <w:rPr>
          <w:b/>
          <w:lang w:val="en-US"/>
        </w:rPr>
        <w:t>iagram for situational awarenes</w:t>
      </w:r>
    </w:p>
    <w:p w:rsidR="009817E2" w:rsidRPr="001C4C31" w:rsidRDefault="009817E2" w:rsidP="009817E2">
      <w:pPr>
        <w:tabs>
          <w:tab w:val="left" w:pos="0"/>
        </w:tabs>
        <w:spacing w:before="93"/>
        <w:ind w:left="0" w:firstLine="0"/>
        <w:rPr>
          <w:b/>
        </w:rPr>
      </w:pPr>
      <w:r w:rsidRPr="00EF2D2B">
        <w:rPr>
          <w:b/>
        </w:rPr>
        <w:lastRenderedPageBreak/>
        <w:t>Үүнд:</w:t>
      </w:r>
    </w:p>
    <w:tbl>
      <w:tblPr>
        <w:tblStyle w:val="TableGrid"/>
        <w:tblW w:w="0" w:type="auto"/>
        <w:tblLook w:val="04A0" w:firstRow="1" w:lastRow="0" w:firstColumn="1" w:lastColumn="0" w:noHBand="0" w:noVBand="1"/>
      </w:tblPr>
      <w:tblGrid>
        <w:gridCol w:w="3723"/>
        <w:gridCol w:w="5621"/>
      </w:tblGrid>
      <w:tr w:rsidR="009817E2" w:rsidTr="00440B2A">
        <w:tc>
          <w:tcPr>
            <w:tcW w:w="3723" w:type="dxa"/>
          </w:tcPr>
          <w:p w:rsidR="009817E2" w:rsidRPr="00EF2D2B" w:rsidRDefault="009817E2"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5621" w:type="dxa"/>
          </w:tcPr>
          <w:p w:rsidR="009817E2" w:rsidRPr="00EF2D2B" w:rsidRDefault="009817E2" w:rsidP="00440B2A">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9817E2" w:rsidTr="00440B2A">
        <w:tc>
          <w:tcPr>
            <w:tcW w:w="3723"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PMU</w:t>
            </w:r>
          </w:p>
        </w:tc>
        <w:tc>
          <w:tcPr>
            <w:tcW w:w="5621"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Сонхрофазор ба давтамжийг тооцоолно</w:t>
            </w:r>
          </w:p>
        </w:tc>
      </w:tr>
      <w:tr w:rsidR="009817E2" w:rsidTr="00440B2A">
        <w:tc>
          <w:tcPr>
            <w:tcW w:w="3723"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Хязгаараас хэтрэх үеийн удирдлага</w:t>
            </w:r>
          </w:p>
        </w:tc>
        <w:tc>
          <w:tcPr>
            <w:tcW w:w="5621" w:type="dxa"/>
          </w:tcPr>
          <w:p w:rsidR="009817E2" w:rsidRPr="00731F96" w:rsidRDefault="009817E2" w:rsidP="00440B2A">
            <w:pPr>
              <w:pStyle w:val="TableParagraph"/>
              <w:tabs>
                <w:tab w:val="left" w:pos="0"/>
              </w:tabs>
              <w:spacing w:line="276" w:lineRule="auto"/>
              <w:rPr>
                <w:sz w:val="20"/>
                <w:szCs w:val="20"/>
                <w:lang w:val="mn-MN"/>
              </w:rPr>
            </w:pPr>
            <w:r>
              <w:rPr>
                <w:sz w:val="20"/>
                <w:szCs w:val="20"/>
                <w:lang w:val="mn-MN"/>
              </w:rPr>
              <w:t>дотоод</w:t>
            </w:r>
            <w:r w:rsidRPr="00731F96">
              <w:rPr>
                <w:sz w:val="20"/>
                <w:szCs w:val="20"/>
                <w:lang w:val="mn-MN"/>
              </w:rPr>
              <w:t xml:space="preserve"> PDC-ээс өгөгдөл хүлээн авах, төрөл бүрийн боловсруулалт, дохиолол, </w:t>
            </w:r>
            <w:r>
              <w:rPr>
                <w:sz w:val="20"/>
                <w:szCs w:val="20"/>
                <w:lang w:val="mn-MN"/>
              </w:rPr>
              <w:t>дүрсэлэх</w:t>
            </w:r>
            <w:r w:rsidRPr="00731F96">
              <w:rPr>
                <w:sz w:val="20"/>
                <w:szCs w:val="20"/>
                <w:lang w:val="mn-MN"/>
              </w:rPr>
              <w:t xml:space="preserve"> функцийг гүйцэтгэх</w:t>
            </w:r>
          </w:p>
        </w:tc>
      </w:tr>
      <w:tr w:rsidR="009817E2" w:rsidTr="00440B2A">
        <w:tc>
          <w:tcPr>
            <w:tcW w:w="3723" w:type="dxa"/>
          </w:tcPr>
          <w:p w:rsidR="009817E2" w:rsidRPr="00731F96" w:rsidRDefault="009817E2" w:rsidP="00440B2A">
            <w:pPr>
              <w:pStyle w:val="TableParagraph"/>
              <w:tabs>
                <w:tab w:val="left" w:pos="0"/>
              </w:tabs>
              <w:spacing w:before="58" w:line="276" w:lineRule="auto"/>
              <w:rPr>
                <w:sz w:val="20"/>
                <w:szCs w:val="20"/>
                <w:lang w:val="mn-MN"/>
              </w:rPr>
            </w:pPr>
            <w:r w:rsidRPr="00EF2D2B">
              <w:rPr>
                <w:sz w:val="20"/>
                <w:szCs w:val="20"/>
                <w:lang w:val="mn-MN"/>
              </w:rPr>
              <w:t>Эрчим хүчний системийн удирдлагын төхөөрөмж</w:t>
            </w:r>
          </w:p>
        </w:tc>
        <w:tc>
          <w:tcPr>
            <w:tcW w:w="5621" w:type="dxa"/>
          </w:tcPr>
          <w:p w:rsidR="009817E2" w:rsidRPr="00731F96" w:rsidRDefault="009817E2" w:rsidP="00440B2A">
            <w:pPr>
              <w:pStyle w:val="TableParagraph"/>
              <w:tabs>
                <w:tab w:val="left" w:pos="0"/>
              </w:tabs>
              <w:spacing w:before="58" w:line="276" w:lineRule="auto"/>
              <w:rPr>
                <w:sz w:val="20"/>
                <w:szCs w:val="20"/>
                <w:lang w:val="mn-MN"/>
              </w:rPr>
            </w:pPr>
            <w:r w:rsidRPr="00731F96">
              <w:rPr>
                <w:sz w:val="20"/>
                <w:szCs w:val="20"/>
                <w:lang w:val="mn-MN"/>
              </w:rPr>
              <w:t>Сэлгэн залгагч, FACTS удирдлага, DC удирдлага гэх мэтээр эрчим хүчний системийг удирддаг</w:t>
            </w:r>
          </w:p>
        </w:tc>
      </w:tr>
    </w:tbl>
    <w:p w:rsidR="009817E2" w:rsidRPr="001C4C31" w:rsidRDefault="009817E2" w:rsidP="009817E2">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486"/>
        <w:gridCol w:w="5858"/>
      </w:tblGrid>
      <w:tr w:rsidR="009817E2" w:rsidTr="00440B2A">
        <w:tc>
          <w:tcPr>
            <w:tcW w:w="3486" w:type="dxa"/>
          </w:tcPr>
          <w:p w:rsidR="009817E2" w:rsidRPr="00EF2D2B" w:rsidRDefault="009817E2"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858" w:type="dxa"/>
          </w:tcPr>
          <w:p w:rsidR="009817E2" w:rsidRPr="00EF2D2B" w:rsidRDefault="009817E2" w:rsidP="00440B2A">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9817E2" w:rsidTr="00440B2A">
        <w:tc>
          <w:tcPr>
            <w:tcW w:w="3486"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PMU</w:t>
            </w:r>
          </w:p>
        </w:tc>
        <w:tc>
          <w:tcPr>
            <w:tcW w:w="5858"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Computes synchrophasor &amp; frequency</w:t>
            </w:r>
          </w:p>
        </w:tc>
      </w:tr>
      <w:tr w:rsidR="009817E2" w:rsidTr="00440B2A">
        <w:tc>
          <w:tcPr>
            <w:tcW w:w="3486"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Out-of-step controller</w:t>
            </w:r>
          </w:p>
        </w:tc>
        <w:tc>
          <w:tcPr>
            <w:tcW w:w="5858"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Receive data from the local PDC &amp; perform various processing, alarming, and visualization functions</w:t>
            </w:r>
          </w:p>
        </w:tc>
      </w:tr>
      <w:tr w:rsidR="009817E2" w:rsidTr="00440B2A">
        <w:tc>
          <w:tcPr>
            <w:tcW w:w="3486" w:type="dxa"/>
          </w:tcPr>
          <w:p w:rsidR="009817E2" w:rsidRPr="00EF2D2B" w:rsidRDefault="009817E2" w:rsidP="00440B2A">
            <w:pPr>
              <w:pStyle w:val="TableParagraph"/>
              <w:tabs>
                <w:tab w:val="left" w:pos="0"/>
              </w:tabs>
              <w:spacing w:before="58" w:line="276" w:lineRule="auto"/>
              <w:rPr>
                <w:sz w:val="20"/>
                <w:szCs w:val="20"/>
                <w:lang w:val="mn-MN"/>
              </w:rPr>
            </w:pPr>
            <w:r w:rsidRPr="00EF2D2B">
              <w:rPr>
                <w:sz w:val="20"/>
                <w:szCs w:val="20"/>
                <w:lang w:val="mn-MN"/>
              </w:rPr>
              <w:t>Power system control equipment</w:t>
            </w:r>
          </w:p>
        </w:tc>
        <w:tc>
          <w:tcPr>
            <w:tcW w:w="5858" w:type="dxa"/>
          </w:tcPr>
          <w:p w:rsidR="009817E2" w:rsidRPr="00731F96" w:rsidRDefault="009817E2" w:rsidP="00440B2A">
            <w:pPr>
              <w:pStyle w:val="TableParagraph"/>
              <w:tabs>
                <w:tab w:val="left" w:pos="0"/>
              </w:tabs>
              <w:spacing w:before="58" w:line="276" w:lineRule="auto"/>
              <w:rPr>
                <w:sz w:val="20"/>
                <w:szCs w:val="20"/>
                <w:lang w:val="mn-MN"/>
              </w:rPr>
            </w:pPr>
            <w:r w:rsidRPr="00731F96">
              <w:rPr>
                <w:sz w:val="20"/>
                <w:szCs w:val="20"/>
                <w:lang w:val="mn-MN"/>
              </w:rPr>
              <w:t>Controls the power system through switching, FACTS power controllers, DC controls, etc.</w:t>
            </w:r>
          </w:p>
        </w:tc>
      </w:tr>
    </w:tbl>
    <w:p w:rsidR="009817E2" w:rsidRDefault="009817E2" w:rsidP="009817E2">
      <w:pPr>
        <w:spacing w:after="0" w:line="240" w:lineRule="auto"/>
        <w:ind w:left="0" w:firstLine="0"/>
        <w:rPr>
          <w:b/>
          <w:bCs/>
          <w:color w:val="000000"/>
          <w:shd w:val="clear" w:color="auto" w:fill="FFFFFF"/>
          <w:lang w:val="en-US"/>
        </w:rPr>
      </w:pPr>
    </w:p>
    <w:p w:rsidR="009817E2" w:rsidRDefault="009817E2" w:rsidP="009817E2">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723"/>
        <w:gridCol w:w="5621"/>
      </w:tblGrid>
      <w:tr w:rsidR="009817E2" w:rsidRPr="00EF2D2B" w:rsidTr="00440B2A">
        <w:tc>
          <w:tcPr>
            <w:tcW w:w="3723" w:type="dxa"/>
          </w:tcPr>
          <w:p w:rsidR="009817E2" w:rsidRPr="00EF2D2B" w:rsidRDefault="009817E2"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621" w:type="dxa"/>
          </w:tcPr>
          <w:p w:rsidR="009817E2" w:rsidRPr="00EF2D2B" w:rsidRDefault="009817E2" w:rsidP="00440B2A">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9817E2" w:rsidRPr="00731F96" w:rsidTr="00440B2A">
        <w:tc>
          <w:tcPr>
            <w:tcW w:w="3723" w:type="dxa"/>
          </w:tcPr>
          <w:p w:rsidR="009817E2" w:rsidRPr="00EF2D2B" w:rsidRDefault="009817E2" w:rsidP="00440B2A">
            <w:pPr>
              <w:pStyle w:val="TableParagraph"/>
              <w:tabs>
                <w:tab w:val="left" w:pos="0"/>
              </w:tabs>
              <w:spacing w:before="58" w:line="276" w:lineRule="auto"/>
              <w:rPr>
                <w:sz w:val="20"/>
                <w:szCs w:val="20"/>
                <w:lang w:val="mn-MN"/>
              </w:rPr>
            </w:pPr>
            <w:r w:rsidRPr="00EF2D2B">
              <w:rPr>
                <w:sz w:val="20"/>
                <w:szCs w:val="20"/>
                <w:lang w:val="mn-MN"/>
              </w:rPr>
              <w:t>Өгөгдлийн түүвэр ба Фазор тооцоо</w:t>
            </w:r>
          </w:p>
        </w:tc>
        <w:tc>
          <w:tcPr>
            <w:tcW w:w="5621" w:type="dxa"/>
          </w:tcPr>
          <w:p w:rsidR="009817E2" w:rsidRPr="00731F96" w:rsidRDefault="009817E2" w:rsidP="00440B2A">
            <w:pPr>
              <w:pStyle w:val="TableParagraph"/>
              <w:tabs>
                <w:tab w:val="left" w:pos="0"/>
              </w:tabs>
              <w:spacing w:line="276" w:lineRule="auto"/>
              <w:ind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9817E2" w:rsidRPr="00731F96" w:rsidTr="00440B2A">
        <w:tc>
          <w:tcPr>
            <w:tcW w:w="3723"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Өгөгдөл илгээх ба хүлээн авах</w:t>
            </w:r>
          </w:p>
        </w:tc>
        <w:tc>
          <w:tcPr>
            <w:tcW w:w="5621" w:type="dxa"/>
          </w:tcPr>
          <w:p w:rsidR="009817E2" w:rsidRPr="00731F96" w:rsidRDefault="009817E2" w:rsidP="00440B2A">
            <w:pPr>
              <w:pStyle w:val="TableParagraph"/>
              <w:tabs>
                <w:tab w:val="left" w:pos="0"/>
              </w:tabs>
              <w:spacing w:line="276" w:lineRule="auto"/>
              <w:jc w:val="both"/>
              <w:rPr>
                <w:sz w:val="20"/>
                <w:szCs w:val="20"/>
                <w:lang w:val="mn-MN"/>
              </w:rPr>
            </w:pPr>
            <w:r w:rsidRPr="00731F96">
              <w:rPr>
                <w:sz w:val="20"/>
                <w:szCs w:val="20"/>
                <w:lang w:val="mn-MN"/>
              </w:rPr>
              <w:t>PMU нь хянагчийн хүлээн авах утгуудыг илгээдэг</w:t>
            </w:r>
          </w:p>
        </w:tc>
      </w:tr>
      <w:tr w:rsidR="009817E2" w:rsidRPr="00731F96" w:rsidTr="00440B2A">
        <w:tc>
          <w:tcPr>
            <w:tcW w:w="3723"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Хязгаараас хэтрэх үеийн хамгаалалт</w:t>
            </w:r>
          </w:p>
        </w:tc>
        <w:tc>
          <w:tcPr>
            <w:tcW w:w="5621" w:type="dxa"/>
          </w:tcPr>
          <w:p w:rsidR="009817E2" w:rsidRPr="00731F96" w:rsidRDefault="009817E2" w:rsidP="00440B2A">
            <w:pPr>
              <w:pStyle w:val="TableParagraph"/>
              <w:tabs>
                <w:tab w:val="left" w:pos="0"/>
              </w:tabs>
              <w:spacing w:line="276" w:lineRule="auto"/>
              <w:ind w:right="230"/>
              <w:jc w:val="both"/>
              <w:rPr>
                <w:sz w:val="20"/>
                <w:szCs w:val="20"/>
                <w:lang w:val="mn-MN"/>
              </w:rPr>
            </w:pPr>
            <w:r w:rsidRPr="00731F96">
              <w:rPr>
                <w:sz w:val="20"/>
                <w:szCs w:val="20"/>
                <w:lang w:val="mn-MN"/>
              </w:rPr>
              <w:t>Тусгай хамгаалалттай талбарууд өөр хоорондоо нэг нэгтнийхээ хязгаараас хэтэрч байгаа байгаа эсэхийг шалгахын тулд хянагч бүх PMU-ийн өгөгдлийг харьцуулж үздэг.Хэрэв тухайн талбарууд OOS руу явж байгааг илтгэж байгаа бол хяналтын арга хэмжээг эхлүүлнэ</w:t>
            </w:r>
          </w:p>
        </w:tc>
      </w:tr>
    </w:tbl>
    <w:p w:rsidR="009817E2" w:rsidRPr="00EF2D2B" w:rsidRDefault="009817E2" w:rsidP="009817E2">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9817E2" w:rsidRPr="00EF2D2B" w:rsidTr="00440B2A">
        <w:tc>
          <w:tcPr>
            <w:tcW w:w="3723" w:type="dxa"/>
          </w:tcPr>
          <w:p w:rsidR="009817E2" w:rsidRPr="00EF2D2B" w:rsidRDefault="009817E2"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9817E2" w:rsidRPr="00EF2D2B" w:rsidRDefault="009817E2" w:rsidP="00440B2A">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9817E2" w:rsidRPr="00EF2D2B" w:rsidTr="00440B2A">
        <w:tc>
          <w:tcPr>
            <w:tcW w:w="3723"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Data sampling &amp; phasor estimate</w:t>
            </w:r>
          </w:p>
        </w:tc>
        <w:tc>
          <w:tcPr>
            <w:tcW w:w="5621" w:type="dxa"/>
          </w:tcPr>
          <w:p w:rsidR="009817E2" w:rsidRPr="00731F96" w:rsidRDefault="009817E2" w:rsidP="00440B2A">
            <w:pPr>
              <w:pStyle w:val="TableParagraph"/>
              <w:tabs>
                <w:tab w:val="left" w:pos="0"/>
              </w:tabs>
              <w:spacing w:line="276" w:lineRule="auto"/>
              <w:ind w:right="588"/>
              <w:rPr>
                <w:sz w:val="20"/>
                <w:szCs w:val="20"/>
                <w:lang w:val="mn-MN"/>
              </w:rPr>
            </w:pPr>
            <w:r w:rsidRPr="00731F96">
              <w:rPr>
                <w:sz w:val="20"/>
                <w:szCs w:val="20"/>
                <w:lang w:val="mn-MN"/>
              </w:rPr>
              <w:t>PMU estimates synchrophasor and frequency values from voltages and currents</w:t>
            </w:r>
          </w:p>
        </w:tc>
      </w:tr>
      <w:tr w:rsidR="009817E2" w:rsidRPr="00731F96" w:rsidTr="00440B2A">
        <w:tc>
          <w:tcPr>
            <w:tcW w:w="3723"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Data sending &amp; receiving</w:t>
            </w:r>
          </w:p>
        </w:tc>
        <w:tc>
          <w:tcPr>
            <w:tcW w:w="5621"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PMU sends values that are received by the controller</w:t>
            </w:r>
          </w:p>
        </w:tc>
      </w:tr>
      <w:tr w:rsidR="009817E2" w:rsidRPr="00731F96" w:rsidTr="00440B2A">
        <w:tc>
          <w:tcPr>
            <w:tcW w:w="3723"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Out-of-step protection</w:t>
            </w:r>
          </w:p>
        </w:tc>
        <w:tc>
          <w:tcPr>
            <w:tcW w:w="5621" w:type="dxa"/>
          </w:tcPr>
          <w:p w:rsidR="009817E2" w:rsidRPr="00731F96" w:rsidRDefault="009817E2" w:rsidP="00440B2A">
            <w:pPr>
              <w:pStyle w:val="TableParagraph"/>
              <w:tabs>
                <w:tab w:val="left" w:pos="0"/>
              </w:tabs>
              <w:spacing w:line="276" w:lineRule="auto"/>
              <w:ind w:right="230"/>
              <w:rPr>
                <w:sz w:val="20"/>
                <w:szCs w:val="20"/>
                <w:lang w:val="mn-MN"/>
              </w:rPr>
            </w:pPr>
            <w:r w:rsidRPr="00731F96">
              <w:rPr>
                <w:sz w:val="20"/>
                <w:szCs w:val="20"/>
                <w:lang w:val="mn-MN"/>
              </w:rPr>
              <w:t>The controller compares the data from all PMUs to detect if the protected areas are going out-of-step with each other. If it detects conditions that indicate the areas are going OOS, it initiates control actions</w:t>
            </w:r>
          </w:p>
        </w:tc>
      </w:tr>
    </w:tbl>
    <w:p w:rsidR="009817E2" w:rsidRPr="00EF2D2B" w:rsidRDefault="009817E2" w:rsidP="009817E2">
      <w:pPr>
        <w:tabs>
          <w:tab w:val="left" w:pos="0"/>
        </w:tabs>
        <w:spacing w:before="93"/>
        <w:rPr>
          <w:b/>
        </w:rPr>
      </w:pPr>
    </w:p>
    <w:p w:rsidR="009817E2" w:rsidRPr="00731F96" w:rsidRDefault="009817E2" w:rsidP="009817E2">
      <w:pPr>
        <w:tabs>
          <w:tab w:val="left" w:pos="0"/>
        </w:tabs>
        <w:spacing w:before="93"/>
        <w:ind w:left="0" w:firstLine="0"/>
        <w:rPr>
          <w:b/>
        </w:rPr>
      </w:pPr>
      <w:r w:rsidRPr="00731F96">
        <w:rPr>
          <w:b/>
        </w:rPr>
        <w:t>Үндсэн</w:t>
      </w:r>
      <w:r>
        <w:rPr>
          <w:b/>
        </w:rPr>
        <w:t xml:space="preserve"> урсгал:</w:t>
      </w:r>
    </w:p>
    <w:p w:rsidR="009817E2" w:rsidRPr="00453EF5" w:rsidRDefault="009817E2" w:rsidP="009817E2">
      <w:pPr>
        <w:tabs>
          <w:tab w:val="left" w:pos="0"/>
        </w:tabs>
        <w:spacing w:before="93"/>
        <w:ind w:left="0" w:firstLine="0"/>
      </w:pPr>
      <w:r w:rsidRPr="00453EF5">
        <w:t>Өгөгдөл үүсгэх ба илгээх</w:t>
      </w:r>
    </w:p>
    <w:tbl>
      <w:tblPr>
        <w:tblStyle w:val="TableGrid"/>
        <w:tblW w:w="0" w:type="auto"/>
        <w:tblLook w:val="04A0" w:firstRow="1" w:lastRow="0" w:firstColumn="1" w:lastColumn="0" w:noHBand="0" w:noVBand="1"/>
      </w:tblPr>
      <w:tblGrid>
        <w:gridCol w:w="2547"/>
        <w:gridCol w:w="6797"/>
      </w:tblGrid>
      <w:tr w:rsidR="009817E2" w:rsidRPr="00EF2D2B" w:rsidTr="00440B2A">
        <w:tc>
          <w:tcPr>
            <w:tcW w:w="2547" w:type="dxa"/>
          </w:tcPr>
          <w:p w:rsidR="009817E2" w:rsidRPr="00EF2D2B" w:rsidRDefault="009817E2" w:rsidP="00440B2A">
            <w:pPr>
              <w:pStyle w:val="TableParagraph"/>
              <w:tabs>
                <w:tab w:val="left" w:pos="0"/>
              </w:tabs>
              <w:spacing w:line="276" w:lineRule="auto"/>
              <w:ind w:left="309"/>
              <w:rPr>
                <w:b/>
                <w:sz w:val="20"/>
                <w:szCs w:val="20"/>
                <w:lang w:val="mn-MN"/>
              </w:rPr>
            </w:pPr>
            <w:r>
              <w:rPr>
                <w:b/>
                <w:sz w:val="20"/>
                <w:szCs w:val="20"/>
                <w:lang w:val="mn-MN"/>
              </w:rPr>
              <w:t>Алхмууд</w:t>
            </w:r>
          </w:p>
        </w:tc>
        <w:tc>
          <w:tcPr>
            <w:tcW w:w="6797" w:type="dxa"/>
          </w:tcPr>
          <w:p w:rsidR="009817E2" w:rsidRPr="00731F96" w:rsidRDefault="009817E2" w:rsidP="00440B2A">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9817E2" w:rsidRPr="00731F96" w:rsidTr="00440B2A">
        <w:tc>
          <w:tcPr>
            <w:tcW w:w="2547"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Алхам 1</w:t>
            </w:r>
          </w:p>
        </w:tc>
        <w:tc>
          <w:tcPr>
            <w:tcW w:w="6797"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PMU нь V ба I –ээс синхрофазор ба системийн давтамжийг тооцоолдог</w:t>
            </w:r>
          </w:p>
        </w:tc>
      </w:tr>
      <w:tr w:rsidR="009817E2" w:rsidRPr="00731F96" w:rsidTr="00440B2A">
        <w:tc>
          <w:tcPr>
            <w:tcW w:w="2547"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Алхам 2</w:t>
            </w:r>
          </w:p>
        </w:tc>
        <w:tc>
          <w:tcPr>
            <w:tcW w:w="6797" w:type="dxa"/>
          </w:tcPr>
          <w:p w:rsidR="009817E2" w:rsidRPr="00731F96" w:rsidRDefault="009817E2" w:rsidP="00440B2A">
            <w:pPr>
              <w:pStyle w:val="TableParagraph"/>
              <w:tabs>
                <w:tab w:val="left" w:pos="0"/>
              </w:tabs>
              <w:spacing w:line="276" w:lineRule="auto"/>
              <w:rPr>
                <w:sz w:val="20"/>
                <w:szCs w:val="20"/>
                <w:lang w:val="mn-MN"/>
              </w:rPr>
            </w:pPr>
            <w:r w:rsidRPr="00EF2D2B">
              <w:rPr>
                <w:sz w:val="20"/>
                <w:szCs w:val="20"/>
                <w:lang w:val="mn-MN"/>
              </w:rPr>
              <w:t>PMU нь гаралтын өгөгдсөн хурдаар фазор болон давтамжийг сонгоно</w:t>
            </w:r>
          </w:p>
        </w:tc>
      </w:tr>
      <w:tr w:rsidR="009817E2" w:rsidRPr="00731F96" w:rsidTr="00440B2A">
        <w:tc>
          <w:tcPr>
            <w:tcW w:w="2547"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Алхам 3</w:t>
            </w:r>
          </w:p>
        </w:tc>
        <w:tc>
          <w:tcPr>
            <w:tcW w:w="6797"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PMU нь тохирох төлөв, цаг хугацааны тэмдэг бүхий өгөгдлийг багцалдаг</w:t>
            </w:r>
          </w:p>
        </w:tc>
      </w:tr>
    </w:tbl>
    <w:p w:rsidR="009817E2" w:rsidRPr="00731F96" w:rsidRDefault="009817E2" w:rsidP="009817E2">
      <w:pPr>
        <w:tabs>
          <w:tab w:val="left" w:pos="0"/>
        </w:tabs>
        <w:spacing w:before="93"/>
        <w:ind w:left="0" w:firstLine="0"/>
        <w:rPr>
          <w:b/>
        </w:rPr>
      </w:pPr>
      <w:r>
        <w:rPr>
          <w:b/>
        </w:rPr>
        <w:lastRenderedPageBreak/>
        <w:t>Basic flow:</w:t>
      </w:r>
    </w:p>
    <w:p w:rsidR="009817E2" w:rsidRPr="00453EF5" w:rsidRDefault="009817E2" w:rsidP="009817E2">
      <w:pPr>
        <w:tabs>
          <w:tab w:val="left" w:pos="0"/>
        </w:tabs>
        <w:spacing w:before="93"/>
        <w:ind w:left="0" w:firstLine="0"/>
      </w:pPr>
      <w:r w:rsidRPr="00453EF5">
        <w:t>Data origination &amp; sending</w:t>
      </w:r>
    </w:p>
    <w:tbl>
      <w:tblPr>
        <w:tblStyle w:val="TableGrid"/>
        <w:tblW w:w="0" w:type="auto"/>
        <w:tblLook w:val="04A0" w:firstRow="1" w:lastRow="0" w:firstColumn="1" w:lastColumn="0" w:noHBand="0" w:noVBand="1"/>
      </w:tblPr>
      <w:tblGrid>
        <w:gridCol w:w="2547"/>
        <w:gridCol w:w="6797"/>
      </w:tblGrid>
      <w:tr w:rsidR="009817E2" w:rsidRPr="00731F96" w:rsidTr="00440B2A">
        <w:tc>
          <w:tcPr>
            <w:tcW w:w="2547" w:type="dxa"/>
          </w:tcPr>
          <w:p w:rsidR="009817E2" w:rsidRPr="00EF2D2B" w:rsidRDefault="009817E2" w:rsidP="00440B2A">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6797" w:type="dxa"/>
          </w:tcPr>
          <w:p w:rsidR="009817E2" w:rsidRPr="00EF2D2B" w:rsidRDefault="009817E2" w:rsidP="00440B2A">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9817E2" w:rsidRPr="00731F96" w:rsidTr="00440B2A">
        <w:tc>
          <w:tcPr>
            <w:tcW w:w="2547"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Step 1</w:t>
            </w:r>
          </w:p>
        </w:tc>
        <w:tc>
          <w:tcPr>
            <w:tcW w:w="6797"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PMU computes V &amp; I synchrophasors &amp; system frequency</w:t>
            </w:r>
          </w:p>
        </w:tc>
      </w:tr>
      <w:tr w:rsidR="009817E2" w:rsidRPr="00731F96" w:rsidTr="00440B2A">
        <w:tc>
          <w:tcPr>
            <w:tcW w:w="2547"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Step 2</w:t>
            </w:r>
          </w:p>
        </w:tc>
        <w:tc>
          <w:tcPr>
            <w:tcW w:w="6797"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PMU selects phasors and frequency at given output rate</w:t>
            </w:r>
          </w:p>
        </w:tc>
      </w:tr>
      <w:tr w:rsidR="009817E2" w:rsidRPr="00731F96" w:rsidTr="00440B2A">
        <w:tc>
          <w:tcPr>
            <w:tcW w:w="2547"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Step 3</w:t>
            </w:r>
          </w:p>
        </w:tc>
        <w:tc>
          <w:tcPr>
            <w:tcW w:w="6797"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PMU packages data with appropriate status and time stamp</w:t>
            </w:r>
          </w:p>
        </w:tc>
      </w:tr>
    </w:tbl>
    <w:p w:rsidR="009817E2" w:rsidRDefault="009817E2" w:rsidP="009817E2">
      <w:pPr>
        <w:spacing w:after="0" w:line="240" w:lineRule="auto"/>
        <w:ind w:left="0" w:firstLine="0"/>
        <w:rPr>
          <w:b/>
          <w:bCs/>
          <w:color w:val="000000"/>
          <w:shd w:val="clear" w:color="auto" w:fill="FFFFFF"/>
          <w:lang w:val="en-US"/>
        </w:rPr>
      </w:pPr>
    </w:p>
    <w:p w:rsidR="009817E2" w:rsidRPr="00453EF5" w:rsidRDefault="009817E2" w:rsidP="009817E2">
      <w:pPr>
        <w:tabs>
          <w:tab w:val="left" w:pos="0"/>
        </w:tabs>
        <w:spacing w:before="93"/>
        <w:ind w:left="0" w:firstLine="0"/>
      </w:pPr>
      <w:r w:rsidRPr="00453EF5">
        <w:t>Өгөгдөл хүлээн авах ба ажиллагаа</w:t>
      </w:r>
    </w:p>
    <w:tbl>
      <w:tblPr>
        <w:tblStyle w:val="TableGrid"/>
        <w:tblW w:w="0" w:type="auto"/>
        <w:tblLook w:val="04A0" w:firstRow="1" w:lastRow="0" w:firstColumn="1" w:lastColumn="0" w:noHBand="0" w:noVBand="1"/>
      </w:tblPr>
      <w:tblGrid>
        <w:gridCol w:w="1880"/>
        <w:gridCol w:w="7464"/>
      </w:tblGrid>
      <w:tr w:rsidR="009817E2" w:rsidRPr="00EF2D2B" w:rsidTr="00440B2A">
        <w:tc>
          <w:tcPr>
            <w:tcW w:w="1880" w:type="dxa"/>
          </w:tcPr>
          <w:p w:rsidR="009817E2" w:rsidRPr="00EF2D2B" w:rsidRDefault="009817E2" w:rsidP="00440B2A">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9817E2" w:rsidRPr="00731F96" w:rsidRDefault="009817E2" w:rsidP="00440B2A">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9817E2" w:rsidRPr="00731F96" w:rsidTr="00440B2A">
        <w:tc>
          <w:tcPr>
            <w:tcW w:w="1880"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Удирдлага нь синхрофазор өгөгдлийг хүлээн авна</w:t>
            </w:r>
          </w:p>
        </w:tc>
      </w:tr>
      <w:tr w:rsidR="009817E2" w:rsidRPr="00731F96" w:rsidTr="00440B2A">
        <w:tc>
          <w:tcPr>
            <w:tcW w:w="1880"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Удирдлага боловсруулахад тохиромжтой өгөгдлийг сонгоно</w:t>
            </w:r>
          </w:p>
        </w:tc>
      </w:tr>
      <w:tr w:rsidR="009817E2" w:rsidRPr="00731F96" w:rsidTr="00440B2A">
        <w:tc>
          <w:tcPr>
            <w:tcW w:w="1880"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9817E2" w:rsidRPr="00731F96" w:rsidRDefault="009817E2" w:rsidP="00440B2A">
            <w:pPr>
              <w:pStyle w:val="TableParagraph"/>
              <w:tabs>
                <w:tab w:val="left" w:pos="0"/>
              </w:tabs>
              <w:spacing w:line="276" w:lineRule="auto"/>
              <w:ind w:right="777"/>
              <w:rPr>
                <w:sz w:val="20"/>
                <w:szCs w:val="20"/>
                <w:lang w:val="mn-MN"/>
              </w:rPr>
            </w:pPr>
            <w:r w:rsidRPr="00EF2D2B">
              <w:rPr>
                <w:sz w:val="20"/>
                <w:szCs w:val="20"/>
                <w:lang w:val="mn-MN"/>
              </w:rPr>
              <w:t>OOS - ын хэрэглээ нь заагдсан PMU-ийн хэмжилтийг харьцуулж, заагдсан нөхцөлийн дагуу арга хэмжээ авна</w:t>
            </w:r>
          </w:p>
        </w:tc>
      </w:tr>
    </w:tbl>
    <w:p w:rsidR="009817E2" w:rsidRPr="00453EF5" w:rsidRDefault="009817E2" w:rsidP="009817E2">
      <w:pPr>
        <w:tabs>
          <w:tab w:val="left" w:pos="0"/>
        </w:tabs>
        <w:spacing w:before="93"/>
        <w:ind w:left="0" w:firstLine="0"/>
      </w:pPr>
      <w:r w:rsidRPr="00453EF5">
        <w:t>Data receiving &amp; action</w:t>
      </w:r>
    </w:p>
    <w:tbl>
      <w:tblPr>
        <w:tblStyle w:val="TableGrid"/>
        <w:tblW w:w="0" w:type="auto"/>
        <w:tblLook w:val="04A0" w:firstRow="1" w:lastRow="0" w:firstColumn="1" w:lastColumn="0" w:noHBand="0" w:noVBand="1"/>
      </w:tblPr>
      <w:tblGrid>
        <w:gridCol w:w="1880"/>
        <w:gridCol w:w="7464"/>
      </w:tblGrid>
      <w:tr w:rsidR="009817E2" w:rsidRPr="00731F96" w:rsidTr="00440B2A">
        <w:tc>
          <w:tcPr>
            <w:tcW w:w="1880" w:type="dxa"/>
          </w:tcPr>
          <w:p w:rsidR="009817E2" w:rsidRPr="00EF2D2B" w:rsidRDefault="009817E2" w:rsidP="00440B2A">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9817E2" w:rsidRPr="00EF2D2B" w:rsidRDefault="009817E2" w:rsidP="00440B2A">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9817E2" w:rsidRPr="00731F96" w:rsidTr="00440B2A">
        <w:tc>
          <w:tcPr>
            <w:tcW w:w="1880"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Controller receives synchrophasor data</w:t>
            </w:r>
          </w:p>
        </w:tc>
      </w:tr>
      <w:tr w:rsidR="009817E2" w:rsidRPr="00731F96" w:rsidTr="00440B2A">
        <w:tc>
          <w:tcPr>
            <w:tcW w:w="1880"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9817E2" w:rsidRPr="00731F96" w:rsidRDefault="009817E2" w:rsidP="00440B2A">
            <w:pPr>
              <w:pStyle w:val="TableParagraph"/>
              <w:tabs>
                <w:tab w:val="left" w:pos="0"/>
              </w:tabs>
              <w:spacing w:line="276" w:lineRule="auto"/>
              <w:rPr>
                <w:sz w:val="20"/>
                <w:szCs w:val="20"/>
                <w:lang w:val="mn-MN"/>
              </w:rPr>
            </w:pPr>
            <w:r w:rsidRPr="00731F96">
              <w:rPr>
                <w:sz w:val="20"/>
                <w:szCs w:val="20"/>
                <w:lang w:val="mn-MN"/>
              </w:rPr>
              <w:t>Controller selects appropriate data for processing</w:t>
            </w:r>
          </w:p>
        </w:tc>
      </w:tr>
      <w:tr w:rsidR="009817E2" w:rsidRPr="00731F96" w:rsidTr="00440B2A">
        <w:tc>
          <w:tcPr>
            <w:tcW w:w="1880" w:type="dxa"/>
          </w:tcPr>
          <w:p w:rsidR="009817E2" w:rsidRPr="00EF2D2B" w:rsidRDefault="009817E2" w:rsidP="00440B2A">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9817E2" w:rsidRPr="00731F96" w:rsidRDefault="009817E2" w:rsidP="00440B2A">
            <w:pPr>
              <w:pStyle w:val="TableParagraph"/>
              <w:tabs>
                <w:tab w:val="left" w:pos="0"/>
              </w:tabs>
              <w:spacing w:line="276" w:lineRule="auto"/>
              <w:ind w:right="777"/>
              <w:rPr>
                <w:sz w:val="20"/>
                <w:szCs w:val="20"/>
                <w:lang w:val="mn-MN"/>
              </w:rPr>
            </w:pPr>
            <w:r w:rsidRPr="00731F96">
              <w:rPr>
                <w:sz w:val="20"/>
                <w:szCs w:val="20"/>
                <w:lang w:val="mn-MN"/>
              </w:rPr>
              <w:t>OOS Application compares measurements from indicated PMUs and takes action according to indicated conditions</w:t>
            </w:r>
          </w:p>
        </w:tc>
      </w:tr>
    </w:tbl>
    <w:p w:rsidR="007263E4" w:rsidRDefault="007263E4" w:rsidP="00453EF5">
      <w:pPr>
        <w:ind w:left="0" w:firstLine="0"/>
        <w:rPr>
          <w:b/>
          <w:lang w:val="en-US"/>
        </w:rPr>
      </w:pPr>
    </w:p>
    <w:p w:rsidR="00453EF5" w:rsidRPr="00EF2D2B" w:rsidRDefault="00453EF5" w:rsidP="00453EF5">
      <w:pPr>
        <w:tabs>
          <w:tab w:val="left" w:pos="0"/>
        </w:tabs>
        <w:spacing w:before="93"/>
        <w:ind w:left="0" w:firstLine="0"/>
      </w:pPr>
      <w:r w:rsidRPr="00EF2D2B">
        <w:t>Аппликейшин нь өгөгдөл, дохиоллын операторуудыг боловсруулах</w:t>
      </w:r>
    </w:p>
    <w:tbl>
      <w:tblPr>
        <w:tblStyle w:val="TableGrid"/>
        <w:tblW w:w="0" w:type="auto"/>
        <w:tblLook w:val="04A0" w:firstRow="1" w:lastRow="0" w:firstColumn="1" w:lastColumn="0" w:noHBand="0" w:noVBand="1"/>
      </w:tblPr>
      <w:tblGrid>
        <w:gridCol w:w="1880"/>
        <w:gridCol w:w="7464"/>
      </w:tblGrid>
      <w:tr w:rsidR="00453EF5" w:rsidRPr="00EF2D2B" w:rsidTr="00440B2A">
        <w:tc>
          <w:tcPr>
            <w:tcW w:w="1880" w:type="dxa"/>
          </w:tcPr>
          <w:p w:rsidR="00453EF5" w:rsidRPr="00EF2D2B" w:rsidRDefault="00453EF5" w:rsidP="00440B2A">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453EF5" w:rsidRPr="00731F96" w:rsidRDefault="00453EF5" w:rsidP="00440B2A">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Алхам 1a</w:t>
            </w:r>
          </w:p>
        </w:tc>
        <w:tc>
          <w:tcPr>
            <w:tcW w:w="7464" w:type="dxa"/>
          </w:tcPr>
          <w:p w:rsidR="00453EF5" w:rsidRPr="00731F96" w:rsidRDefault="00453EF5" w:rsidP="00453EF5">
            <w:pPr>
              <w:pStyle w:val="TableParagraph"/>
              <w:tabs>
                <w:tab w:val="left" w:pos="0"/>
              </w:tabs>
              <w:spacing w:line="276" w:lineRule="auto"/>
              <w:ind w:right="315"/>
              <w:jc w:val="both"/>
              <w:rPr>
                <w:sz w:val="20"/>
                <w:szCs w:val="20"/>
                <w:lang w:val="mn-MN"/>
              </w:rPr>
            </w:pPr>
            <w:r w:rsidRPr="00731F96">
              <w:rPr>
                <w:sz w:val="20"/>
                <w:szCs w:val="20"/>
                <w:lang w:val="mn-MN"/>
              </w:rPr>
              <w:t>Аппликейшин 1 нь системийн гажилтын талаарх өгөгдлийг хайж, байршлын талаар дохиог операторуудад илгээдэг</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Алхам 1b</w:t>
            </w:r>
          </w:p>
        </w:tc>
        <w:tc>
          <w:tcPr>
            <w:tcW w:w="7464" w:type="dxa"/>
          </w:tcPr>
          <w:p w:rsidR="00453EF5" w:rsidRPr="00EF2D2B" w:rsidRDefault="00453EF5" w:rsidP="00453EF5">
            <w:pPr>
              <w:pStyle w:val="TableParagraph"/>
              <w:tabs>
                <w:tab w:val="left" w:pos="0"/>
              </w:tabs>
              <w:spacing w:line="276" w:lineRule="auto"/>
              <w:ind w:right="315"/>
              <w:rPr>
                <w:sz w:val="20"/>
                <w:szCs w:val="20"/>
                <w:lang w:val="mn-MN"/>
              </w:rPr>
            </w:pPr>
            <w:r w:rsidRPr="00731F96">
              <w:rPr>
                <w:sz w:val="20"/>
                <w:szCs w:val="20"/>
                <w:lang w:val="mn-MN"/>
              </w:rPr>
              <w:t>Аппликейшин</w:t>
            </w:r>
            <w:r w:rsidRPr="00731F96">
              <w:rPr>
                <w:spacing w:val="6"/>
                <w:sz w:val="20"/>
                <w:szCs w:val="20"/>
                <w:lang w:val="mn-MN"/>
              </w:rPr>
              <w:t xml:space="preserve"> 2 нь системийн фазын өнцгийг тооцоолж, зөвшөөрөгдөх алдааг тооцоолж, үл хамаарах зүйл байвал операторуудад дохио илгээдэг</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Алхам 1c</w:t>
            </w:r>
          </w:p>
        </w:tc>
        <w:tc>
          <w:tcPr>
            <w:tcW w:w="7464" w:type="dxa"/>
          </w:tcPr>
          <w:p w:rsidR="00453EF5" w:rsidRPr="00731F96" w:rsidRDefault="00453EF5" w:rsidP="00453EF5">
            <w:pPr>
              <w:pStyle w:val="TableParagraph"/>
              <w:tabs>
                <w:tab w:val="left" w:pos="0"/>
              </w:tabs>
              <w:spacing w:line="276" w:lineRule="auto"/>
              <w:ind w:right="315"/>
              <w:rPr>
                <w:sz w:val="20"/>
                <w:szCs w:val="20"/>
                <w:lang w:val="mn-MN"/>
              </w:rPr>
            </w:pPr>
            <w:r w:rsidRPr="00731F96">
              <w:rPr>
                <w:sz w:val="20"/>
                <w:szCs w:val="20"/>
                <w:lang w:val="mn-MN"/>
              </w:rPr>
              <w:t>Аппликейшин 3 нь гол цэгүүд (урсгалын гарцууд) дахь урсгал (MW &amp; MVAR) -ыг тооцоолж, зөрчлийг операторуудад мэдээлдэг</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Алхам 1d</w:t>
            </w:r>
          </w:p>
        </w:tc>
        <w:tc>
          <w:tcPr>
            <w:tcW w:w="7464" w:type="dxa"/>
          </w:tcPr>
          <w:p w:rsidR="00453EF5" w:rsidRPr="00731F96" w:rsidRDefault="00453EF5" w:rsidP="00453EF5">
            <w:pPr>
              <w:pStyle w:val="TableParagraph"/>
              <w:tabs>
                <w:tab w:val="left" w:pos="0"/>
              </w:tabs>
              <w:spacing w:line="276" w:lineRule="auto"/>
              <w:ind w:right="315"/>
              <w:rPr>
                <w:sz w:val="20"/>
                <w:szCs w:val="20"/>
                <w:lang w:val="mn-MN"/>
              </w:rPr>
            </w:pPr>
            <w:r w:rsidRPr="00731F96">
              <w:rPr>
                <w:sz w:val="20"/>
                <w:szCs w:val="20"/>
                <w:lang w:val="mn-MN"/>
              </w:rPr>
              <w:t>Аппликейшин 4 нь системийн хүчдэлийг тооцоолох банөхцөл байдал хүндэрсэн эсвэл зөрчлийг хязгаарлах талаар операторуудад дохио илгээдэг</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453EF5" w:rsidRPr="00731F96" w:rsidRDefault="00453EF5" w:rsidP="00453EF5">
            <w:pPr>
              <w:pStyle w:val="TableParagraph"/>
              <w:tabs>
                <w:tab w:val="left" w:pos="0"/>
              </w:tabs>
              <w:spacing w:line="276" w:lineRule="auto"/>
              <w:ind w:right="759"/>
              <w:rPr>
                <w:sz w:val="20"/>
                <w:szCs w:val="20"/>
                <w:lang w:val="mn-MN"/>
              </w:rPr>
            </w:pPr>
            <w:r w:rsidRPr="00731F96">
              <w:rPr>
                <w:sz w:val="20"/>
                <w:szCs w:val="20"/>
                <w:lang w:val="mn-MN"/>
              </w:rPr>
              <w:t>Боловсруулсан өгөгдлийн үр дүн, зөрчлийн дохиоллын дэлгэрэнгүй мэдээллийг операторуудад нэмэлтээр үзүүлэх боломжтой</w:t>
            </w:r>
          </w:p>
        </w:tc>
      </w:tr>
    </w:tbl>
    <w:p w:rsidR="00453EF5" w:rsidRPr="00EF2D2B" w:rsidRDefault="00453EF5" w:rsidP="00453EF5">
      <w:pPr>
        <w:tabs>
          <w:tab w:val="left" w:pos="0"/>
        </w:tabs>
        <w:spacing w:after="0"/>
        <w:ind w:left="0" w:firstLine="0"/>
      </w:pPr>
      <w:r w:rsidRPr="00EF2D2B">
        <w:t>Applications process data and alert operators</w:t>
      </w:r>
    </w:p>
    <w:tbl>
      <w:tblPr>
        <w:tblStyle w:val="TableGrid"/>
        <w:tblW w:w="0" w:type="auto"/>
        <w:tblLook w:val="04A0" w:firstRow="1" w:lastRow="0" w:firstColumn="1" w:lastColumn="0" w:noHBand="0" w:noVBand="1"/>
      </w:tblPr>
      <w:tblGrid>
        <w:gridCol w:w="1880"/>
        <w:gridCol w:w="7464"/>
      </w:tblGrid>
      <w:tr w:rsidR="00453EF5" w:rsidRPr="00731F96" w:rsidTr="00440B2A">
        <w:tc>
          <w:tcPr>
            <w:tcW w:w="1880" w:type="dxa"/>
          </w:tcPr>
          <w:p w:rsidR="00453EF5" w:rsidRPr="00EF2D2B" w:rsidRDefault="00453EF5" w:rsidP="00440B2A">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453EF5" w:rsidRPr="00EF2D2B" w:rsidRDefault="00453EF5" w:rsidP="00440B2A">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Step 1a</w:t>
            </w:r>
          </w:p>
        </w:tc>
        <w:tc>
          <w:tcPr>
            <w:tcW w:w="7464" w:type="dxa"/>
          </w:tcPr>
          <w:p w:rsidR="00453EF5" w:rsidRPr="00731F96" w:rsidRDefault="00453EF5" w:rsidP="00453EF5">
            <w:pPr>
              <w:pStyle w:val="TableParagraph"/>
              <w:tabs>
                <w:tab w:val="left" w:pos="0"/>
              </w:tabs>
              <w:spacing w:line="276" w:lineRule="auto"/>
              <w:ind w:right="315"/>
              <w:rPr>
                <w:sz w:val="20"/>
                <w:szCs w:val="20"/>
                <w:lang w:val="mn-MN"/>
              </w:rPr>
            </w:pPr>
            <w:r w:rsidRPr="00731F96">
              <w:rPr>
                <w:sz w:val="20"/>
                <w:szCs w:val="20"/>
                <w:lang w:val="mn-MN"/>
              </w:rPr>
              <w:t>Application 1 searches data for system oscillations, sends an alarm to operators when one is located</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Step 1b</w:t>
            </w:r>
          </w:p>
        </w:tc>
        <w:tc>
          <w:tcPr>
            <w:tcW w:w="7464" w:type="dxa"/>
          </w:tcPr>
          <w:p w:rsidR="00453EF5" w:rsidRPr="00EF2D2B" w:rsidRDefault="00453EF5" w:rsidP="00453EF5">
            <w:pPr>
              <w:pStyle w:val="TableParagraph"/>
              <w:tabs>
                <w:tab w:val="left" w:pos="0"/>
              </w:tabs>
              <w:spacing w:line="276" w:lineRule="auto"/>
              <w:ind w:right="315"/>
              <w:rPr>
                <w:sz w:val="20"/>
                <w:szCs w:val="20"/>
                <w:lang w:val="mn-MN"/>
              </w:rPr>
            </w:pPr>
            <w:r w:rsidRPr="00731F96">
              <w:rPr>
                <w:spacing w:val="6"/>
                <w:sz w:val="20"/>
                <w:szCs w:val="20"/>
                <w:lang w:val="mn-MN"/>
              </w:rPr>
              <w:t xml:space="preserve">Application </w:t>
            </w:r>
            <w:r w:rsidRPr="00731F96">
              <w:rPr>
                <w:sz w:val="20"/>
                <w:szCs w:val="20"/>
                <w:lang w:val="mn-MN"/>
              </w:rPr>
              <w:t xml:space="preserve">2 </w:t>
            </w:r>
            <w:r w:rsidRPr="00731F96">
              <w:rPr>
                <w:spacing w:val="6"/>
                <w:sz w:val="20"/>
                <w:szCs w:val="20"/>
                <w:lang w:val="mn-MN"/>
              </w:rPr>
              <w:t xml:space="preserve">computes </w:t>
            </w:r>
            <w:r w:rsidRPr="00731F96">
              <w:rPr>
                <w:spacing w:val="5"/>
                <w:sz w:val="20"/>
                <w:szCs w:val="20"/>
                <w:lang w:val="mn-MN"/>
              </w:rPr>
              <w:t xml:space="preserve">system phase </w:t>
            </w:r>
            <w:r w:rsidRPr="00731F96">
              <w:rPr>
                <w:spacing w:val="6"/>
                <w:sz w:val="20"/>
                <w:szCs w:val="20"/>
                <w:lang w:val="mn-MN"/>
              </w:rPr>
              <w:t xml:space="preserve">angles, computes limit violations, </w:t>
            </w:r>
            <w:r w:rsidRPr="00731F96">
              <w:rPr>
                <w:spacing w:val="4"/>
                <w:sz w:val="20"/>
                <w:szCs w:val="20"/>
                <w:lang w:val="mn-MN"/>
              </w:rPr>
              <w:t xml:space="preserve">and </w:t>
            </w:r>
            <w:r w:rsidRPr="00EF2D2B">
              <w:rPr>
                <w:spacing w:val="5"/>
                <w:sz w:val="20"/>
                <w:szCs w:val="20"/>
                <w:lang w:val="mn-MN"/>
              </w:rPr>
              <w:t xml:space="preserve">sends alarm  </w:t>
            </w:r>
            <w:r w:rsidRPr="00EF2D2B">
              <w:rPr>
                <w:spacing w:val="4"/>
                <w:sz w:val="20"/>
                <w:szCs w:val="20"/>
                <w:lang w:val="mn-MN"/>
              </w:rPr>
              <w:t xml:space="preserve">to </w:t>
            </w:r>
            <w:r w:rsidRPr="00EF2D2B">
              <w:rPr>
                <w:spacing w:val="6"/>
                <w:sz w:val="20"/>
                <w:szCs w:val="20"/>
                <w:lang w:val="mn-MN"/>
              </w:rPr>
              <w:t xml:space="preserve">operators </w:t>
            </w:r>
            <w:r w:rsidRPr="00EF2D2B">
              <w:rPr>
                <w:spacing w:val="3"/>
                <w:sz w:val="20"/>
                <w:szCs w:val="20"/>
                <w:lang w:val="mn-MN"/>
              </w:rPr>
              <w:t xml:space="preserve">if </w:t>
            </w:r>
            <w:r w:rsidRPr="00EF2D2B">
              <w:rPr>
                <w:spacing w:val="5"/>
                <w:sz w:val="20"/>
                <w:szCs w:val="20"/>
                <w:lang w:val="mn-MN"/>
              </w:rPr>
              <w:t xml:space="preserve">there </w:t>
            </w:r>
            <w:r w:rsidRPr="00EF2D2B">
              <w:rPr>
                <w:spacing w:val="4"/>
                <w:sz w:val="20"/>
                <w:szCs w:val="20"/>
                <w:lang w:val="mn-MN"/>
              </w:rPr>
              <w:t>are</w:t>
            </w:r>
            <w:r w:rsidRPr="00EF2D2B">
              <w:rPr>
                <w:spacing w:val="12"/>
                <w:sz w:val="20"/>
                <w:szCs w:val="20"/>
                <w:lang w:val="mn-MN"/>
              </w:rPr>
              <w:t xml:space="preserve"> </w:t>
            </w:r>
            <w:r w:rsidRPr="00EF2D2B">
              <w:rPr>
                <w:spacing w:val="6"/>
                <w:sz w:val="20"/>
                <w:szCs w:val="20"/>
                <w:lang w:val="mn-MN"/>
              </w:rPr>
              <w:t>exceptions</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Step 1c</w:t>
            </w:r>
          </w:p>
        </w:tc>
        <w:tc>
          <w:tcPr>
            <w:tcW w:w="7464" w:type="dxa"/>
          </w:tcPr>
          <w:p w:rsidR="00453EF5" w:rsidRPr="00731F96" w:rsidRDefault="00453EF5" w:rsidP="00453EF5">
            <w:pPr>
              <w:pStyle w:val="TableParagraph"/>
              <w:tabs>
                <w:tab w:val="left" w:pos="0"/>
              </w:tabs>
              <w:spacing w:line="276" w:lineRule="auto"/>
              <w:ind w:right="315"/>
              <w:rPr>
                <w:sz w:val="20"/>
                <w:szCs w:val="20"/>
                <w:lang w:val="mn-MN"/>
              </w:rPr>
            </w:pPr>
            <w:r w:rsidRPr="00731F96">
              <w:rPr>
                <w:sz w:val="20"/>
                <w:szCs w:val="20"/>
                <w:lang w:val="mn-MN"/>
              </w:rPr>
              <w:t>Application 3 computes flows (MW &amp; MVAR) at strategic points (flow gates) and reports violations to operators</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t>Step 1d</w:t>
            </w:r>
          </w:p>
        </w:tc>
        <w:tc>
          <w:tcPr>
            <w:tcW w:w="7464" w:type="dxa"/>
          </w:tcPr>
          <w:p w:rsidR="00453EF5" w:rsidRPr="00731F96" w:rsidRDefault="00453EF5" w:rsidP="00453EF5">
            <w:pPr>
              <w:pStyle w:val="TableParagraph"/>
              <w:tabs>
                <w:tab w:val="left" w:pos="0"/>
              </w:tabs>
              <w:spacing w:line="276" w:lineRule="auto"/>
              <w:ind w:right="315"/>
              <w:rPr>
                <w:sz w:val="20"/>
                <w:szCs w:val="20"/>
                <w:lang w:val="mn-MN"/>
              </w:rPr>
            </w:pPr>
            <w:r w:rsidRPr="00731F96">
              <w:rPr>
                <w:sz w:val="20"/>
                <w:szCs w:val="20"/>
                <w:lang w:val="mn-MN"/>
              </w:rPr>
              <w:t>Application 4 computes system voltages and sends alarms to operators for deteriorating conditions or limit violations</w:t>
            </w:r>
          </w:p>
        </w:tc>
      </w:tr>
      <w:tr w:rsidR="00453EF5" w:rsidRPr="00731F96" w:rsidTr="00440B2A">
        <w:tc>
          <w:tcPr>
            <w:tcW w:w="1880" w:type="dxa"/>
          </w:tcPr>
          <w:p w:rsidR="00453EF5" w:rsidRPr="00EF2D2B" w:rsidRDefault="00453EF5" w:rsidP="00453EF5">
            <w:pPr>
              <w:pStyle w:val="TableParagraph"/>
              <w:tabs>
                <w:tab w:val="left" w:pos="0"/>
              </w:tabs>
              <w:spacing w:line="276" w:lineRule="auto"/>
              <w:rPr>
                <w:sz w:val="20"/>
                <w:szCs w:val="20"/>
                <w:lang w:val="mn-MN"/>
              </w:rPr>
            </w:pPr>
            <w:r w:rsidRPr="00EF2D2B">
              <w:rPr>
                <w:sz w:val="20"/>
                <w:szCs w:val="20"/>
                <w:lang w:val="mn-MN"/>
              </w:rPr>
              <w:lastRenderedPageBreak/>
              <w:t>Step 2</w:t>
            </w:r>
          </w:p>
        </w:tc>
        <w:tc>
          <w:tcPr>
            <w:tcW w:w="7464" w:type="dxa"/>
          </w:tcPr>
          <w:p w:rsidR="00453EF5" w:rsidRPr="00731F96" w:rsidRDefault="00453EF5" w:rsidP="00453EF5">
            <w:pPr>
              <w:pStyle w:val="TableParagraph"/>
              <w:tabs>
                <w:tab w:val="left" w:pos="0"/>
              </w:tabs>
              <w:spacing w:line="276" w:lineRule="auto"/>
              <w:ind w:right="759"/>
              <w:rPr>
                <w:sz w:val="20"/>
                <w:szCs w:val="20"/>
                <w:lang w:val="mn-MN"/>
              </w:rPr>
            </w:pPr>
            <w:r w:rsidRPr="00731F96">
              <w:rPr>
                <w:sz w:val="20"/>
                <w:szCs w:val="20"/>
                <w:lang w:val="mn-MN"/>
              </w:rPr>
              <w:t>Additional displays of processed data results and alarm violation details are made available to operators</w:t>
            </w:r>
          </w:p>
        </w:tc>
      </w:tr>
    </w:tbl>
    <w:p w:rsidR="00453EF5" w:rsidRDefault="00453EF5" w:rsidP="00453EF5">
      <w:pPr>
        <w:ind w:left="0" w:firstLine="0"/>
        <w:rPr>
          <w:b/>
          <w:lang w:val="en-US"/>
        </w:rPr>
      </w:pPr>
    </w:p>
    <w:tbl>
      <w:tblPr>
        <w:tblStyle w:val="TableGrid"/>
        <w:tblW w:w="0" w:type="auto"/>
        <w:tblLook w:val="04A0" w:firstRow="1" w:lastRow="0" w:firstColumn="1" w:lastColumn="0" w:noHBand="0" w:noVBand="1"/>
      </w:tblPr>
      <w:tblGrid>
        <w:gridCol w:w="4672"/>
        <w:gridCol w:w="4672"/>
      </w:tblGrid>
      <w:tr w:rsidR="00453EF5" w:rsidRPr="007263E4" w:rsidTr="00440B2A">
        <w:tc>
          <w:tcPr>
            <w:tcW w:w="4672" w:type="dxa"/>
          </w:tcPr>
          <w:p w:rsidR="00453EF5" w:rsidRPr="00453EF5" w:rsidRDefault="00453EF5" w:rsidP="00453EF5">
            <w:pPr>
              <w:tabs>
                <w:tab w:val="left" w:pos="0"/>
              </w:tabs>
              <w:ind w:left="0" w:firstLine="0"/>
              <w:rPr>
                <w:rFonts w:eastAsia="Calibri"/>
                <w:b/>
                <w:bCs/>
                <w:szCs w:val="22"/>
              </w:rPr>
            </w:pPr>
            <w:r w:rsidRPr="00453EF5">
              <w:rPr>
                <w:rFonts w:eastAsia="Calibri"/>
                <w:b/>
                <w:bCs/>
                <w:szCs w:val="22"/>
              </w:rPr>
              <w:t>Хязгаарын шаардлага:</w:t>
            </w:r>
          </w:p>
          <w:p w:rsidR="00453EF5" w:rsidRPr="00453EF5" w:rsidRDefault="00453EF5" w:rsidP="00453EF5">
            <w:pPr>
              <w:tabs>
                <w:tab w:val="left" w:pos="0"/>
              </w:tabs>
              <w:ind w:left="0" w:firstLine="0"/>
              <w:rPr>
                <w:rFonts w:eastAsia="Calibri"/>
                <w:bCs/>
                <w:szCs w:val="22"/>
              </w:rPr>
            </w:pPr>
            <w:r w:rsidRPr="00453EF5">
              <w:rPr>
                <w:rFonts w:eastAsia="Calibri"/>
                <w:bCs/>
                <w:szCs w:val="22"/>
              </w:rPr>
              <w:t>Синхрофазорын хэмжилтийг янз бүрийн хурдаар дамжуулж болно. Хэмжилт нь IEEE C37.118.1 болон бусад стандартад нийцсэн байна. Дараах хүснэгтэд зөвшөөрөгдөх хэмжилтийн хурд, өгөгдөл дамжуулах саатлын хугацаа, жагсаалтад орсон аппликейшнуудын хэмжилтийн хугацааны хамгийн их алдаануудыг нэгтгэн харуулав.</w:t>
            </w:r>
          </w:p>
        </w:tc>
        <w:tc>
          <w:tcPr>
            <w:tcW w:w="4672" w:type="dxa"/>
          </w:tcPr>
          <w:p w:rsidR="00453EF5" w:rsidRPr="00453EF5" w:rsidRDefault="00453EF5" w:rsidP="00453EF5">
            <w:pPr>
              <w:tabs>
                <w:tab w:val="left" w:pos="0"/>
              </w:tabs>
              <w:ind w:left="0" w:firstLine="0"/>
              <w:rPr>
                <w:rFonts w:eastAsia="Calibri"/>
                <w:b/>
                <w:bCs/>
                <w:szCs w:val="22"/>
              </w:rPr>
            </w:pPr>
            <w:r w:rsidRPr="00453EF5">
              <w:rPr>
                <w:rFonts w:eastAsia="Calibri"/>
                <w:b/>
                <w:bCs/>
                <w:szCs w:val="22"/>
              </w:rPr>
              <w:t>Constraints:</w:t>
            </w:r>
          </w:p>
          <w:p w:rsidR="00453EF5" w:rsidRPr="00453EF5" w:rsidRDefault="00453EF5" w:rsidP="00453EF5">
            <w:pPr>
              <w:tabs>
                <w:tab w:val="left" w:pos="0"/>
              </w:tabs>
              <w:ind w:left="0" w:firstLine="0"/>
              <w:rPr>
                <w:rFonts w:eastAsia="Calibri"/>
                <w:bCs/>
                <w:szCs w:val="22"/>
              </w:rPr>
            </w:pPr>
            <w:r w:rsidRPr="00453EF5">
              <w:rPr>
                <w:rFonts w:eastAsia="Calibri"/>
                <w:bCs/>
                <w:szCs w:val="22"/>
              </w:rPr>
              <w:t>Synchrophasor measurements can be communicated under  a variety of rates.  The measurement may conform to other standards such as IEEE C37.118.1. The following table summarizes the range of required measurement transmission rates, time delays for data delivery, and maximum measurement time errors for the listed applications.</w:t>
            </w:r>
          </w:p>
        </w:tc>
      </w:tr>
    </w:tbl>
    <w:p w:rsidR="00453EF5" w:rsidRDefault="00453EF5" w:rsidP="00453EF5">
      <w:pPr>
        <w:ind w:left="0" w:firstLine="0"/>
        <w:rPr>
          <w:b/>
          <w:lang w:val="en-US"/>
        </w:rPr>
      </w:pPr>
    </w:p>
    <w:p w:rsidR="00440B2A" w:rsidRDefault="00440B2A" w:rsidP="00453EF5">
      <w:pPr>
        <w:ind w:left="0" w:firstLine="0"/>
        <w:rPr>
          <w:b/>
          <w:lang w:val="en-US"/>
        </w:rPr>
      </w:pPr>
    </w:p>
    <w:tbl>
      <w:tblPr>
        <w:tblStyle w:val="TableGrid"/>
        <w:tblW w:w="0" w:type="auto"/>
        <w:tblLook w:val="04A0" w:firstRow="1" w:lastRow="0" w:firstColumn="1" w:lastColumn="0" w:noHBand="0" w:noVBand="1"/>
      </w:tblPr>
      <w:tblGrid>
        <w:gridCol w:w="2336"/>
        <w:gridCol w:w="2336"/>
        <w:gridCol w:w="2336"/>
        <w:gridCol w:w="2336"/>
      </w:tblGrid>
      <w:tr w:rsidR="00440B2A" w:rsidTr="00440B2A">
        <w:tc>
          <w:tcPr>
            <w:tcW w:w="2336" w:type="dxa"/>
          </w:tcPr>
          <w:p w:rsidR="00440B2A" w:rsidRPr="00731F96" w:rsidRDefault="00440B2A" w:rsidP="00440B2A">
            <w:pPr>
              <w:pStyle w:val="TableParagraph"/>
              <w:tabs>
                <w:tab w:val="left" w:pos="0"/>
              </w:tabs>
              <w:spacing w:before="53" w:line="276" w:lineRule="auto"/>
              <w:ind w:left="215" w:right="216"/>
              <w:jc w:val="center"/>
              <w:rPr>
                <w:b/>
                <w:sz w:val="20"/>
                <w:szCs w:val="20"/>
                <w:lang w:val="mn-MN"/>
              </w:rPr>
            </w:pPr>
            <w:r w:rsidRPr="00731F96">
              <w:rPr>
                <w:b/>
                <w:sz w:val="20"/>
                <w:szCs w:val="20"/>
                <w:lang w:val="mn-MN"/>
              </w:rPr>
              <w:t>Аппликейшний төрөл</w:t>
            </w:r>
          </w:p>
        </w:tc>
        <w:tc>
          <w:tcPr>
            <w:tcW w:w="2336" w:type="dxa"/>
          </w:tcPr>
          <w:p w:rsidR="00440B2A" w:rsidRPr="00731F96" w:rsidRDefault="00440B2A" w:rsidP="00440B2A">
            <w:pPr>
              <w:pStyle w:val="TableParagraph"/>
              <w:tabs>
                <w:tab w:val="left" w:pos="0"/>
              </w:tabs>
              <w:spacing w:before="53" w:line="276" w:lineRule="auto"/>
              <w:jc w:val="center"/>
              <w:rPr>
                <w:b/>
                <w:sz w:val="20"/>
                <w:szCs w:val="20"/>
                <w:lang w:val="mn-MN"/>
              </w:rPr>
            </w:pPr>
            <w:r w:rsidRPr="00731F96">
              <w:rPr>
                <w:b/>
                <w:sz w:val="20"/>
                <w:szCs w:val="20"/>
                <w:lang w:val="mn-MN"/>
              </w:rPr>
              <w:t>Хамгийн бага хурд</w:t>
            </w:r>
          </w:p>
        </w:tc>
        <w:tc>
          <w:tcPr>
            <w:tcW w:w="2336" w:type="dxa"/>
          </w:tcPr>
          <w:p w:rsidR="00440B2A" w:rsidRPr="00EF2D2B" w:rsidRDefault="00440B2A" w:rsidP="00440B2A">
            <w:pPr>
              <w:pStyle w:val="TableParagraph"/>
              <w:tabs>
                <w:tab w:val="left" w:pos="0"/>
              </w:tabs>
              <w:spacing w:before="53" w:line="276" w:lineRule="auto"/>
              <w:ind w:left="112"/>
              <w:jc w:val="center"/>
              <w:rPr>
                <w:b/>
                <w:sz w:val="20"/>
                <w:szCs w:val="20"/>
                <w:lang w:val="mn-MN"/>
              </w:rPr>
            </w:pPr>
            <w:r w:rsidRPr="00EF2D2B">
              <w:rPr>
                <w:b/>
                <w:sz w:val="20"/>
                <w:szCs w:val="20"/>
                <w:lang w:val="mn-MN"/>
              </w:rPr>
              <w:t>Дамжуулах хугацааны анги</w:t>
            </w:r>
          </w:p>
        </w:tc>
        <w:tc>
          <w:tcPr>
            <w:tcW w:w="2336" w:type="dxa"/>
          </w:tcPr>
          <w:p w:rsidR="00440B2A" w:rsidRPr="00EF2D2B" w:rsidRDefault="00440B2A" w:rsidP="00440B2A">
            <w:pPr>
              <w:pStyle w:val="TableParagraph"/>
              <w:tabs>
                <w:tab w:val="left" w:pos="0"/>
              </w:tabs>
              <w:spacing w:before="53" w:line="276" w:lineRule="auto"/>
              <w:ind w:left="50"/>
              <w:jc w:val="center"/>
              <w:rPr>
                <w:b/>
                <w:sz w:val="20"/>
                <w:szCs w:val="20"/>
                <w:lang w:val="mn-MN"/>
              </w:rPr>
            </w:pPr>
            <w:r w:rsidRPr="00EF2D2B">
              <w:rPr>
                <w:b/>
                <w:sz w:val="20"/>
                <w:szCs w:val="20"/>
                <w:lang w:val="mn-MN"/>
              </w:rPr>
              <w:t>Хугацааны синхрончлолын нарийвчлалын анги</w:t>
            </w:r>
          </w:p>
        </w:tc>
      </w:tr>
      <w:tr w:rsidR="00440B2A" w:rsidTr="00440B2A">
        <w:tc>
          <w:tcPr>
            <w:tcW w:w="2336" w:type="dxa"/>
          </w:tcPr>
          <w:p w:rsidR="00440B2A" w:rsidRPr="00EF2D2B" w:rsidRDefault="00440B2A" w:rsidP="00440B2A">
            <w:pPr>
              <w:pStyle w:val="TableParagraph"/>
              <w:tabs>
                <w:tab w:val="left" w:pos="0"/>
              </w:tabs>
              <w:spacing w:line="276" w:lineRule="auto"/>
              <w:ind w:left="215" w:right="227"/>
              <w:jc w:val="center"/>
              <w:rPr>
                <w:sz w:val="20"/>
                <w:szCs w:val="20"/>
                <w:lang w:val="mn-MN"/>
              </w:rPr>
            </w:pPr>
            <w:r w:rsidRPr="00EF2D2B">
              <w:rPr>
                <w:sz w:val="20"/>
                <w:szCs w:val="20"/>
                <w:lang w:val="mn-MN"/>
              </w:rPr>
              <w:t>Гадны гажилтыг илрүүлэх</w:t>
            </w:r>
          </w:p>
        </w:tc>
        <w:tc>
          <w:tcPr>
            <w:tcW w:w="2336" w:type="dxa"/>
          </w:tcPr>
          <w:p w:rsidR="00440B2A" w:rsidRPr="00731F96" w:rsidRDefault="00440B2A" w:rsidP="00440B2A">
            <w:pPr>
              <w:pStyle w:val="TableParagraph"/>
              <w:tabs>
                <w:tab w:val="left" w:pos="0"/>
              </w:tabs>
              <w:spacing w:line="276" w:lineRule="auto"/>
              <w:ind w:left="107"/>
              <w:rPr>
                <w:sz w:val="20"/>
                <w:szCs w:val="20"/>
                <w:lang w:val="mn-MN"/>
              </w:rPr>
            </w:pPr>
            <w:r w:rsidRPr="00731F96">
              <w:rPr>
                <w:sz w:val="20"/>
                <w:szCs w:val="20"/>
                <w:lang w:val="mn-MN"/>
              </w:rPr>
              <w:t>10/секунд</w:t>
            </w:r>
          </w:p>
        </w:tc>
        <w:tc>
          <w:tcPr>
            <w:tcW w:w="2336" w:type="dxa"/>
          </w:tcPr>
          <w:p w:rsidR="00440B2A" w:rsidRPr="00731F96" w:rsidRDefault="00440B2A" w:rsidP="00440B2A">
            <w:pPr>
              <w:pStyle w:val="TableParagraph"/>
              <w:tabs>
                <w:tab w:val="left" w:pos="0"/>
              </w:tabs>
              <w:spacing w:before="57" w:line="276" w:lineRule="auto"/>
              <w:ind w:left="107"/>
              <w:rPr>
                <w:sz w:val="20"/>
                <w:szCs w:val="20"/>
                <w:lang w:val="mn-MN"/>
              </w:rPr>
            </w:pPr>
            <w:r>
              <w:rPr>
                <w:sz w:val="20"/>
                <w:szCs w:val="20"/>
                <w:lang w:val="mn-MN"/>
              </w:rPr>
              <w:t xml:space="preserve">TT0 </w:t>
            </w:r>
            <w:r>
              <w:rPr>
                <w:sz w:val="20"/>
                <w:szCs w:val="20"/>
              </w:rPr>
              <w:t>&gt;</w:t>
            </w:r>
            <w:r w:rsidRPr="00731F96">
              <w:rPr>
                <w:sz w:val="20"/>
                <w:szCs w:val="20"/>
                <w:lang w:val="mn-MN"/>
              </w:rPr>
              <w:t>1 с</w:t>
            </w:r>
          </w:p>
        </w:tc>
        <w:tc>
          <w:tcPr>
            <w:tcW w:w="2336" w:type="dxa"/>
          </w:tcPr>
          <w:p w:rsidR="00440B2A" w:rsidRPr="00EF2D2B" w:rsidRDefault="00440B2A" w:rsidP="00440B2A">
            <w:pPr>
              <w:pStyle w:val="TableParagraph"/>
              <w:tabs>
                <w:tab w:val="left" w:pos="0"/>
              </w:tabs>
              <w:spacing w:line="276" w:lineRule="auto"/>
              <w:ind w:left="107"/>
              <w:rPr>
                <w:sz w:val="20"/>
                <w:szCs w:val="20"/>
                <w:lang w:val="mn-MN"/>
              </w:rPr>
            </w:pPr>
            <w:r w:rsidRPr="00EF2D2B">
              <w:rPr>
                <w:sz w:val="20"/>
                <w:szCs w:val="20"/>
                <w:lang w:val="mn-MN"/>
              </w:rPr>
              <w:t>T3 0,025 мс</w:t>
            </w:r>
          </w:p>
        </w:tc>
      </w:tr>
      <w:tr w:rsidR="00440B2A" w:rsidTr="00440B2A">
        <w:tc>
          <w:tcPr>
            <w:tcW w:w="2336" w:type="dxa"/>
          </w:tcPr>
          <w:p w:rsidR="00440B2A" w:rsidRPr="00EF2D2B" w:rsidRDefault="00440B2A" w:rsidP="00440B2A">
            <w:pPr>
              <w:pStyle w:val="TableParagraph"/>
              <w:tabs>
                <w:tab w:val="left" w:pos="0"/>
              </w:tabs>
              <w:spacing w:line="276" w:lineRule="auto"/>
              <w:ind w:left="107" w:right="76"/>
              <w:rPr>
                <w:sz w:val="20"/>
                <w:szCs w:val="20"/>
                <w:lang w:val="mn-MN"/>
              </w:rPr>
            </w:pPr>
            <w:r w:rsidRPr="00EF2D2B">
              <w:rPr>
                <w:sz w:val="20"/>
                <w:szCs w:val="20"/>
                <w:lang w:val="mn-MN"/>
              </w:rPr>
              <w:t>Дотоод гажилтыг илрүүлэх(10 Гц хүртэл)</w:t>
            </w:r>
          </w:p>
        </w:tc>
        <w:tc>
          <w:tcPr>
            <w:tcW w:w="2336" w:type="dxa"/>
          </w:tcPr>
          <w:p w:rsidR="00440B2A" w:rsidRPr="00731F96" w:rsidRDefault="00440B2A" w:rsidP="00440B2A">
            <w:pPr>
              <w:pStyle w:val="TableParagraph"/>
              <w:tabs>
                <w:tab w:val="left" w:pos="0"/>
              </w:tabs>
              <w:spacing w:line="276" w:lineRule="auto"/>
              <w:ind w:left="107"/>
              <w:rPr>
                <w:sz w:val="20"/>
                <w:szCs w:val="20"/>
                <w:lang w:val="mn-MN"/>
              </w:rPr>
            </w:pPr>
            <w:r w:rsidRPr="00731F96">
              <w:rPr>
                <w:sz w:val="20"/>
                <w:szCs w:val="20"/>
                <w:lang w:val="mn-MN"/>
              </w:rPr>
              <w:t>50/секунд</w:t>
            </w:r>
          </w:p>
          <w:p w:rsidR="00440B2A" w:rsidRPr="00731F96" w:rsidRDefault="00440B2A" w:rsidP="00440B2A">
            <w:pPr>
              <w:pStyle w:val="TableParagraph"/>
              <w:tabs>
                <w:tab w:val="left" w:pos="0"/>
              </w:tabs>
              <w:spacing w:before="111" w:line="276" w:lineRule="auto"/>
              <w:ind w:left="223" w:right="-72"/>
              <w:rPr>
                <w:sz w:val="20"/>
                <w:szCs w:val="20"/>
                <w:lang w:val="mn-MN"/>
              </w:rPr>
            </w:pPr>
          </w:p>
        </w:tc>
        <w:tc>
          <w:tcPr>
            <w:tcW w:w="2336" w:type="dxa"/>
          </w:tcPr>
          <w:p w:rsidR="00440B2A" w:rsidRPr="00EF2D2B" w:rsidRDefault="00440B2A" w:rsidP="00440B2A">
            <w:pPr>
              <w:pStyle w:val="TableParagraph"/>
              <w:tabs>
                <w:tab w:val="left" w:pos="0"/>
              </w:tabs>
              <w:spacing w:before="57" w:line="276" w:lineRule="auto"/>
              <w:ind w:left="107"/>
              <w:rPr>
                <w:sz w:val="20"/>
                <w:szCs w:val="20"/>
                <w:lang w:val="mn-MN"/>
              </w:rPr>
            </w:pPr>
            <w:r>
              <w:rPr>
                <w:sz w:val="20"/>
                <w:szCs w:val="20"/>
                <w:lang w:val="mn-MN"/>
              </w:rPr>
              <w:t xml:space="preserve">TT0 </w:t>
            </w:r>
            <w:r>
              <w:rPr>
                <w:sz w:val="20"/>
                <w:szCs w:val="20"/>
              </w:rPr>
              <w:t>&gt;</w:t>
            </w:r>
            <w:r w:rsidRPr="00EF2D2B">
              <w:rPr>
                <w:sz w:val="20"/>
                <w:szCs w:val="20"/>
                <w:lang w:val="mn-MN"/>
              </w:rPr>
              <w:t>1 с</w:t>
            </w:r>
          </w:p>
          <w:p w:rsidR="00440B2A" w:rsidRPr="00EF2D2B" w:rsidRDefault="00440B2A" w:rsidP="00440B2A">
            <w:pPr>
              <w:pStyle w:val="TableParagraph"/>
              <w:tabs>
                <w:tab w:val="left" w:pos="0"/>
              </w:tabs>
              <w:spacing w:before="98" w:line="276" w:lineRule="auto"/>
              <w:ind w:left="49"/>
              <w:rPr>
                <w:sz w:val="20"/>
                <w:szCs w:val="20"/>
                <w:lang w:val="mn-MN"/>
              </w:rPr>
            </w:pPr>
          </w:p>
        </w:tc>
        <w:tc>
          <w:tcPr>
            <w:tcW w:w="2336" w:type="dxa"/>
          </w:tcPr>
          <w:p w:rsidR="00440B2A" w:rsidRPr="00EF2D2B" w:rsidRDefault="00440B2A" w:rsidP="00440B2A">
            <w:pPr>
              <w:pStyle w:val="TableParagraph"/>
              <w:tabs>
                <w:tab w:val="left" w:pos="0"/>
              </w:tabs>
              <w:spacing w:line="276" w:lineRule="auto"/>
              <w:ind w:left="107"/>
              <w:rPr>
                <w:sz w:val="20"/>
                <w:szCs w:val="20"/>
                <w:lang w:val="mn-MN"/>
              </w:rPr>
            </w:pPr>
            <w:r w:rsidRPr="00EF2D2B">
              <w:rPr>
                <w:sz w:val="20"/>
                <w:szCs w:val="20"/>
                <w:lang w:val="mn-MN"/>
              </w:rPr>
              <w:t>T3 0,025 мс</w:t>
            </w:r>
          </w:p>
        </w:tc>
      </w:tr>
    </w:tbl>
    <w:p w:rsidR="00440B2A" w:rsidRDefault="00440B2A" w:rsidP="00453EF5">
      <w:pPr>
        <w:ind w:left="0" w:firstLine="0"/>
        <w:rPr>
          <w:b/>
          <w:lang w:val="en-US"/>
        </w:rPr>
      </w:pPr>
    </w:p>
    <w:tbl>
      <w:tblPr>
        <w:tblStyle w:val="TableGrid"/>
        <w:tblW w:w="0" w:type="auto"/>
        <w:tblLook w:val="04A0" w:firstRow="1" w:lastRow="0" w:firstColumn="1" w:lastColumn="0" w:noHBand="0" w:noVBand="1"/>
      </w:tblPr>
      <w:tblGrid>
        <w:gridCol w:w="2336"/>
        <w:gridCol w:w="2336"/>
        <w:gridCol w:w="2336"/>
        <w:gridCol w:w="2336"/>
      </w:tblGrid>
      <w:tr w:rsidR="00440B2A" w:rsidRPr="00EF2D2B" w:rsidTr="00440B2A">
        <w:tc>
          <w:tcPr>
            <w:tcW w:w="2336" w:type="dxa"/>
          </w:tcPr>
          <w:p w:rsidR="00440B2A" w:rsidRPr="00731F96" w:rsidRDefault="00440B2A" w:rsidP="00440B2A">
            <w:pPr>
              <w:pStyle w:val="TableParagraph"/>
              <w:tabs>
                <w:tab w:val="left" w:pos="0"/>
              </w:tabs>
              <w:spacing w:before="53" w:line="276" w:lineRule="auto"/>
              <w:ind w:left="215" w:right="216"/>
              <w:jc w:val="center"/>
              <w:rPr>
                <w:b/>
                <w:bCs w:val="0"/>
                <w:sz w:val="20"/>
                <w:szCs w:val="20"/>
                <w:lang w:val="mn-MN"/>
              </w:rPr>
            </w:pPr>
            <w:r w:rsidRPr="00731F96">
              <w:rPr>
                <w:b/>
                <w:bCs w:val="0"/>
                <w:sz w:val="20"/>
                <w:szCs w:val="20"/>
                <w:lang w:val="mn-MN"/>
              </w:rPr>
              <w:t>Application type</w:t>
            </w:r>
          </w:p>
        </w:tc>
        <w:tc>
          <w:tcPr>
            <w:tcW w:w="2336" w:type="dxa"/>
          </w:tcPr>
          <w:p w:rsidR="00440B2A" w:rsidRPr="00731F96" w:rsidRDefault="00440B2A" w:rsidP="00440B2A">
            <w:pPr>
              <w:pStyle w:val="TableParagraph"/>
              <w:tabs>
                <w:tab w:val="left" w:pos="0"/>
              </w:tabs>
              <w:spacing w:before="53" w:line="276" w:lineRule="auto"/>
              <w:ind w:left="354"/>
              <w:rPr>
                <w:b/>
                <w:bCs w:val="0"/>
                <w:sz w:val="20"/>
                <w:szCs w:val="20"/>
                <w:lang w:val="mn-MN"/>
              </w:rPr>
            </w:pPr>
            <w:r w:rsidRPr="00731F96">
              <w:rPr>
                <w:b/>
                <w:bCs w:val="0"/>
                <w:sz w:val="20"/>
                <w:szCs w:val="20"/>
                <w:lang w:val="mn-MN"/>
              </w:rPr>
              <w:t>Minimum rate</w:t>
            </w:r>
          </w:p>
        </w:tc>
        <w:tc>
          <w:tcPr>
            <w:tcW w:w="2336" w:type="dxa"/>
          </w:tcPr>
          <w:p w:rsidR="00440B2A" w:rsidRPr="00EF2D2B" w:rsidRDefault="00440B2A" w:rsidP="00440B2A">
            <w:pPr>
              <w:pStyle w:val="TableParagraph"/>
              <w:tabs>
                <w:tab w:val="left" w:pos="0"/>
              </w:tabs>
              <w:spacing w:before="53" w:line="276" w:lineRule="auto"/>
              <w:rPr>
                <w:b/>
                <w:bCs w:val="0"/>
                <w:sz w:val="20"/>
                <w:szCs w:val="20"/>
                <w:lang w:val="mn-MN"/>
              </w:rPr>
            </w:pPr>
            <w:r w:rsidRPr="00EF2D2B">
              <w:rPr>
                <w:b/>
                <w:bCs w:val="0"/>
                <w:sz w:val="20"/>
                <w:szCs w:val="20"/>
                <w:lang w:val="mn-MN"/>
              </w:rPr>
              <w:t>Transfer time class</w:t>
            </w:r>
          </w:p>
        </w:tc>
        <w:tc>
          <w:tcPr>
            <w:tcW w:w="2336" w:type="dxa"/>
          </w:tcPr>
          <w:p w:rsidR="00440B2A" w:rsidRPr="00EF2D2B" w:rsidRDefault="00440B2A" w:rsidP="00440B2A">
            <w:pPr>
              <w:pStyle w:val="TableParagraph"/>
              <w:tabs>
                <w:tab w:val="left" w:pos="0"/>
              </w:tabs>
              <w:spacing w:before="53" w:line="276" w:lineRule="auto"/>
              <w:rPr>
                <w:b/>
                <w:bCs w:val="0"/>
                <w:sz w:val="20"/>
                <w:szCs w:val="20"/>
                <w:lang w:val="mn-MN"/>
              </w:rPr>
            </w:pPr>
            <w:r w:rsidRPr="00EF2D2B">
              <w:rPr>
                <w:b/>
                <w:bCs w:val="0"/>
                <w:sz w:val="20"/>
                <w:szCs w:val="20"/>
                <w:lang w:val="mn-MN"/>
              </w:rPr>
              <w:t>Time synchronization accuracy class</w:t>
            </w:r>
          </w:p>
        </w:tc>
      </w:tr>
      <w:tr w:rsidR="00440B2A" w:rsidRPr="00EF2D2B" w:rsidTr="00440B2A">
        <w:tc>
          <w:tcPr>
            <w:tcW w:w="2336" w:type="dxa"/>
          </w:tcPr>
          <w:p w:rsidR="00440B2A" w:rsidRPr="00440B2A" w:rsidRDefault="00440B2A" w:rsidP="00440B2A">
            <w:pPr>
              <w:pStyle w:val="TableParagraph"/>
              <w:tabs>
                <w:tab w:val="left" w:pos="0"/>
              </w:tabs>
              <w:spacing w:before="53" w:line="276" w:lineRule="auto"/>
              <w:ind w:left="215" w:right="216"/>
              <w:jc w:val="center"/>
              <w:rPr>
                <w:bCs w:val="0"/>
                <w:sz w:val="20"/>
                <w:szCs w:val="20"/>
                <w:lang w:val="mn-MN"/>
              </w:rPr>
            </w:pPr>
            <w:r w:rsidRPr="00440B2A">
              <w:rPr>
                <w:bCs w:val="0"/>
                <w:sz w:val="20"/>
                <w:szCs w:val="20"/>
                <w:lang w:val="mn-MN"/>
              </w:rPr>
              <w:t>Inter-area oscillation detection</w:t>
            </w:r>
          </w:p>
        </w:tc>
        <w:tc>
          <w:tcPr>
            <w:tcW w:w="2336" w:type="dxa"/>
          </w:tcPr>
          <w:p w:rsidR="00440B2A" w:rsidRPr="00440B2A" w:rsidRDefault="00440B2A" w:rsidP="00440B2A">
            <w:pPr>
              <w:pStyle w:val="TableParagraph"/>
              <w:tabs>
                <w:tab w:val="left" w:pos="0"/>
              </w:tabs>
              <w:spacing w:before="53" w:line="276" w:lineRule="auto"/>
              <w:ind w:left="107" w:right="216"/>
              <w:rPr>
                <w:bCs w:val="0"/>
                <w:sz w:val="20"/>
                <w:szCs w:val="20"/>
                <w:lang w:val="mn-MN"/>
              </w:rPr>
            </w:pPr>
            <w:r w:rsidRPr="00440B2A">
              <w:rPr>
                <w:bCs w:val="0"/>
                <w:sz w:val="20"/>
                <w:szCs w:val="20"/>
                <w:lang w:val="mn-MN"/>
              </w:rPr>
              <w:t>10/second</w:t>
            </w:r>
          </w:p>
        </w:tc>
        <w:tc>
          <w:tcPr>
            <w:tcW w:w="2336" w:type="dxa"/>
          </w:tcPr>
          <w:p w:rsidR="00440B2A" w:rsidRPr="00440B2A" w:rsidRDefault="00440B2A" w:rsidP="00440B2A">
            <w:pPr>
              <w:pStyle w:val="TableParagraph"/>
              <w:tabs>
                <w:tab w:val="left" w:pos="0"/>
              </w:tabs>
              <w:spacing w:before="53" w:line="276" w:lineRule="auto"/>
              <w:ind w:left="107" w:right="216"/>
              <w:rPr>
                <w:bCs w:val="0"/>
                <w:sz w:val="20"/>
                <w:szCs w:val="20"/>
                <w:lang w:val="mn-MN"/>
              </w:rPr>
            </w:pPr>
            <w:r w:rsidRPr="00440B2A">
              <w:rPr>
                <w:bCs w:val="0"/>
                <w:sz w:val="20"/>
                <w:szCs w:val="20"/>
                <w:lang w:val="mn-MN"/>
              </w:rPr>
              <w:t>TT0 &gt;1 s</w:t>
            </w:r>
          </w:p>
        </w:tc>
        <w:tc>
          <w:tcPr>
            <w:tcW w:w="2336" w:type="dxa"/>
          </w:tcPr>
          <w:p w:rsidR="00440B2A" w:rsidRPr="00440B2A" w:rsidRDefault="00440B2A" w:rsidP="00440B2A">
            <w:pPr>
              <w:pStyle w:val="TableParagraph"/>
              <w:tabs>
                <w:tab w:val="left" w:pos="0"/>
              </w:tabs>
              <w:spacing w:before="53" w:line="276" w:lineRule="auto"/>
              <w:ind w:left="107" w:right="216"/>
              <w:rPr>
                <w:bCs w:val="0"/>
                <w:sz w:val="20"/>
                <w:szCs w:val="20"/>
                <w:lang w:val="mn-MN"/>
              </w:rPr>
            </w:pPr>
            <w:r w:rsidRPr="00440B2A">
              <w:rPr>
                <w:bCs w:val="0"/>
                <w:sz w:val="20"/>
                <w:szCs w:val="20"/>
                <w:lang w:val="mn-MN"/>
              </w:rPr>
              <w:t>T3 0,025 ms</w:t>
            </w:r>
          </w:p>
        </w:tc>
      </w:tr>
      <w:tr w:rsidR="00440B2A" w:rsidRPr="00EF2D2B" w:rsidTr="00440B2A">
        <w:tc>
          <w:tcPr>
            <w:tcW w:w="2336" w:type="dxa"/>
          </w:tcPr>
          <w:p w:rsidR="00440B2A" w:rsidRPr="00440B2A" w:rsidRDefault="00440B2A" w:rsidP="00440B2A">
            <w:pPr>
              <w:pStyle w:val="TableParagraph"/>
              <w:tabs>
                <w:tab w:val="left" w:pos="0"/>
              </w:tabs>
              <w:spacing w:before="53" w:line="276" w:lineRule="auto"/>
              <w:ind w:left="215" w:right="216"/>
              <w:jc w:val="center"/>
              <w:rPr>
                <w:bCs w:val="0"/>
                <w:sz w:val="20"/>
                <w:szCs w:val="20"/>
                <w:lang w:val="mn-MN"/>
              </w:rPr>
            </w:pPr>
            <w:r w:rsidRPr="00440B2A">
              <w:rPr>
                <w:bCs w:val="0"/>
                <w:sz w:val="20"/>
                <w:szCs w:val="20"/>
                <w:lang w:val="mn-MN"/>
              </w:rPr>
              <w:t>Local oscillation detection (up to 10 Hz)</w:t>
            </w:r>
          </w:p>
        </w:tc>
        <w:tc>
          <w:tcPr>
            <w:tcW w:w="2336" w:type="dxa"/>
          </w:tcPr>
          <w:p w:rsidR="00440B2A" w:rsidRPr="00440B2A" w:rsidRDefault="00440B2A" w:rsidP="00440B2A">
            <w:pPr>
              <w:pStyle w:val="TableParagraph"/>
              <w:tabs>
                <w:tab w:val="left" w:pos="0"/>
              </w:tabs>
              <w:spacing w:before="53" w:line="276" w:lineRule="auto"/>
              <w:ind w:right="216"/>
              <w:rPr>
                <w:bCs w:val="0"/>
                <w:sz w:val="20"/>
                <w:szCs w:val="20"/>
                <w:lang w:val="mn-MN"/>
              </w:rPr>
            </w:pPr>
            <w:r w:rsidRPr="00440B2A">
              <w:rPr>
                <w:bCs w:val="0"/>
                <w:sz w:val="20"/>
                <w:szCs w:val="20"/>
                <w:lang w:val="mn-MN"/>
              </w:rPr>
              <w:t xml:space="preserve">  50/second</w:t>
            </w:r>
          </w:p>
          <w:p w:rsidR="00440B2A" w:rsidRPr="00440B2A" w:rsidRDefault="00440B2A" w:rsidP="00440B2A">
            <w:pPr>
              <w:pStyle w:val="TableParagraph"/>
              <w:tabs>
                <w:tab w:val="left" w:pos="0"/>
              </w:tabs>
              <w:spacing w:before="53" w:line="276" w:lineRule="auto"/>
              <w:ind w:left="215" w:right="216"/>
              <w:jc w:val="center"/>
              <w:rPr>
                <w:bCs w:val="0"/>
                <w:sz w:val="20"/>
                <w:szCs w:val="20"/>
                <w:lang w:val="mn-MN"/>
              </w:rPr>
            </w:pPr>
          </w:p>
        </w:tc>
        <w:tc>
          <w:tcPr>
            <w:tcW w:w="2336" w:type="dxa"/>
          </w:tcPr>
          <w:p w:rsidR="00440B2A" w:rsidRPr="00440B2A" w:rsidRDefault="00440B2A" w:rsidP="00440B2A">
            <w:pPr>
              <w:pStyle w:val="TableParagraph"/>
              <w:tabs>
                <w:tab w:val="left" w:pos="0"/>
              </w:tabs>
              <w:spacing w:before="53" w:line="276" w:lineRule="auto"/>
              <w:ind w:right="216"/>
              <w:rPr>
                <w:bCs w:val="0"/>
                <w:sz w:val="20"/>
                <w:szCs w:val="20"/>
                <w:lang w:val="mn-MN"/>
              </w:rPr>
            </w:pPr>
            <w:r w:rsidRPr="00440B2A">
              <w:rPr>
                <w:bCs w:val="0"/>
                <w:sz w:val="20"/>
                <w:szCs w:val="20"/>
                <w:lang w:val="mn-MN"/>
              </w:rPr>
              <w:t xml:space="preserve">  TT0 &gt;1 s</w:t>
            </w:r>
          </w:p>
          <w:p w:rsidR="00440B2A" w:rsidRPr="00440B2A" w:rsidRDefault="00440B2A" w:rsidP="00440B2A">
            <w:pPr>
              <w:pStyle w:val="TableParagraph"/>
              <w:tabs>
                <w:tab w:val="left" w:pos="0"/>
              </w:tabs>
              <w:spacing w:before="53" w:line="276" w:lineRule="auto"/>
              <w:ind w:left="215" w:right="216"/>
              <w:jc w:val="center"/>
              <w:rPr>
                <w:bCs w:val="0"/>
                <w:sz w:val="20"/>
                <w:szCs w:val="20"/>
                <w:lang w:val="mn-MN"/>
              </w:rPr>
            </w:pPr>
          </w:p>
        </w:tc>
        <w:tc>
          <w:tcPr>
            <w:tcW w:w="2336" w:type="dxa"/>
          </w:tcPr>
          <w:p w:rsidR="00440B2A" w:rsidRPr="00440B2A" w:rsidRDefault="00440B2A" w:rsidP="00440B2A">
            <w:pPr>
              <w:pStyle w:val="TableParagraph"/>
              <w:tabs>
                <w:tab w:val="left" w:pos="0"/>
              </w:tabs>
              <w:spacing w:before="53" w:line="276" w:lineRule="auto"/>
              <w:ind w:left="215" w:right="216"/>
              <w:jc w:val="center"/>
              <w:rPr>
                <w:bCs w:val="0"/>
                <w:sz w:val="20"/>
                <w:szCs w:val="20"/>
                <w:lang w:val="mn-MN"/>
              </w:rPr>
            </w:pPr>
            <w:r w:rsidRPr="00440B2A">
              <w:rPr>
                <w:bCs w:val="0"/>
                <w:sz w:val="20"/>
                <w:szCs w:val="20"/>
                <w:lang w:val="mn-MN"/>
              </w:rPr>
              <w:t>T3 0,025 ms</w:t>
            </w:r>
          </w:p>
        </w:tc>
      </w:tr>
    </w:tbl>
    <w:p w:rsidR="00440B2A" w:rsidRDefault="00440B2A" w:rsidP="00453EF5">
      <w:pPr>
        <w:ind w:left="0" w:firstLine="0"/>
        <w:rPr>
          <w:b/>
          <w:lang w:val="en-US"/>
        </w:rPr>
      </w:pPr>
    </w:p>
    <w:p w:rsidR="00440B2A" w:rsidRDefault="00440B2A" w:rsidP="00453EF5">
      <w:pPr>
        <w:ind w:left="0" w:firstLine="0"/>
        <w:rPr>
          <w:b/>
          <w:lang w:val="en-US"/>
        </w:rPr>
      </w:pPr>
    </w:p>
    <w:tbl>
      <w:tblPr>
        <w:tblStyle w:val="TableGrid"/>
        <w:tblW w:w="0" w:type="auto"/>
        <w:tblLook w:val="04A0" w:firstRow="1" w:lastRow="0" w:firstColumn="1" w:lastColumn="0" w:noHBand="0" w:noVBand="1"/>
      </w:tblPr>
      <w:tblGrid>
        <w:gridCol w:w="2336"/>
        <w:gridCol w:w="2336"/>
        <w:gridCol w:w="2336"/>
        <w:gridCol w:w="2336"/>
      </w:tblGrid>
      <w:tr w:rsidR="00440B2A" w:rsidTr="00440B2A">
        <w:tc>
          <w:tcPr>
            <w:tcW w:w="2336" w:type="dxa"/>
          </w:tcPr>
          <w:p w:rsidR="00440B2A" w:rsidRPr="00731F96" w:rsidRDefault="00440B2A" w:rsidP="00440B2A">
            <w:pPr>
              <w:pStyle w:val="TableParagraph"/>
              <w:tabs>
                <w:tab w:val="left" w:pos="0"/>
              </w:tabs>
              <w:spacing w:before="53" w:line="276" w:lineRule="auto"/>
              <w:ind w:left="215" w:right="216"/>
              <w:jc w:val="center"/>
              <w:rPr>
                <w:b/>
                <w:sz w:val="20"/>
                <w:szCs w:val="20"/>
                <w:lang w:val="mn-MN"/>
              </w:rPr>
            </w:pPr>
            <w:r w:rsidRPr="00731F96">
              <w:rPr>
                <w:b/>
                <w:sz w:val="20"/>
                <w:szCs w:val="20"/>
                <w:lang w:val="mn-MN"/>
              </w:rPr>
              <w:t>Аппликейшний төрөл</w:t>
            </w:r>
          </w:p>
        </w:tc>
        <w:tc>
          <w:tcPr>
            <w:tcW w:w="2336" w:type="dxa"/>
          </w:tcPr>
          <w:p w:rsidR="00440B2A" w:rsidRPr="00731F96" w:rsidRDefault="00440B2A" w:rsidP="00440B2A">
            <w:pPr>
              <w:pStyle w:val="TableParagraph"/>
              <w:tabs>
                <w:tab w:val="left" w:pos="0"/>
              </w:tabs>
              <w:spacing w:before="53" w:line="276" w:lineRule="auto"/>
              <w:jc w:val="center"/>
              <w:rPr>
                <w:b/>
                <w:sz w:val="20"/>
                <w:szCs w:val="20"/>
                <w:lang w:val="mn-MN"/>
              </w:rPr>
            </w:pPr>
            <w:r w:rsidRPr="00731F96">
              <w:rPr>
                <w:b/>
                <w:sz w:val="20"/>
                <w:szCs w:val="20"/>
                <w:lang w:val="mn-MN"/>
              </w:rPr>
              <w:t>Хамгийн бага хурд</w:t>
            </w:r>
          </w:p>
        </w:tc>
        <w:tc>
          <w:tcPr>
            <w:tcW w:w="2336" w:type="dxa"/>
          </w:tcPr>
          <w:p w:rsidR="00440B2A" w:rsidRPr="00EF2D2B" w:rsidRDefault="00440B2A" w:rsidP="00440B2A">
            <w:pPr>
              <w:pStyle w:val="TableParagraph"/>
              <w:tabs>
                <w:tab w:val="left" w:pos="0"/>
              </w:tabs>
              <w:spacing w:before="53" w:line="276" w:lineRule="auto"/>
              <w:ind w:left="112"/>
              <w:jc w:val="center"/>
              <w:rPr>
                <w:b/>
                <w:sz w:val="20"/>
                <w:szCs w:val="20"/>
                <w:lang w:val="mn-MN"/>
              </w:rPr>
            </w:pPr>
            <w:r w:rsidRPr="00EF2D2B">
              <w:rPr>
                <w:b/>
                <w:sz w:val="20"/>
                <w:szCs w:val="20"/>
                <w:lang w:val="mn-MN"/>
              </w:rPr>
              <w:t>Дамжуулах хугацааны анги</w:t>
            </w:r>
          </w:p>
        </w:tc>
        <w:tc>
          <w:tcPr>
            <w:tcW w:w="2336" w:type="dxa"/>
          </w:tcPr>
          <w:p w:rsidR="00440B2A" w:rsidRPr="00EF2D2B" w:rsidRDefault="00440B2A" w:rsidP="00440B2A">
            <w:pPr>
              <w:pStyle w:val="TableParagraph"/>
              <w:tabs>
                <w:tab w:val="left" w:pos="0"/>
              </w:tabs>
              <w:spacing w:before="53" w:line="276" w:lineRule="auto"/>
              <w:ind w:left="50"/>
              <w:jc w:val="center"/>
              <w:rPr>
                <w:b/>
                <w:sz w:val="20"/>
                <w:szCs w:val="20"/>
                <w:lang w:val="mn-MN"/>
              </w:rPr>
            </w:pPr>
            <w:r w:rsidRPr="00EF2D2B">
              <w:rPr>
                <w:b/>
                <w:sz w:val="20"/>
                <w:szCs w:val="20"/>
                <w:lang w:val="mn-MN"/>
              </w:rPr>
              <w:t>Хугацааны синхрончлолын нарийвчлалын анги</w:t>
            </w:r>
          </w:p>
        </w:tc>
      </w:tr>
      <w:tr w:rsidR="00440B2A" w:rsidTr="00440B2A">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Цуваа резонөнс илрүүлэх</w:t>
            </w:r>
          </w:p>
          <w:p w:rsidR="00440B2A" w:rsidRPr="00731F96" w:rsidRDefault="00440B2A" w:rsidP="00440B2A">
            <w:pPr>
              <w:pStyle w:val="TableParagraph"/>
              <w:tabs>
                <w:tab w:val="left" w:pos="0"/>
              </w:tabs>
              <w:spacing w:before="11" w:line="276" w:lineRule="auto"/>
              <w:ind w:left="107"/>
              <w:rPr>
                <w:lang w:val="mn-MN"/>
              </w:rPr>
            </w:pPr>
            <w:r w:rsidRPr="00731F96">
              <w:rPr>
                <w:lang w:val="mn-MN"/>
              </w:rPr>
              <w:t>(Давтамжууд &lt;</w:t>
            </w:r>
            <w:r w:rsidRPr="00731F96">
              <w:rPr>
                <w:i/>
                <w:lang w:val="mn-MN"/>
              </w:rPr>
              <w:t>f</w:t>
            </w:r>
            <w:r w:rsidRPr="00731F96">
              <w:rPr>
                <w:position w:val="-5"/>
                <w:lang w:val="mn-MN"/>
              </w:rPr>
              <w:t>0</w:t>
            </w:r>
            <w:r w:rsidRPr="00731F96">
              <w:rPr>
                <w:lang w:val="mn-MN"/>
              </w:rPr>
              <w:t>)</w:t>
            </w:r>
          </w:p>
        </w:tc>
        <w:tc>
          <w:tcPr>
            <w:tcW w:w="2336" w:type="dxa"/>
          </w:tcPr>
          <w:p w:rsidR="00440B2A" w:rsidRPr="00731F96" w:rsidRDefault="00440B2A" w:rsidP="00440B2A">
            <w:pPr>
              <w:pStyle w:val="TableParagraph"/>
              <w:tabs>
                <w:tab w:val="left" w:pos="0"/>
              </w:tabs>
              <w:spacing w:before="57" w:line="276" w:lineRule="auto"/>
              <w:ind w:left="107"/>
              <w:rPr>
                <w:lang w:val="mn-MN"/>
              </w:rPr>
            </w:pPr>
            <w:r w:rsidRPr="00731F96">
              <w:rPr>
                <w:lang w:val="mn-MN"/>
              </w:rPr>
              <w:t>Хурд&gt;3x (хамгийн бага давтамж)</w:t>
            </w:r>
          </w:p>
        </w:tc>
        <w:tc>
          <w:tcPr>
            <w:tcW w:w="2336" w:type="dxa"/>
          </w:tcPr>
          <w:p w:rsidR="00440B2A" w:rsidRPr="00EF2D2B" w:rsidRDefault="00440B2A" w:rsidP="00440B2A">
            <w:pPr>
              <w:pStyle w:val="TableParagraph"/>
              <w:tabs>
                <w:tab w:val="left" w:pos="0"/>
              </w:tabs>
              <w:spacing w:before="57" w:line="276" w:lineRule="auto"/>
              <w:ind w:left="107"/>
              <w:rPr>
                <w:lang w:val="mn-MN"/>
              </w:rPr>
            </w:pPr>
            <w:r w:rsidRPr="00EF2D2B">
              <w:rPr>
                <w:lang w:val="mn-MN"/>
              </w:rPr>
              <w:t>TT0 &gt;1 с</w:t>
            </w:r>
          </w:p>
        </w:tc>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T3 0,025 мс</w:t>
            </w:r>
          </w:p>
        </w:tc>
      </w:tr>
      <w:tr w:rsidR="00440B2A" w:rsidTr="00440B2A">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Системийн фазын өнцөг</w:t>
            </w:r>
          </w:p>
        </w:tc>
        <w:tc>
          <w:tcPr>
            <w:tcW w:w="2336" w:type="dxa"/>
          </w:tcPr>
          <w:p w:rsidR="00440B2A" w:rsidRPr="00731F96" w:rsidRDefault="00440B2A" w:rsidP="00440B2A">
            <w:pPr>
              <w:pStyle w:val="TableParagraph"/>
              <w:tabs>
                <w:tab w:val="left" w:pos="0"/>
              </w:tabs>
              <w:spacing w:line="276" w:lineRule="auto"/>
              <w:ind w:left="107"/>
              <w:rPr>
                <w:lang w:val="mn-MN"/>
              </w:rPr>
            </w:pPr>
            <w:r w:rsidRPr="00731F96">
              <w:rPr>
                <w:lang w:val="mn-MN"/>
              </w:rPr>
              <w:t>1/second</w:t>
            </w:r>
          </w:p>
        </w:tc>
        <w:tc>
          <w:tcPr>
            <w:tcW w:w="2336" w:type="dxa"/>
          </w:tcPr>
          <w:p w:rsidR="00440B2A" w:rsidRPr="00731F96" w:rsidRDefault="00440B2A" w:rsidP="00440B2A">
            <w:pPr>
              <w:pStyle w:val="TableParagraph"/>
              <w:tabs>
                <w:tab w:val="left" w:pos="0"/>
              </w:tabs>
              <w:spacing w:before="57" w:line="276" w:lineRule="auto"/>
              <w:ind w:left="107"/>
              <w:rPr>
                <w:lang w:val="mn-MN"/>
              </w:rPr>
            </w:pPr>
            <w:r w:rsidRPr="00731F96">
              <w:rPr>
                <w:lang w:val="mn-MN"/>
              </w:rPr>
              <w:t>TT0 &gt;1 с</w:t>
            </w:r>
          </w:p>
        </w:tc>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T3 0,025 мс</w:t>
            </w:r>
          </w:p>
        </w:tc>
      </w:tr>
      <w:tr w:rsidR="00440B2A" w:rsidTr="00440B2A">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Чадлын урсгал</w:t>
            </w:r>
          </w:p>
        </w:tc>
        <w:tc>
          <w:tcPr>
            <w:tcW w:w="2336" w:type="dxa"/>
          </w:tcPr>
          <w:p w:rsidR="00440B2A" w:rsidRPr="00731F96" w:rsidRDefault="00440B2A" w:rsidP="00440B2A">
            <w:pPr>
              <w:pStyle w:val="TableParagraph"/>
              <w:tabs>
                <w:tab w:val="left" w:pos="0"/>
              </w:tabs>
              <w:spacing w:line="276" w:lineRule="auto"/>
              <w:ind w:left="107"/>
              <w:rPr>
                <w:lang w:val="mn-MN"/>
              </w:rPr>
            </w:pPr>
            <w:r w:rsidRPr="00731F96">
              <w:rPr>
                <w:lang w:val="mn-MN"/>
              </w:rPr>
              <w:t>1/second</w:t>
            </w:r>
          </w:p>
        </w:tc>
        <w:tc>
          <w:tcPr>
            <w:tcW w:w="2336" w:type="dxa"/>
          </w:tcPr>
          <w:p w:rsidR="00440B2A" w:rsidRPr="00731F96" w:rsidRDefault="00440B2A" w:rsidP="00440B2A">
            <w:pPr>
              <w:pStyle w:val="TableParagraph"/>
              <w:tabs>
                <w:tab w:val="left" w:pos="0"/>
              </w:tabs>
              <w:spacing w:before="57" w:line="276" w:lineRule="auto"/>
              <w:ind w:left="107"/>
              <w:rPr>
                <w:lang w:val="mn-MN"/>
              </w:rPr>
            </w:pPr>
            <w:r w:rsidRPr="00731F96">
              <w:rPr>
                <w:lang w:val="mn-MN"/>
              </w:rPr>
              <w:t>TT0 &gt;1 с</w:t>
            </w:r>
          </w:p>
        </w:tc>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T3 0,025 мс</w:t>
            </w:r>
          </w:p>
        </w:tc>
      </w:tr>
      <w:tr w:rsidR="00440B2A" w:rsidTr="00440B2A">
        <w:tc>
          <w:tcPr>
            <w:tcW w:w="2336" w:type="dxa"/>
          </w:tcPr>
          <w:p w:rsidR="00440B2A" w:rsidRPr="00EF2D2B" w:rsidRDefault="00440B2A" w:rsidP="00440B2A">
            <w:pPr>
              <w:pStyle w:val="TableParagraph"/>
              <w:tabs>
                <w:tab w:val="left" w:pos="0"/>
              </w:tabs>
              <w:spacing w:before="58" w:line="276" w:lineRule="auto"/>
              <w:ind w:left="107"/>
              <w:rPr>
                <w:lang w:val="mn-MN"/>
              </w:rPr>
            </w:pPr>
            <w:r w:rsidRPr="00EF2D2B">
              <w:rPr>
                <w:lang w:val="mn-MN"/>
              </w:rPr>
              <w:t>Хүчдэлийн профайл</w:t>
            </w:r>
          </w:p>
        </w:tc>
        <w:tc>
          <w:tcPr>
            <w:tcW w:w="2336" w:type="dxa"/>
          </w:tcPr>
          <w:p w:rsidR="00440B2A" w:rsidRPr="00731F96" w:rsidRDefault="00440B2A" w:rsidP="00440B2A">
            <w:pPr>
              <w:pStyle w:val="TableParagraph"/>
              <w:tabs>
                <w:tab w:val="left" w:pos="0"/>
              </w:tabs>
              <w:spacing w:before="58" w:line="276" w:lineRule="auto"/>
              <w:ind w:left="107"/>
              <w:rPr>
                <w:lang w:val="mn-MN"/>
              </w:rPr>
            </w:pPr>
            <w:r w:rsidRPr="00731F96">
              <w:rPr>
                <w:lang w:val="mn-MN"/>
              </w:rPr>
              <w:t>1/second</w:t>
            </w:r>
          </w:p>
        </w:tc>
        <w:tc>
          <w:tcPr>
            <w:tcW w:w="2336" w:type="dxa"/>
          </w:tcPr>
          <w:p w:rsidR="00440B2A" w:rsidRPr="00731F96" w:rsidRDefault="00440B2A" w:rsidP="00440B2A">
            <w:pPr>
              <w:pStyle w:val="TableParagraph"/>
              <w:tabs>
                <w:tab w:val="left" w:pos="0"/>
              </w:tabs>
              <w:spacing w:before="60" w:line="276" w:lineRule="auto"/>
              <w:ind w:left="107"/>
              <w:rPr>
                <w:lang w:val="mn-MN"/>
              </w:rPr>
            </w:pPr>
            <w:r w:rsidRPr="00731F96">
              <w:rPr>
                <w:lang w:val="mn-MN"/>
              </w:rPr>
              <w:t>TT0 &gt;1 с</w:t>
            </w:r>
          </w:p>
        </w:tc>
        <w:tc>
          <w:tcPr>
            <w:tcW w:w="2336" w:type="dxa"/>
          </w:tcPr>
          <w:p w:rsidR="00440B2A" w:rsidRPr="00EF2D2B" w:rsidRDefault="00440B2A" w:rsidP="00440B2A">
            <w:pPr>
              <w:pStyle w:val="TableParagraph"/>
              <w:tabs>
                <w:tab w:val="left" w:pos="0"/>
              </w:tabs>
              <w:spacing w:before="58" w:line="276" w:lineRule="auto"/>
              <w:ind w:left="107"/>
              <w:rPr>
                <w:lang w:val="mn-MN"/>
              </w:rPr>
            </w:pPr>
            <w:r w:rsidRPr="00EF2D2B">
              <w:rPr>
                <w:lang w:val="mn-MN"/>
              </w:rPr>
              <w:t>T0 10 мс</w:t>
            </w:r>
          </w:p>
        </w:tc>
      </w:tr>
    </w:tbl>
    <w:p w:rsidR="00440B2A" w:rsidRDefault="00440B2A" w:rsidP="00440B2A">
      <w:pPr>
        <w:ind w:left="0" w:firstLine="0"/>
        <w:rPr>
          <w:b/>
          <w:lang w:val="en-US"/>
        </w:rPr>
      </w:pPr>
    </w:p>
    <w:tbl>
      <w:tblPr>
        <w:tblStyle w:val="TableGrid"/>
        <w:tblW w:w="0" w:type="auto"/>
        <w:tblLook w:val="04A0" w:firstRow="1" w:lastRow="0" w:firstColumn="1" w:lastColumn="0" w:noHBand="0" w:noVBand="1"/>
      </w:tblPr>
      <w:tblGrid>
        <w:gridCol w:w="2336"/>
        <w:gridCol w:w="2336"/>
        <w:gridCol w:w="2336"/>
        <w:gridCol w:w="2336"/>
      </w:tblGrid>
      <w:tr w:rsidR="00440B2A" w:rsidRPr="00EF2D2B" w:rsidTr="00440B2A">
        <w:tc>
          <w:tcPr>
            <w:tcW w:w="2336" w:type="dxa"/>
          </w:tcPr>
          <w:p w:rsidR="00440B2A" w:rsidRPr="00731F96" w:rsidRDefault="00440B2A" w:rsidP="00440B2A">
            <w:pPr>
              <w:pStyle w:val="TableParagraph"/>
              <w:tabs>
                <w:tab w:val="left" w:pos="0"/>
              </w:tabs>
              <w:spacing w:before="53" w:line="276" w:lineRule="auto"/>
              <w:ind w:left="215" w:right="216"/>
              <w:jc w:val="center"/>
              <w:rPr>
                <w:b/>
                <w:bCs w:val="0"/>
                <w:sz w:val="20"/>
                <w:szCs w:val="20"/>
                <w:lang w:val="mn-MN"/>
              </w:rPr>
            </w:pPr>
            <w:r w:rsidRPr="00731F96">
              <w:rPr>
                <w:b/>
                <w:bCs w:val="0"/>
                <w:sz w:val="20"/>
                <w:szCs w:val="20"/>
                <w:lang w:val="mn-MN"/>
              </w:rPr>
              <w:t>Application type</w:t>
            </w:r>
          </w:p>
        </w:tc>
        <w:tc>
          <w:tcPr>
            <w:tcW w:w="2336" w:type="dxa"/>
          </w:tcPr>
          <w:p w:rsidR="00440B2A" w:rsidRPr="00731F96" w:rsidRDefault="00440B2A" w:rsidP="00440B2A">
            <w:pPr>
              <w:pStyle w:val="TableParagraph"/>
              <w:tabs>
                <w:tab w:val="left" w:pos="0"/>
              </w:tabs>
              <w:spacing w:before="53" w:line="276" w:lineRule="auto"/>
              <w:ind w:left="354"/>
              <w:rPr>
                <w:b/>
                <w:bCs w:val="0"/>
                <w:sz w:val="20"/>
                <w:szCs w:val="20"/>
                <w:lang w:val="mn-MN"/>
              </w:rPr>
            </w:pPr>
            <w:r w:rsidRPr="00731F96">
              <w:rPr>
                <w:b/>
                <w:bCs w:val="0"/>
                <w:sz w:val="20"/>
                <w:szCs w:val="20"/>
                <w:lang w:val="mn-MN"/>
              </w:rPr>
              <w:t>Minimum rate</w:t>
            </w:r>
          </w:p>
        </w:tc>
        <w:tc>
          <w:tcPr>
            <w:tcW w:w="2336" w:type="dxa"/>
          </w:tcPr>
          <w:p w:rsidR="00440B2A" w:rsidRPr="00EF2D2B" w:rsidRDefault="00440B2A" w:rsidP="00440B2A">
            <w:pPr>
              <w:pStyle w:val="TableParagraph"/>
              <w:tabs>
                <w:tab w:val="left" w:pos="0"/>
              </w:tabs>
              <w:spacing w:before="53" w:line="276" w:lineRule="auto"/>
              <w:rPr>
                <w:b/>
                <w:bCs w:val="0"/>
                <w:sz w:val="20"/>
                <w:szCs w:val="20"/>
                <w:lang w:val="mn-MN"/>
              </w:rPr>
            </w:pPr>
            <w:r w:rsidRPr="00EF2D2B">
              <w:rPr>
                <w:b/>
                <w:bCs w:val="0"/>
                <w:sz w:val="20"/>
                <w:szCs w:val="20"/>
                <w:lang w:val="mn-MN"/>
              </w:rPr>
              <w:t>Transfer time class</w:t>
            </w:r>
          </w:p>
        </w:tc>
        <w:tc>
          <w:tcPr>
            <w:tcW w:w="2336" w:type="dxa"/>
          </w:tcPr>
          <w:p w:rsidR="00440B2A" w:rsidRPr="00EF2D2B" w:rsidRDefault="00440B2A" w:rsidP="00440B2A">
            <w:pPr>
              <w:pStyle w:val="TableParagraph"/>
              <w:tabs>
                <w:tab w:val="left" w:pos="0"/>
              </w:tabs>
              <w:spacing w:before="53" w:line="276" w:lineRule="auto"/>
              <w:rPr>
                <w:b/>
                <w:bCs w:val="0"/>
                <w:sz w:val="20"/>
                <w:szCs w:val="20"/>
                <w:lang w:val="mn-MN"/>
              </w:rPr>
            </w:pPr>
            <w:r w:rsidRPr="00EF2D2B">
              <w:rPr>
                <w:b/>
                <w:bCs w:val="0"/>
                <w:sz w:val="20"/>
                <w:szCs w:val="20"/>
                <w:lang w:val="mn-MN"/>
              </w:rPr>
              <w:t>Time synchronization accuracy class</w:t>
            </w:r>
          </w:p>
        </w:tc>
      </w:tr>
      <w:tr w:rsidR="00440B2A" w:rsidRPr="00EF2D2B" w:rsidTr="00440B2A">
        <w:tc>
          <w:tcPr>
            <w:tcW w:w="2336" w:type="dxa"/>
          </w:tcPr>
          <w:p w:rsidR="00440B2A" w:rsidRPr="00731F96" w:rsidRDefault="00440B2A" w:rsidP="00440B2A">
            <w:pPr>
              <w:pStyle w:val="TableParagraph"/>
              <w:tabs>
                <w:tab w:val="left" w:pos="0"/>
              </w:tabs>
              <w:spacing w:line="276" w:lineRule="auto"/>
              <w:ind w:left="107"/>
              <w:rPr>
                <w:lang w:val="mn-MN"/>
              </w:rPr>
            </w:pPr>
            <w:r w:rsidRPr="00EF2D2B">
              <w:rPr>
                <w:lang w:val="mn-MN"/>
              </w:rPr>
              <w:t>Series resonance detection</w:t>
            </w:r>
          </w:p>
          <w:p w:rsidR="00440B2A" w:rsidRPr="00EF2D2B" w:rsidRDefault="00440B2A" w:rsidP="00440B2A">
            <w:pPr>
              <w:pStyle w:val="TableParagraph"/>
              <w:tabs>
                <w:tab w:val="left" w:pos="0"/>
              </w:tabs>
              <w:spacing w:before="11" w:line="276" w:lineRule="auto"/>
              <w:ind w:left="107"/>
              <w:rPr>
                <w:lang w:val="mn-MN"/>
              </w:rPr>
            </w:pPr>
            <w:r w:rsidRPr="00731F96">
              <w:rPr>
                <w:lang w:val="mn-MN"/>
              </w:rPr>
              <w:t>(frequencies &lt;</w:t>
            </w:r>
            <w:r w:rsidRPr="00EF2D2B">
              <w:rPr>
                <w:lang w:val="mn-MN"/>
              </w:rPr>
              <w:t xml:space="preserve"> </w:t>
            </w:r>
            <w:r w:rsidRPr="00EF2D2B">
              <w:rPr>
                <w:i/>
                <w:lang w:val="mn-MN"/>
              </w:rPr>
              <w:t>f</w:t>
            </w:r>
            <w:r w:rsidRPr="00EF2D2B">
              <w:rPr>
                <w:position w:val="-5"/>
                <w:lang w:val="mn-MN"/>
              </w:rPr>
              <w:t>0</w:t>
            </w:r>
            <w:r w:rsidRPr="00EF2D2B">
              <w:rPr>
                <w:lang w:val="mn-MN"/>
              </w:rPr>
              <w:t>)</w:t>
            </w:r>
          </w:p>
        </w:tc>
        <w:tc>
          <w:tcPr>
            <w:tcW w:w="2336" w:type="dxa"/>
          </w:tcPr>
          <w:p w:rsidR="00440B2A" w:rsidRPr="00EF2D2B" w:rsidRDefault="00440B2A" w:rsidP="00440B2A">
            <w:pPr>
              <w:pStyle w:val="TableParagraph"/>
              <w:tabs>
                <w:tab w:val="left" w:pos="0"/>
              </w:tabs>
              <w:spacing w:before="57" w:line="276" w:lineRule="auto"/>
              <w:ind w:left="107"/>
              <w:rPr>
                <w:lang w:val="mn-MN"/>
              </w:rPr>
            </w:pPr>
            <w:r w:rsidRPr="00EF2D2B">
              <w:rPr>
                <w:lang w:val="mn-MN"/>
              </w:rPr>
              <w:t>Rate &gt; 3x (maximum frequency observed)</w:t>
            </w:r>
          </w:p>
        </w:tc>
        <w:tc>
          <w:tcPr>
            <w:tcW w:w="2336" w:type="dxa"/>
          </w:tcPr>
          <w:p w:rsidR="00440B2A" w:rsidRPr="00EF2D2B" w:rsidRDefault="00440B2A" w:rsidP="00440B2A">
            <w:pPr>
              <w:pStyle w:val="TableParagraph"/>
              <w:tabs>
                <w:tab w:val="left" w:pos="0"/>
              </w:tabs>
              <w:spacing w:before="57" w:line="276" w:lineRule="auto"/>
              <w:ind w:left="107"/>
              <w:rPr>
                <w:lang w:val="mn-MN"/>
              </w:rPr>
            </w:pPr>
            <w:r w:rsidRPr="00EF2D2B">
              <w:rPr>
                <w:lang w:val="mn-MN"/>
              </w:rPr>
              <w:t>TT0 &gt;1 s</w:t>
            </w:r>
          </w:p>
        </w:tc>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T3 0,025 ms</w:t>
            </w:r>
          </w:p>
        </w:tc>
      </w:tr>
      <w:tr w:rsidR="00440B2A" w:rsidRPr="00EF2D2B" w:rsidTr="00440B2A">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System phase angles</w:t>
            </w:r>
          </w:p>
        </w:tc>
        <w:tc>
          <w:tcPr>
            <w:tcW w:w="2336" w:type="dxa"/>
          </w:tcPr>
          <w:p w:rsidR="00440B2A" w:rsidRPr="00731F96" w:rsidRDefault="00440B2A" w:rsidP="00440B2A">
            <w:pPr>
              <w:pStyle w:val="TableParagraph"/>
              <w:tabs>
                <w:tab w:val="left" w:pos="0"/>
              </w:tabs>
              <w:spacing w:line="276" w:lineRule="auto"/>
              <w:ind w:left="107"/>
              <w:rPr>
                <w:lang w:val="mn-MN"/>
              </w:rPr>
            </w:pPr>
            <w:r w:rsidRPr="00731F96">
              <w:rPr>
                <w:lang w:val="mn-MN"/>
              </w:rPr>
              <w:t>1/second</w:t>
            </w:r>
          </w:p>
        </w:tc>
        <w:tc>
          <w:tcPr>
            <w:tcW w:w="2336" w:type="dxa"/>
          </w:tcPr>
          <w:p w:rsidR="00440B2A" w:rsidRPr="00731F96" w:rsidRDefault="00440B2A" w:rsidP="00440B2A">
            <w:pPr>
              <w:pStyle w:val="TableParagraph"/>
              <w:tabs>
                <w:tab w:val="left" w:pos="0"/>
              </w:tabs>
              <w:spacing w:before="57" w:line="276" w:lineRule="auto"/>
              <w:ind w:left="107"/>
              <w:rPr>
                <w:lang w:val="mn-MN"/>
              </w:rPr>
            </w:pPr>
            <w:r w:rsidRPr="00731F96">
              <w:rPr>
                <w:lang w:val="mn-MN"/>
              </w:rPr>
              <w:t>TT0 &gt;1 s</w:t>
            </w:r>
          </w:p>
        </w:tc>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T3 0,025 ms</w:t>
            </w:r>
          </w:p>
        </w:tc>
      </w:tr>
      <w:tr w:rsidR="00440B2A" w:rsidRPr="00EF2D2B" w:rsidTr="00440B2A">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Power flow</w:t>
            </w:r>
          </w:p>
        </w:tc>
        <w:tc>
          <w:tcPr>
            <w:tcW w:w="2336" w:type="dxa"/>
          </w:tcPr>
          <w:p w:rsidR="00440B2A" w:rsidRPr="00731F96" w:rsidRDefault="00440B2A" w:rsidP="00440B2A">
            <w:pPr>
              <w:pStyle w:val="TableParagraph"/>
              <w:tabs>
                <w:tab w:val="left" w:pos="0"/>
              </w:tabs>
              <w:spacing w:line="276" w:lineRule="auto"/>
              <w:ind w:left="107"/>
              <w:rPr>
                <w:lang w:val="mn-MN"/>
              </w:rPr>
            </w:pPr>
            <w:r w:rsidRPr="00731F96">
              <w:rPr>
                <w:lang w:val="mn-MN"/>
              </w:rPr>
              <w:t>1/second</w:t>
            </w:r>
          </w:p>
        </w:tc>
        <w:tc>
          <w:tcPr>
            <w:tcW w:w="2336" w:type="dxa"/>
          </w:tcPr>
          <w:p w:rsidR="00440B2A" w:rsidRPr="00731F96" w:rsidRDefault="00440B2A" w:rsidP="00440B2A">
            <w:pPr>
              <w:pStyle w:val="TableParagraph"/>
              <w:tabs>
                <w:tab w:val="left" w:pos="0"/>
              </w:tabs>
              <w:spacing w:before="57" w:line="276" w:lineRule="auto"/>
              <w:ind w:left="107"/>
              <w:rPr>
                <w:lang w:val="mn-MN"/>
              </w:rPr>
            </w:pPr>
            <w:r w:rsidRPr="00731F96">
              <w:rPr>
                <w:lang w:val="mn-MN"/>
              </w:rPr>
              <w:t>TT0 &gt;1 s</w:t>
            </w:r>
          </w:p>
        </w:tc>
        <w:tc>
          <w:tcPr>
            <w:tcW w:w="2336" w:type="dxa"/>
          </w:tcPr>
          <w:p w:rsidR="00440B2A" w:rsidRPr="00EF2D2B" w:rsidRDefault="00440B2A" w:rsidP="00440B2A">
            <w:pPr>
              <w:pStyle w:val="TableParagraph"/>
              <w:tabs>
                <w:tab w:val="left" w:pos="0"/>
              </w:tabs>
              <w:spacing w:line="276" w:lineRule="auto"/>
              <w:ind w:left="107"/>
              <w:rPr>
                <w:lang w:val="mn-MN"/>
              </w:rPr>
            </w:pPr>
            <w:r w:rsidRPr="00EF2D2B">
              <w:rPr>
                <w:lang w:val="mn-MN"/>
              </w:rPr>
              <w:t>T3 0,025 ms</w:t>
            </w:r>
          </w:p>
        </w:tc>
      </w:tr>
      <w:tr w:rsidR="00440B2A" w:rsidRPr="00EF2D2B" w:rsidTr="00440B2A">
        <w:tc>
          <w:tcPr>
            <w:tcW w:w="2336" w:type="dxa"/>
          </w:tcPr>
          <w:p w:rsidR="00440B2A" w:rsidRPr="00EF2D2B" w:rsidRDefault="00440B2A" w:rsidP="00440B2A">
            <w:pPr>
              <w:pStyle w:val="TableParagraph"/>
              <w:tabs>
                <w:tab w:val="left" w:pos="0"/>
              </w:tabs>
              <w:spacing w:before="58" w:line="276" w:lineRule="auto"/>
              <w:ind w:left="107"/>
              <w:rPr>
                <w:lang w:val="mn-MN"/>
              </w:rPr>
            </w:pPr>
            <w:r w:rsidRPr="00EF2D2B">
              <w:rPr>
                <w:lang w:val="mn-MN"/>
              </w:rPr>
              <w:t>Voltage profiles</w:t>
            </w:r>
          </w:p>
        </w:tc>
        <w:tc>
          <w:tcPr>
            <w:tcW w:w="2336" w:type="dxa"/>
          </w:tcPr>
          <w:p w:rsidR="00440B2A" w:rsidRPr="00731F96" w:rsidRDefault="00440B2A" w:rsidP="00440B2A">
            <w:pPr>
              <w:pStyle w:val="TableParagraph"/>
              <w:tabs>
                <w:tab w:val="left" w:pos="0"/>
              </w:tabs>
              <w:spacing w:before="58" w:line="276" w:lineRule="auto"/>
              <w:ind w:left="107"/>
              <w:rPr>
                <w:lang w:val="mn-MN"/>
              </w:rPr>
            </w:pPr>
            <w:r w:rsidRPr="00731F96">
              <w:rPr>
                <w:lang w:val="mn-MN"/>
              </w:rPr>
              <w:t>1/second</w:t>
            </w:r>
          </w:p>
        </w:tc>
        <w:tc>
          <w:tcPr>
            <w:tcW w:w="2336" w:type="dxa"/>
          </w:tcPr>
          <w:p w:rsidR="00440B2A" w:rsidRPr="00731F96" w:rsidRDefault="00440B2A" w:rsidP="00440B2A">
            <w:pPr>
              <w:pStyle w:val="TableParagraph"/>
              <w:tabs>
                <w:tab w:val="left" w:pos="0"/>
              </w:tabs>
              <w:spacing w:before="60" w:line="276" w:lineRule="auto"/>
              <w:ind w:left="107"/>
              <w:rPr>
                <w:lang w:val="mn-MN"/>
              </w:rPr>
            </w:pPr>
            <w:r w:rsidRPr="00731F96">
              <w:rPr>
                <w:lang w:val="mn-MN"/>
              </w:rPr>
              <w:t>TT0 &gt;1 s</w:t>
            </w:r>
          </w:p>
        </w:tc>
        <w:tc>
          <w:tcPr>
            <w:tcW w:w="2336" w:type="dxa"/>
          </w:tcPr>
          <w:p w:rsidR="00440B2A" w:rsidRPr="00EF2D2B" w:rsidRDefault="00440B2A" w:rsidP="00440B2A">
            <w:pPr>
              <w:pStyle w:val="TableParagraph"/>
              <w:tabs>
                <w:tab w:val="left" w:pos="0"/>
              </w:tabs>
              <w:spacing w:before="58" w:line="276" w:lineRule="auto"/>
              <w:ind w:left="107"/>
              <w:rPr>
                <w:lang w:val="mn-MN"/>
              </w:rPr>
            </w:pPr>
            <w:r w:rsidRPr="00EF2D2B">
              <w:rPr>
                <w:lang w:val="mn-MN"/>
              </w:rPr>
              <w:t>T0 10 ms</w:t>
            </w:r>
          </w:p>
        </w:tc>
      </w:tr>
    </w:tbl>
    <w:p w:rsidR="00440B2A" w:rsidRDefault="00440B2A" w:rsidP="00453EF5">
      <w:pPr>
        <w:ind w:left="0" w:firstLine="0"/>
        <w:rPr>
          <w:b/>
          <w:lang w:val="en-US"/>
        </w:rPr>
      </w:pPr>
    </w:p>
    <w:tbl>
      <w:tblPr>
        <w:tblStyle w:val="TableGrid"/>
        <w:tblW w:w="0" w:type="auto"/>
        <w:tblLook w:val="04A0" w:firstRow="1" w:lastRow="0" w:firstColumn="1" w:lastColumn="0" w:noHBand="0" w:noVBand="1"/>
      </w:tblPr>
      <w:tblGrid>
        <w:gridCol w:w="4672"/>
        <w:gridCol w:w="4672"/>
      </w:tblGrid>
      <w:tr w:rsidR="00440B2A" w:rsidRPr="00453EF5" w:rsidTr="00440B2A">
        <w:tc>
          <w:tcPr>
            <w:tcW w:w="4672" w:type="dxa"/>
          </w:tcPr>
          <w:p w:rsidR="00440B2A" w:rsidRPr="00440B2A" w:rsidRDefault="00440B2A" w:rsidP="00440B2A">
            <w:pPr>
              <w:tabs>
                <w:tab w:val="left" w:pos="0"/>
              </w:tabs>
              <w:ind w:left="0" w:firstLine="0"/>
              <w:rPr>
                <w:rFonts w:eastAsia="Calibri"/>
                <w:b/>
                <w:bCs/>
                <w:szCs w:val="22"/>
              </w:rPr>
            </w:pPr>
            <w:r w:rsidRPr="00440B2A">
              <w:rPr>
                <w:rFonts w:eastAsia="Calibri"/>
                <w:b/>
                <w:bCs/>
                <w:szCs w:val="22"/>
              </w:rPr>
              <w:t>5.7 Төлөвийн ба онлайн аюулгүй байдлын тооцоолол</w:t>
            </w:r>
          </w:p>
          <w:p w:rsidR="00440B2A" w:rsidRPr="00440B2A" w:rsidRDefault="00440B2A" w:rsidP="00440B2A">
            <w:pPr>
              <w:tabs>
                <w:tab w:val="left" w:pos="0"/>
              </w:tabs>
              <w:ind w:left="0" w:firstLine="0"/>
              <w:rPr>
                <w:rFonts w:eastAsia="Calibri"/>
                <w:bCs/>
                <w:szCs w:val="22"/>
              </w:rPr>
            </w:pPr>
            <w:r w:rsidRPr="00440B2A">
              <w:rPr>
                <w:rFonts w:eastAsia="Calibri"/>
                <w:bCs/>
                <w:szCs w:val="22"/>
              </w:rPr>
              <w:t>Энэ аппликейшинд өгөгдөл нь нэг буюу хэд хэдэн PMU төхөөрөмжөөс удирдлагын төв дэх төлөвийн ба аюулгүй байдлын тооцооллын аппликейшнуудад илгээгддэг.Төлөвийн тооцоолуур нь сүлжээний бүх хүчдэл ба чадлын урсгалыг тодорхойлдог. Аюулгүй байдлын тооцоолуур нь төлөвийн тооцоонд янз бүрийн шалгуур үзүүлэлтүүдийг ашиглан гэмтэл, эрсдэлийг тодорхойлдог. төлөвийн тооцоолол нь синхрофазорын өгөгдлийг SCADA-ийн уламжлалт өгөгдлийг нэмэлт функциональ ба сайжруулсан функциональ гүйцэтгэлийн аргад ашиглах зорилгоор фазорын хэмжилт нь эхлээд цөөн байна. Хэмжилтийг хангалттай хийсний дараа төлөвийн тооцоолол нь зөвхөн фазорын өгөгдөлтэй ажиллах боломжтой болно. Ерөнхий мэдээллийн урсгалыг зурагт 5-д үзүүлэв.</w:t>
            </w:r>
          </w:p>
        </w:tc>
        <w:tc>
          <w:tcPr>
            <w:tcW w:w="4672" w:type="dxa"/>
          </w:tcPr>
          <w:p w:rsidR="00440B2A" w:rsidRPr="00440B2A" w:rsidRDefault="00440B2A" w:rsidP="00440B2A">
            <w:pPr>
              <w:tabs>
                <w:tab w:val="left" w:pos="0"/>
              </w:tabs>
              <w:ind w:left="0" w:firstLine="0"/>
              <w:rPr>
                <w:rFonts w:eastAsia="Calibri"/>
                <w:b/>
                <w:bCs/>
                <w:szCs w:val="22"/>
              </w:rPr>
            </w:pPr>
            <w:r w:rsidRPr="00440B2A">
              <w:rPr>
                <w:rFonts w:eastAsia="Calibri"/>
                <w:b/>
                <w:bCs/>
                <w:szCs w:val="22"/>
              </w:rPr>
              <w:t>5.7 State estimation and on-line security assessment</w:t>
            </w:r>
          </w:p>
          <w:p w:rsidR="00440B2A" w:rsidRPr="00440B2A" w:rsidRDefault="00440B2A" w:rsidP="00440B2A">
            <w:pPr>
              <w:tabs>
                <w:tab w:val="left" w:pos="0"/>
              </w:tabs>
              <w:ind w:left="0" w:firstLine="0"/>
              <w:rPr>
                <w:rFonts w:eastAsia="Calibri"/>
                <w:bCs/>
                <w:szCs w:val="22"/>
              </w:rPr>
            </w:pPr>
            <w:r w:rsidRPr="00440B2A">
              <w:rPr>
                <w:rFonts w:eastAsia="Calibri"/>
                <w:bCs/>
                <w:szCs w:val="22"/>
              </w:rPr>
              <w:t xml:space="preserve">In this application, data is sent from one or more PMU devices to state estimator and security assessment applications in a control center. The state estimator determines all the voltages  and power flows in the grid. Security assessment determines the failure risks by applying various criteria to the state estimate. State estimation will initially use synchrophasor data to supplement traditional SCADA data for added functionality and improved performance since phasor measurements will initially be too sparse to fully support its requirements. Once sufficient measurements are available, state estimation can operate exclusively with phasor data. The general information flow is shown in </w:t>
            </w:r>
            <w:hyperlink w:anchor="_bookmark6" w:history="1">
              <w:r w:rsidRPr="00440B2A">
                <w:rPr>
                  <w:rFonts w:eastAsia="Calibri"/>
                  <w:bCs/>
                  <w:szCs w:val="22"/>
                </w:rPr>
                <w:t>Figure 5.</w:t>
              </w:r>
            </w:hyperlink>
          </w:p>
          <w:p w:rsidR="00440B2A" w:rsidRPr="00440B2A" w:rsidRDefault="00440B2A" w:rsidP="00440B2A">
            <w:pPr>
              <w:tabs>
                <w:tab w:val="left" w:pos="0"/>
              </w:tabs>
              <w:ind w:left="0" w:firstLine="0"/>
              <w:rPr>
                <w:rFonts w:eastAsia="Calibri"/>
                <w:bCs/>
                <w:szCs w:val="22"/>
              </w:rPr>
            </w:pPr>
          </w:p>
        </w:tc>
      </w:tr>
    </w:tbl>
    <w:p w:rsidR="00440B2A" w:rsidRDefault="00440B2A" w:rsidP="00453EF5">
      <w:pPr>
        <w:ind w:left="0" w:firstLine="0"/>
        <w:rPr>
          <w:b/>
          <w:lang w:val="en-US"/>
        </w:rPr>
      </w:pPr>
    </w:p>
    <w:p w:rsidR="00440B2A" w:rsidRDefault="00440B2A" w:rsidP="00453EF5">
      <w:pPr>
        <w:ind w:left="0" w:firstLine="0"/>
        <w:rPr>
          <w:b/>
          <w:lang w:val="en-US"/>
        </w:rPr>
      </w:pPr>
    </w:p>
    <w:p w:rsidR="00440B2A" w:rsidRDefault="00440B2A" w:rsidP="00453EF5">
      <w:pPr>
        <w:ind w:left="0" w:firstLine="0"/>
        <w:rPr>
          <w:b/>
          <w:lang w:val="en-US"/>
        </w:rPr>
      </w:pPr>
      <w:r>
        <w:rPr>
          <w:noProof/>
          <w:lang w:val="en-US"/>
        </w:rPr>
        <w:lastRenderedPageBreak/>
        <w:drawing>
          <wp:inline distT="0" distB="0" distL="0" distR="0" wp14:anchorId="3B65C02A" wp14:editId="761B4D3C">
            <wp:extent cx="5939790" cy="363728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637280"/>
                    </a:xfrm>
                    <a:prstGeom prst="rect">
                      <a:avLst/>
                    </a:prstGeom>
                  </pic:spPr>
                </pic:pic>
              </a:graphicData>
            </a:graphic>
          </wp:inline>
        </w:drawing>
      </w:r>
    </w:p>
    <w:p w:rsidR="00440B2A" w:rsidRDefault="00440B2A" w:rsidP="00440B2A">
      <w:pPr>
        <w:ind w:left="0" w:firstLine="0"/>
        <w:jc w:val="center"/>
        <w:rPr>
          <w:b/>
          <w:lang w:val="en-US"/>
        </w:rPr>
      </w:pPr>
      <w:r w:rsidRPr="00440B2A">
        <w:rPr>
          <w:b/>
          <w:lang w:val="en-US"/>
        </w:rPr>
        <w:t>5</w:t>
      </w:r>
      <w:r>
        <w:rPr>
          <w:b/>
        </w:rPr>
        <w:t>-р зураг</w:t>
      </w:r>
      <w:r w:rsidRPr="00440B2A">
        <w:rPr>
          <w:b/>
          <w:lang w:val="en-US"/>
        </w:rPr>
        <w:t xml:space="preserve"> – Төлөвийн тооцоололд ашиглах схем</w:t>
      </w:r>
    </w:p>
    <w:p w:rsidR="00440B2A" w:rsidRDefault="00440B2A" w:rsidP="00440B2A">
      <w:pPr>
        <w:ind w:left="0" w:firstLine="0"/>
        <w:jc w:val="center"/>
        <w:rPr>
          <w:b/>
          <w:lang w:val="en-US"/>
        </w:rPr>
      </w:pPr>
      <w:r>
        <w:rPr>
          <w:noProof/>
          <w:lang w:val="en-US"/>
        </w:rPr>
        <w:drawing>
          <wp:inline distT="0" distB="0" distL="0" distR="0" wp14:anchorId="30C97EDA" wp14:editId="3081AB63">
            <wp:extent cx="5939790" cy="35274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3527425"/>
                    </a:xfrm>
                    <a:prstGeom prst="rect">
                      <a:avLst/>
                    </a:prstGeom>
                  </pic:spPr>
                </pic:pic>
              </a:graphicData>
            </a:graphic>
          </wp:inline>
        </w:drawing>
      </w:r>
    </w:p>
    <w:p w:rsidR="00440B2A" w:rsidRDefault="00440B2A" w:rsidP="00440B2A">
      <w:pPr>
        <w:ind w:left="0" w:firstLine="0"/>
        <w:jc w:val="center"/>
        <w:rPr>
          <w:b/>
          <w:lang w:val="en-US"/>
        </w:rPr>
      </w:pPr>
      <w:r w:rsidRPr="00440B2A">
        <w:rPr>
          <w:b/>
          <w:lang w:val="en-US"/>
        </w:rPr>
        <w:t>Figure 5 – Use case diagram for state estimation</w:t>
      </w:r>
    </w:p>
    <w:p w:rsidR="00440B2A" w:rsidRDefault="00440B2A" w:rsidP="00440B2A">
      <w:pPr>
        <w:ind w:left="0" w:firstLine="0"/>
        <w:rPr>
          <w:b/>
          <w:lang w:val="en-US"/>
        </w:rPr>
      </w:pPr>
    </w:p>
    <w:p w:rsidR="00440B2A" w:rsidRPr="001C4C31" w:rsidRDefault="00440B2A" w:rsidP="00440B2A">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723"/>
        <w:gridCol w:w="5621"/>
      </w:tblGrid>
      <w:tr w:rsidR="00440B2A" w:rsidTr="00440B2A">
        <w:tc>
          <w:tcPr>
            <w:tcW w:w="3723" w:type="dxa"/>
          </w:tcPr>
          <w:p w:rsidR="00440B2A" w:rsidRPr="00EF2D2B" w:rsidRDefault="00440B2A"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5621" w:type="dxa"/>
          </w:tcPr>
          <w:p w:rsidR="00440B2A" w:rsidRPr="00EF2D2B" w:rsidRDefault="00440B2A" w:rsidP="00440B2A">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440B2A" w:rsidTr="00440B2A">
        <w:tc>
          <w:tcPr>
            <w:tcW w:w="3723"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PMU</w:t>
            </w:r>
          </w:p>
        </w:tc>
        <w:tc>
          <w:tcPr>
            <w:tcW w:w="5621"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Сонхрофазор ба давтамжийг тооцоолно</w:t>
            </w:r>
          </w:p>
        </w:tc>
      </w:tr>
      <w:tr w:rsidR="00440B2A" w:rsidTr="00440B2A">
        <w:tc>
          <w:tcPr>
            <w:tcW w:w="3723" w:type="dxa"/>
          </w:tcPr>
          <w:p w:rsidR="00440B2A" w:rsidRPr="00EF2D2B" w:rsidRDefault="00440B2A" w:rsidP="00440B2A">
            <w:pPr>
              <w:pStyle w:val="TableParagraph"/>
              <w:tabs>
                <w:tab w:val="left" w:pos="0"/>
              </w:tabs>
              <w:spacing w:before="58" w:line="276" w:lineRule="auto"/>
              <w:rPr>
                <w:sz w:val="20"/>
                <w:szCs w:val="20"/>
                <w:lang w:val="mn-MN"/>
              </w:rPr>
            </w:pPr>
            <w:r w:rsidRPr="00EF2D2B">
              <w:rPr>
                <w:sz w:val="20"/>
                <w:szCs w:val="20"/>
                <w:lang w:val="mn-MN"/>
              </w:rPr>
              <w:t>ssPDC</w:t>
            </w:r>
          </w:p>
        </w:tc>
        <w:tc>
          <w:tcPr>
            <w:tcW w:w="5621" w:type="dxa"/>
          </w:tcPr>
          <w:p w:rsidR="00440B2A" w:rsidRPr="00EF2D2B" w:rsidRDefault="00440B2A" w:rsidP="00440B2A">
            <w:pPr>
              <w:pStyle w:val="TableParagraph"/>
              <w:tabs>
                <w:tab w:val="left" w:pos="0"/>
              </w:tabs>
              <w:spacing w:line="276" w:lineRule="auto"/>
              <w:ind w:right="686"/>
              <w:rPr>
                <w:sz w:val="20"/>
                <w:szCs w:val="20"/>
                <w:lang w:val="mn-MN"/>
              </w:rPr>
            </w:pPr>
            <w:r w:rsidRPr="00731F96">
              <w:rPr>
                <w:sz w:val="20"/>
                <w:szCs w:val="20"/>
                <w:lang w:val="mn-MN"/>
              </w:rPr>
              <w:t>Дэд станцын фазор өгөгдлийн хуримтлуулагч</w:t>
            </w:r>
            <w:r w:rsidRPr="00EF2D2B">
              <w:rPr>
                <w:sz w:val="20"/>
                <w:szCs w:val="20"/>
                <w:lang w:val="mn-MN"/>
              </w:rPr>
              <w:t xml:space="preserve"> – дэд станц дахь хэд хэдэн PMU-ээс цуглуулдаг, тохируулдаг, сонгодог ба задалдаг.</w:t>
            </w:r>
          </w:p>
        </w:tc>
      </w:tr>
      <w:tr w:rsidR="00440B2A" w:rsidTr="00440B2A">
        <w:tc>
          <w:tcPr>
            <w:tcW w:w="3723"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lastRenderedPageBreak/>
              <w:t>PDC</w:t>
            </w:r>
          </w:p>
        </w:tc>
        <w:tc>
          <w:tcPr>
            <w:tcW w:w="5621" w:type="dxa"/>
          </w:tcPr>
          <w:p w:rsidR="00440B2A" w:rsidRPr="00EF2D2B" w:rsidRDefault="00440B2A" w:rsidP="00440B2A">
            <w:pPr>
              <w:pStyle w:val="TableParagraph"/>
              <w:tabs>
                <w:tab w:val="left" w:pos="0"/>
              </w:tabs>
              <w:spacing w:before="58" w:line="276" w:lineRule="auto"/>
              <w:ind w:right="206"/>
              <w:rPr>
                <w:sz w:val="20"/>
                <w:szCs w:val="20"/>
                <w:lang w:val="mn-MN"/>
              </w:rPr>
            </w:pPr>
            <w:r w:rsidRPr="00731F96">
              <w:rPr>
                <w:sz w:val="20"/>
                <w:szCs w:val="20"/>
                <w:lang w:val="mn-MN"/>
              </w:rPr>
              <w:t>фазор өгөгдлийн хуримтлуулагч – хэд хэдэн PMU буюу бусад PDC-ээс өгөгдлийг</w:t>
            </w:r>
            <w:r w:rsidRPr="00EF2D2B">
              <w:rPr>
                <w:sz w:val="20"/>
                <w:szCs w:val="20"/>
                <w:lang w:val="mn-MN"/>
              </w:rPr>
              <w:t xml:space="preserve"> цуглуулдаг, тохируулдаг, сонгодог ба задалдаг.</w:t>
            </w:r>
          </w:p>
        </w:tc>
      </w:tr>
      <w:tr w:rsidR="00440B2A" w:rsidTr="00440B2A">
        <w:tc>
          <w:tcPr>
            <w:tcW w:w="3723" w:type="dxa"/>
          </w:tcPr>
          <w:p w:rsidR="00440B2A" w:rsidRPr="00EF2D2B" w:rsidRDefault="00440B2A" w:rsidP="00440B2A">
            <w:pPr>
              <w:pStyle w:val="TableParagraph"/>
              <w:tabs>
                <w:tab w:val="left" w:pos="0"/>
              </w:tabs>
              <w:spacing w:before="58" w:line="276" w:lineRule="auto"/>
              <w:rPr>
                <w:sz w:val="20"/>
                <w:szCs w:val="20"/>
                <w:lang w:val="mn-MN"/>
              </w:rPr>
            </w:pPr>
            <w:r w:rsidRPr="00EF2D2B">
              <w:rPr>
                <w:sz w:val="20"/>
                <w:szCs w:val="20"/>
                <w:lang w:val="mn-MN"/>
              </w:rPr>
              <w:t>Хэрэглэгчийн аппликейшин</w:t>
            </w:r>
          </w:p>
        </w:tc>
        <w:tc>
          <w:tcPr>
            <w:tcW w:w="5621" w:type="dxa"/>
          </w:tcPr>
          <w:p w:rsidR="00440B2A" w:rsidRPr="00EF2D2B" w:rsidRDefault="00440B2A" w:rsidP="00440B2A">
            <w:pPr>
              <w:pStyle w:val="TableParagraph"/>
              <w:tabs>
                <w:tab w:val="left" w:pos="0"/>
              </w:tabs>
              <w:spacing w:line="276" w:lineRule="auto"/>
              <w:ind w:right="686"/>
              <w:rPr>
                <w:sz w:val="20"/>
                <w:szCs w:val="20"/>
                <w:lang w:val="mn-MN"/>
              </w:rPr>
            </w:pPr>
            <w:r w:rsidRPr="00731F96">
              <w:rPr>
                <w:sz w:val="20"/>
                <w:szCs w:val="20"/>
                <w:lang w:val="mn-MN"/>
              </w:rPr>
              <w:t>Төлөвийн PDC-ээс өгөгдөл хүлээн авах, SCADA-ийн хэмжилттэй нэгтгэх, тооцоо ба үнэлгээний функцүү</w:t>
            </w:r>
            <w:r w:rsidRPr="00EF2D2B">
              <w:rPr>
                <w:sz w:val="20"/>
                <w:szCs w:val="20"/>
                <w:lang w:val="mn-MN"/>
              </w:rPr>
              <w:t>дийг гүйцэтгэх</w:t>
            </w:r>
          </w:p>
        </w:tc>
      </w:tr>
    </w:tbl>
    <w:p w:rsidR="00440B2A" w:rsidRPr="001C4C31" w:rsidRDefault="00440B2A" w:rsidP="00440B2A">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486"/>
        <w:gridCol w:w="5858"/>
      </w:tblGrid>
      <w:tr w:rsidR="00440B2A" w:rsidTr="00440B2A">
        <w:tc>
          <w:tcPr>
            <w:tcW w:w="3486" w:type="dxa"/>
          </w:tcPr>
          <w:p w:rsidR="00440B2A" w:rsidRPr="00EF2D2B" w:rsidRDefault="00440B2A"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858" w:type="dxa"/>
          </w:tcPr>
          <w:p w:rsidR="00440B2A" w:rsidRPr="00EF2D2B" w:rsidRDefault="00440B2A" w:rsidP="00440B2A">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440B2A" w:rsidTr="00440B2A">
        <w:tc>
          <w:tcPr>
            <w:tcW w:w="3486"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PMU</w:t>
            </w:r>
          </w:p>
        </w:tc>
        <w:tc>
          <w:tcPr>
            <w:tcW w:w="5858"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Computes synchrophasor &amp; frequency</w:t>
            </w:r>
          </w:p>
        </w:tc>
      </w:tr>
      <w:tr w:rsidR="00440B2A" w:rsidTr="00440B2A">
        <w:tc>
          <w:tcPr>
            <w:tcW w:w="3486" w:type="dxa"/>
          </w:tcPr>
          <w:p w:rsidR="00440B2A" w:rsidRPr="00EF2D2B" w:rsidRDefault="00440B2A" w:rsidP="00440B2A">
            <w:pPr>
              <w:pStyle w:val="TableParagraph"/>
              <w:tabs>
                <w:tab w:val="left" w:pos="0"/>
              </w:tabs>
              <w:spacing w:before="58" w:line="276" w:lineRule="auto"/>
              <w:rPr>
                <w:sz w:val="20"/>
                <w:szCs w:val="20"/>
                <w:lang w:val="mn-MN"/>
              </w:rPr>
            </w:pPr>
            <w:r w:rsidRPr="00EF2D2B">
              <w:rPr>
                <w:sz w:val="20"/>
                <w:szCs w:val="20"/>
                <w:lang w:val="mn-MN"/>
              </w:rPr>
              <w:t>ssPDC</w:t>
            </w:r>
          </w:p>
        </w:tc>
        <w:tc>
          <w:tcPr>
            <w:tcW w:w="5858" w:type="dxa"/>
          </w:tcPr>
          <w:p w:rsidR="00440B2A" w:rsidRPr="00731F96" w:rsidRDefault="00440B2A" w:rsidP="00440B2A">
            <w:pPr>
              <w:pStyle w:val="TableParagraph"/>
              <w:tabs>
                <w:tab w:val="left" w:pos="0"/>
              </w:tabs>
              <w:spacing w:before="58" w:line="276" w:lineRule="auto"/>
              <w:ind w:right="748"/>
              <w:rPr>
                <w:sz w:val="20"/>
                <w:szCs w:val="20"/>
                <w:lang w:val="mn-MN"/>
              </w:rPr>
            </w:pPr>
            <w:r w:rsidRPr="00731F96">
              <w:rPr>
                <w:sz w:val="20"/>
                <w:szCs w:val="20"/>
                <w:lang w:val="mn-MN"/>
              </w:rPr>
              <w:t>Substation Phasor Data Concentrator – collects, aligns, selects &amp; possibly decimates data from several PMUs in the substation</w:t>
            </w:r>
          </w:p>
        </w:tc>
      </w:tr>
      <w:tr w:rsidR="00440B2A" w:rsidTr="00440B2A">
        <w:tc>
          <w:tcPr>
            <w:tcW w:w="3486"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PDC</w:t>
            </w:r>
          </w:p>
        </w:tc>
        <w:tc>
          <w:tcPr>
            <w:tcW w:w="5858" w:type="dxa"/>
          </w:tcPr>
          <w:p w:rsidR="00440B2A" w:rsidRPr="00731F96" w:rsidRDefault="00440B2A" w:rsidP="00440B2A">
            <w:pPr>
              <w:pStyle w:val="TableParagraph"/>
              <w:tabs>
                <w:tab w:val="left" w:pos="0"/>
              </w:tabs>
              <w:spacing w:line="276" w:lineRule="auto"/>
              <w:ind w:right="748"/>
              <w:rPr>
                <w:sz w:val="20"/>
                <w:szCs w:val="20"/>
                <w:lang w:val="mn-MN"/>
              </w:rPr>
            </w:pPr>
            <w:r w:rsidRPr="00731F96">
              <w:rPr>
                <w:sz w:val="20"/>
                <w:szCs w:val="20"/>
                <w:lang w:val="mn-MN"/>
              </w:rPr>
              <w:t>Phasor Data Concentrator – collects, aligns, selects &amp; possibly decimates data from several PMUs or other PDCs</w:t>
            </w:r>
          </w:p>
        </w:tc>
      </w:tr>
      <w:tr w:rsidR="00440B2A" w:rsidTr="00440B2A">
        <w:tc>
          <w:tcPr>
            <w:tcW w:w="3486" w:type="dxa"/>
          </w:tcPr>
          <w:p w:rsidR="00440B2A" w:rsidRPr="00EF2D2B" w:rsidRDefault="00440B2A" w:rsidP="00440B2A">
            <w:pPr>
              <w:pStyle w:val="TableParagraph"/>
              <w:tabs>
                <w:tab w:val="left" w:pos="0"/>
              </w:tabs>
              <w:spacing w:before="58" w:line="276" w:lineRule="auto"/>
              <w:rPr>
                <w:sz w:val="20"/>
                <w:szCs w:val="20"/>
                <w:lang w:val="mn-MN"/>
              </w:rPr>
            </w:pPr>
            <w:r w:rsidRPr="00EF2D2B">
              <w:rPr>
                <w:sz w:val="20"/>
                <w:szCs w:val="20"/>
                <w:lang w:val="mn-MN"/>
              </w:rPr>
              <w:t>User applications</w:t>
            </w:r>
          </w:p>
        </w:tc>
        <w:tc>
          <w:tcPr>
            <w:tcW w:w="5858" w:type="dxa"/>
          </w:tcPr>
          <w:p w:rsidR="00440B2A" w:rsidRPr="00731F96" w:rsidRDefault="00440B2A" w:rsidP="00440B2A">
            <w:pPr>
              <w:pStyle w:val="TableParagraph"/>
              <w:tabs>
                <w:tab w:val="left" w:pos="0"/>
              </w:tabs>
              <w:spacing w:before="58" w:line="276" w:lineRule="auto"/>
              <w:ind w:right="588"/>
              <w:rPr>
                <w:sz w:val="20"/>
                <w:szCs w:val="20"/>
                <w:lang w:val="mn-MN"/>
              </w:rPr>
            </w:pPr>
            <w:r w:rsidRPr="00731F96">
              <w:rPr>
                <w:sz w:val="20"/>
                <w:szCs w:val="20"/>
                <w:lang w:val="mn-MN"/>
              </w:rPr>
              <w:t>Receive data from the local PDC, merge with SCADA measurements &amp; perform estimation and assessment functions</w:t>
            </w:r>
          </w:p>
        </w:tc>
      </w:tr>
    </w:tbl>
    <w:p w:rsidR="00440B2A" w:rsidRDefault="00440B2A" w:rsidP="00440B2A">
      <w:pPr>
        <w:ind w:left="0" w:firstLine="0"/>
        <w:rPr>
          <w:b/>
          <w:lang w:val="en-US"/>
        </w:rPr>
      </w:pPr>
    </w:p>
    <w:p w:rsidR="00440B2A" w:rsidRDefault="00440B2A" w:rsidP="00440B2A">
      <w:pPr>
        <w:ind w:left="0" w:firstLine="0"/>
        <w:rPr>
          <w:b/>
          <w:lang w:val="en-US"/>
        </w:rPr>
      </w:pPr>
    </w:p>
    <w:p w:rsidR="00440B2A" w:rsidRDefault="00440B2A" w:rsidP="00440B2A">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539"/>
        <w:gridCol w:w="5805"/>
      </w:tblGrid>
      <w:tr w:rsidR="00440B2A" w:rsidRPr="00EF2D2B" w:rsidTr="00440B2A">
        <w:tc>
          <w:tcPr>
            <w:tcW w:w="3539" w:type="dxa"/>
          </w:tcPr>
          <w:p w:rsidR="00440B2A" w:rsidRPr="00EF2D2B" w:rsidRDefault="00440B2A"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805" w:type="dxa"/>
          </w:tcPr>
          <w:p w:rsidR="00440B2A" w:rsidRPr="00EF2D2B" w:rsidRDefault="00440B2A" w:rsidP="00440B2A">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440B2A" w:rsidRPr="00731F96" w:rsidTr="00440B2A">
        <w:tc>
          <w:tcPr>
            <w:tcW w:w="3539"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Өгөгдлийн түүвэр ба Фазор тооцоо</w:t>
            </w:r>
          </w:p>
        </w:tc>
        <w:tc>
          <w:tcPr>
            <w:tcW w:w="5805" w:type="dxa"/>
          </w:tcPr>
          <w:p w:rsidR="00440B2A" w:rsidRPr="00731F96" w:rsidRDefault="00440B2A" w:rsidP="00440B2A">
            <w:pPr>
              <w:pStyle w:val="TableParagraph"/>
              <w:tabs>
                <w:tab w:val="left" w:pos="0"/>
              </w:tabs>
              <w:spacing w:line="276" w:lineRule="auto"/>
              <w:ind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440B2A" w:rsidRPr="00731F96" w:rsidTr="00440B2A">
        <w:tc>
          <w:tcPr>
            <w:tcW w:w="3539"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Өгөгдөл илгээх</w:t>
            </w:r>
          </w:p>
        </w:tc>
        <w:tc>
          <w:tcPr>
            <w:tcW w:w="5805"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PMU нь өгөгдлийн тасралтгүй урсгалд синхрофазор ба давтамжийн утгыг илгээдэг</w:t>
            </w:r>
          </w:p>
        </w:tc>
      </w:tr>
      <w:tr w:rsidR="00440B2A" w:rsidRPr="00731F96" w:rsidTr="00440B2A">
        <w:tc>
          <w:tcPr>
            <w:tcW w:w="3539" w:type="dxa"/>
          </w:tcPr>
          <w:p w:rsidR="00440B2A" w:rsidRPr="00EF2D2B" w:rsidRDefault="00440B2A" w:rsidP="00440B2A">
            <w:pPr>
              <w:pStyle w:val="TableParagraph"/>
              <w:tabs>
                <w:tab w:val="left" w:pos="0"/>
              </w:tabs>
              <w:spacing w:before="58" w:line="276" w:lineRule="auto"/>
              <w:rPr>
                <w:sz w:val="20"/>
                <w:szCs w:val="20"/>
                <w:lang w:val="mn-MN"/>
              </w:rPr>
            </w:pPr>
            <w:r w:rsidRPr="00EF2D2B">
              <w:rPr>
                <w:sz w:val="20"/>
                <w:szCs w:val="20"/>
                <w:lang w:val="mn-MN"/>
              </w:rPr>
              <w:t>Өгөгдөл хүлээн авах/илгээх</w:t>
            </w:r>
          </w:p>
        </w:tc>
        <w:tc>
          <w:tcPr>
            <w:tcW w:w="5805" w:type="dxa"/>
          </w:tcPr>
          <w:p w:rsidR="00440B2A" w:rsidRPr="00731F96" w:rsidRDefault="00440B2A" w:rsidP="00440B2A">
            <w:pPr>
              <w:pStyle w:val="TableParagraph"/>
              <w:tabs>
                <w:tab w:val="left" w:pos="0"/>
              </w:tabs>
              <w:spacing w:before="58" w:line="276" w:lineRule="auto"/>
              <w:ind w:right="588"/>
              <w:rPr>
                <w:sz w:val="20"/>
                <w:szCs w:val="20"/>
                <w:lang w:val="mn-MN"/>
              </w:rPr>
            </w:pPr>
            <w:r w:rsidRPr="00731F96">
              <w:rPr>
                <w:sz w:val="20"/>
                <w:szCs w:val="20"/>
                <w:lang w:val="mn-MN"/>
              </w:rPr>
              <w:t>Хэрэв ssPDC байгаа бол өгөгдлийг дэд станцад хүлээн авч, бусад PMU-ийн өгөгдөлтэй нэгтгэж, очих газрын PDC руу дамжуулна</w:t>
            </w:r>
          </w:p>
        </w:tc>
      </w:tr>
      <w:tr w:rsidR="00440B2A" w:rsidRPr="00731F96" w:rsidTr="00440B2A">
        <w:tc>
          <w:tcPr>
            <w:tcW w:w="3539"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Өгөгдөл хүлээн авах</w:t>
            </w:r>
          </w:p>
        </w:tc>
        <w:tc>
          <w:tcPr>
            <w:tcW w:w="5805" w:type="dxa"/>
          </w:tcPr>
          <w:p w:rsidR="00440B2A" w:rsidRPr="00731F96" w:rsidRDefault="00440B2A" w:rsidP="00440B2A">
            <w:pPr>
              <w:pStyle w:val="TableParagraph"/>
              <w:tabs>
                <w:tab w:val="left" w:pos="0"/>
              </w:tabs>
              <w:spacing w:line="276" w:lineRule="auto"/>
              <w:ind w:right="309"/>
              <w:jc w:val="both"/>
              <w:rPr>
                <w:sz w:val="20"/>
                <w:szCs w:val="20"/>
                <w:lang w:val="mn-MN"/>
              </w:rPr>
            </w:pPr>
            <w:r w:rsidRPr="00731F96">
              <w:rPr>
                <w:sz w:val="20"/>
                <w:szCs w:val="20"/>
                <w:lang w:val="mn-MN"/>
              </w:rPr>
              <w:t>PDC нь PMU эсвэл ssPDC-ээс өгөгдлийг хүлээн авч, бусад хэмжих нэгжүүдийн өгөгдөлтэй нэгтгэж, төлөвийн тооцоолол ба аюулгүй байдлын үнэлгээний функцүүд рүү илгээдэг.</w:t>
            </w:r>
          </w:p>
        </w:tc>
      </w:tr>
      <w:tr w:rsidR="00440B2A" w:rsidRPr="00731F96" w:rsidTr="00440B2A">
        <w:tc>
          <w:tcPr>
            <w:tcW w:w="3539"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Төлөвийн тооцоолол</w:t>
            </w:r>
          </w:p>
        </w:tc>
        <w:tc>
          <w:tcPr>
            <w:tcW w:w="5805"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Төлөвийн тооцоолол нь төлөвийн тооцооллыг үүсгэхийн тулд синхрофазор болон SCADA-ийн өгөгдлийг нэгтгэдэг</w:t>
            </w:r>
          </w:p>
        </w:tc>
      </w:tr>
      <w:tr w:rsidR="00440B2A" w:rsidRPr="00731F96" w:rsidTr="00440B2A">
        <w:tc>
          <w:tcPr>
            <w:tcW w:w="3539"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Аюулгүй байдлын үнэлгээ</w:t>
            </w:r>
          </w:p>
        </w:tc>
        <w:tc>
          <w:tcPr>
            <w:tcW w:w="5805" w:type="dxa"/>
          </w:tcPr>
          <w:p w:rsidR="00440B2A" w:rsidRPr="00731F96" w:rsidRDefault="00440B2A" w:rsidP="00440B2A">
            <w:pPr>
              <w:pStyle w:val="TableParagraph"/>
              <w:tabs>
                <w:tab w:val="left" w:pos="0"/>
              </w:tabs>
              <w:spacing w:line="276" w:lineRule="auto"/>
              <w:ind w:right="588"/>
              <w:rPr>
                <w:sz w:val="20"/>
                <w:szCs w:val="20"/>
                <w:lang w:val="mn-MN"/>
              </w:rPr>
            </w:pPr>
            <w:r w:rsidRPr="00731F96">
              <w:rPr>
                <w:sz w:val="20"/>
                <w:szCs w:val="20"/>
                <w:lang w:val="mn-MN"/>
              </w:rPr>
              <w:t>Аюулгүй байдлын үнэлгээ нь үнэлгээний функцийг гүйцэтгэхийн тулд төлөвийн тооцоолол болон бусад өгөгдлийг ашигладаг</w:t>
            </w:r>
          </w:p>
        </w:tc>
      </w:tr>
    </w:tbl>
    <w:p w:rsidR="00440B2A" w:rsidRPr="00EF2D2B" w:rsidRDefault="00440B2A" w:rsidP="00440B2A">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440B2A" w:rsidRPr="00EF2D2B" w:rsidTr="00440B2A">
        <w:tc>
          <w:tcPr>
            <w:tcW w:w="3723" w:type="dxa"/>
          </w:tcPr>
          <w:p w:rsidR="00440B2A" w:rsidRPr="00EF2D2B" w:rsidRDefault="00440B2A" w:rsidP="00440B2A">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440B2A" w:rsidRPr="00EF2D2B" w:rsidRDefault="00440B2A" w:rsidP="00440B2A">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440B2A" w:rsidRPr="00EF2D2B" w:rsidTr="00440B2A">
        <w:tc>
          <w:tcPr>
            <w:tcW w:w="3723"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Data sampling &amp; phasor estimate</w:t>
            </w:r>
          </w:p>
        </w:tc>
        <w:tc>
          <w:tcPr>
            <w:tcW w:w="5621" w:type="dxa"/>
          </w:tcPr>
          <w:p w:rsidR="00440B2A" w:rsidRPr="00731F96" w:rsidRDefault="00440B2A" w:rsidP="00440B2A">
            <w:pPr>
              <w:pStyle w:val="TableParagraph"/>
              <w:tabs>
                <w:tab w:val="left" w:pos="0"/>
              </w:tabs>
              <w:spacing w:line="276" w:lineRule="auto"/>
              <w:ind w:right="588"/>
              <w:rPr>
                <w:sz w:val="20"/>
                <w:szCs w:val="20"/>
                <w:lang w:val="mn-MN"/>
              </w:rPr>
            </w:pPr>
            <w:r w:rsidRPr="00731F96">
              <w:rPr>
                <w:sz w:val="20"/>
                <w:szCs w:val="20"/>
                <w:lang w:val="mn-MN"/>
              </w:rPr>
              <w:t>PMU estimates synchrophasor and frequency values from voltages and currents</w:t>
            </w:r>
          </w:p>
        </w:tc>
      </w:tr>
      <w:tr w:rsidR="00440B2A" w:rsidRPr="00731F96" w:rsidTr="00440B2A">
        <w:tc>
          <w:tcPr>
            <w:tcW w:w="3723"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Data sending</w:t>
            </w:r>
          </w:p>
        </w:tc>
        <w:tc>
          <w:tcPr>
            <w:tcW w:w="5621" w:type="dxa"/>
          </w:tcPr>
          <w:p w:rsidR="00440B2A" w:rsidRPr="00731F96" w:rsidRDefault="00440B2A" w:rsidP="00440B2A">
            <w:pPr>
              <w:pStyle w:val="TableParagraph"/>
              <w:tabs>
                <w:tab w:val="left" w:pos="0"/>
              </w:tabs>
              <w:spacing w:line="276" w:lineRule="auto"/>
              <w:ind w:right="400"/>
              <w:rPr>
                <w:sz w:val="20"/>
                <w:szCs w:val="20"/>
                <w:lang w:val="mn-MN"/>
              </w:rPr>
            </w:pPr>
            <w:r>
              <w:rPr>
                <w:sz w:val="20"/>
                <w:szCs w:val="20"/>
                <w:lang w:val="mn-MN"/>
              </w:rPr>
              <w:t xml:space="preserve"> </w:t>
            </w:r>
            <w:r w:rsidRPr="00731F96">
              <w:rPr>
                <w:sz w:val="20"/>
                <w:szCs w:val="20"/>
                <w:lang w:val="mn-MN"/>
              </w:rPr>
              <w:t>PMU sends synchrophasor &amp; frequency values in continuous  data stream</w:t>
            </w:r>
          </w:p>
        </w:tc>
      </w:tr>
      <w:tr w:rsidR="00440B2A" w:rsidRPr="00731F96" w:rsidTr="00440B2A">
        <w:tc>
          <w:tcPr>
            <w:tcW w:w="3723" w:type="dxa"/>
          </w:tcPr>
          <w:p w:rsidR="00440B2A" w:rsidRPr="00EF2D2B" w:rsidRDefault="00440B2A" w:rsidP="00440B2A">
            <w:pPr>
              <w:pStyle w:val="TableParagraph"/>
              <w:tabs>
                <w:tab w:val="left" w:pos="0"/>
              </w:tabs>
              <w:spacing w:before="58" w:line="276" w:lineRule="auto"/>
              <w:rPr>
                <w:sz w:val="20"/>
                <w:szCs w:val="20"/>
                <w:lang w:val="mn-MN"/>
              </w:rPr>
            </w:pPr>
            <w:r w:rsidRPr="00EF2D2B">
              <w:rPr>
                <w:sz w:val="20"/>
                <w:szCs w:val="20"/>
                <w:lang w:val="mn-MN"/>
              </w:rPr>
              <w:t>Data receiving/sending</w:t>
            </w:r>
          </w:p>
        </w:tc>
        <w:tc>
          <w:tcPr>
            <w:tcW w:w="5621" w:type="dxa"/>
          </w:tcPr>
          <w:p w:rsidR="00440B2A" w:rsidRPr="00731F96" w:rsidRDefault="00440B2A" w:rsidP="00440B2A">
            <w:pPr>
              <w:pStyle w:val="TableParagraph"/>
              <w:tabs>
                <w:tab w:val="left" w:pos="0"/>
              </w:tabs>
              <w:spacing w:before="58" w:line="276" w:lineRule="auto"/>
              <w:ind w:right="588"/>
              <w:rPr>
                <w:sz w:val="20"/>
                <w:szCs w:val="20"/>
                <w:lang w:val="mn-MN"/>
              </w:rPr>
            </w:pPr>
            <w:r w:rsidRPr="00731F96">
              <w:rPr>
                <w:sz w:val="20"/>
                <w:szCs w:val="20"/>
                <w:lang w:val="mn-MN"/>
              </w:rPr>
              <w:t>If there is an ssPDC, the data is received in the substation, combined with data from other PMUs, and resent on to the destination PDC</w:t>
            </w:r>
          </w:p>
        </w:tc>
      </w:tr>
      <w:tr w:rsidR="00440B2A" w:rsidRPr="00731F96" w:rsidTr="00440B2A">
        <w:tc>
          <w:tcPr>
            <w:tcW w:w="3723"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lastRenderedPageBreak/>
              <w:t>Data receiving</w:t>
            </w:r>
          </w:p>
        </w:tc>
        <w:tc>
          <w:tcPr>
            <w:tcW w:w="5621" w:type="dxa"/>
          </w:tcPr>
          <w:p w:rsidR="00440B2A" w:rsidRPr="00731F96" w:rsidRDefault="00440B2A" w:rsidP="00440B2A">
            <w:pPr>
              <w:pStyle w:val="TableParagraph"/>
              <w:tabs>
                <w:tab w:val="left" w:pos="0"/>
              </w:tabs>
              <w:spacing w:line="276" w:lineRule="auto"/>
              <w:ind w:right="309"/>
              <w:jc w:val="both"/>
              <w:rPr>
                <w:sz w:val="20"/>
                <w:szCs w:val="20"/>
                <w:lang w:val="mn-MN"/>
              </w:rPr>
            </w:pPr>
            <w:r w:rsidRPr="00731F96">
              <w:rPr>
                <w:sz w:val="20"/>
                <w:szCs w:val="20"/>
                <w:lang w:val="mn-MN"/>
              </w:rPr>
              <w:t>PDC receives data from PMU or ssPDC, combines with data from other measuring units, and sends to state estimator and security assessment functions</w:t>
            </w:r>
          </w:p>
        </w:tc>
      </w:tr>
      <w:tr w:rsidR="00440B2A" w:rsidRPr="00731F96" w:rsidTr="00440B2A">
        <w:tc>
          <w:tcPr>
            <w:tcW w:w="3723"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State estimation</w:t>
            </w:r>
          </w:p>
        </w:tc>
        <w:tc>
          <w:tcPr>
            <w:tcW w:w="5621"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State estimator combines synchrophasor and SCADA data to create a state estimate</w:t>
            </w:r>
          </w:p>
        </w:tc>
      </w:tr>
      <w:tr w:rsidR="00440B2A" w:rsidRPr="00731F96" w:rsidTr="00440B2A">
        <w:tc>
          <w:tcPr>
            <w:tcW w:w="3723"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Security assessment</w:t>
            </w:r>
          </w:p>
        </w:tc>
        <w:tc>
          <w:tcPr>
            <w:tcW w:w="5621" w:type="dxa"/>
          </w:tcPr>
          <w:p w:rsidR="00440B2A" w:rsidRPr="00731F96" w:rsidRDefault="00440B2A" w:rsidP="00440B2A">
            <w:pPr>
              <w:pStyle w:val="TableParagraph"/>
              <w:tabs>
                <w:tab w:val="left" w:pos="0"/>
              </w:tabs>
              <w:spacing w:line="276" w:lineRule="auto"/>
              <w:ind w:right="588"/>
              <w:rPr>
                <w:sz w:val="20"/>
                <w:szCs w:val="20"/>
                <w:lang w:val="mn-MN"/>
              </w:rPr>
            </w:pPr>
            <w:r w:rsidRPr="00731F96">
              <w:rPr>
                <w:sz w:val="20"/>
                <w:szCs w:val="20"/>
                <w:lang w:val="mn-MN"/>
              </w:rPr>
              <w:t>Security assessment uses state estimate and other data as required to perform assessment function</w:t>
            </w:r>
          </w:p>
        </w:tc>
      </w:tr>
    </w:tbl>
    <w:p w:rsidR="00440B2A" w:rsidRPr="00EF2D2B" w:rsidRDefault="00440B2A" w:rsidP="00440B2A">
      <w:pPr>
        <w:tabs>
          <w:tab w:val="left" w:pos="0"/>
        </w:tabs>
        <w:spacing w:before="93"/>
        <w:rPr>
          <w:b/>
        </w:rPr>
      </w:pPr>
    </w:p>
    <w:p w:rsidR="00440B2A" w:rsidRPr="00731F96" w:rsidRDefault="00440B2A" w:rsidP="00440B2A">
      <w:pPr>
        <w:tabs>
          <w:tab w:val="left" w:pos="0"/>
        </w:tabs>
        <w:spacing w:before="93"/>
        <w:ind w:left="0" w:firstLine="0"/>
        <w:rPr>
          <w:b/>
        </w:rPr>
      </w:pPr>
      <w:r w:rsidRPr="00731F96">
        <w:rPr>
          <w:b/>
        </w:rPr>
        <w:t>Үндсэн</w:t>
      </w:r>
      <w:r>
        <w:rPr>
          <w:b/>
        </w:rPr>
        <w:t xml:space="preserve"> урсгал:</w:t>
      </w:r>
    </w:p>
    <w:p w:rsidR="00440B2A" w:rsidRPr="00453EF5" w:rsidRDefault="00440B2A" w:rsidP="00440B2A">
      <w:pPr>
        <w:tabs>
          <w:tab w:val="left" w:pos="0"/>
        </w:tabs>
        <w:spacing w:before="93"/>
        <w:ind w:left="0" w:firstLine="0"/>
      </w:pPr>
      <w:r w:rsidRPr="00453EF5">
        <w:t>Өгөгдөл үүсгэх ба илгээх</w:t>
      </w:r>
    </w:p>
    <w:tbl>
      <w:tblPr>
        <w:tblStyle w:val="TableGrid"/>
        <w:tblW w:w="0" w:type="auto"/>
        <w:tblLook w:val="04A0" w:firstRow="1" w:lastRow="0" w:firstColumn="1" w:lastColumn="0" w:noHBand="0" w:noVBand="1"/>
      </w:tblPr>
      <w:tblGrid>
        <w:gridCol w:w="1696"/>
        <w:gridCol w:w="7648"/>
      </w:tblGrid>
      <w:tr w:rsidR="00440B2A" w:rsidRPr="00EF2D2B" w:rsidTr="00440B2A">
        <w:tc>
          <w:tcPr>
            <w:tcW w:w="1696" w:type="dxa"/>
          </w:tcPr>
          <w:p w:rsidR="00440B2A" w:rsidRPr="00EF2D2B" w:rsidRDefault="00440B2A" w:rsidP="00440B2A">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440B2A" w:rsidRPr="00731F96" w:rsidRDefault="00440B2A" w:rsidP="00440B2A">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440B2A" w:rsidRPr="00731F96" w:rsidTr="00440B2A">
        <w:tc>
          <w:tcPr>
            <w:tcW w:w="1696"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1</w:t>
            </w:r>
          </w:p>
        </w:tc>
        <w:tc>
          <w:tcPr>
            <w:tcW w:w="7648"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PMU нь V ба I –ээс синхрофазор ба системийн давтамжийг тооцоолдог</w:t>
            </w:r>
          </w:p>
        </w:tc>
      </w:tr>
      <w:tr w:rsidR="00440B2A" w:rsidRPr="00731F96" w:rsidTr="00440B2A">
        <w:tc>
          <w:tcPr>
            <w:tcW w:w="1696"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2</w:t>
            </w:r>
          </w:p>
        </w:tc>
        <w:tc>
          <w:tcPr>
            <w:tcW w:w="7648"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PMU нь өгөгдсөн гаралтын хурдаар фазууд болон давтамжийг сонгоно</w:t>
            </w:r>
          </w:p>
        </w:tc>
      </w:tr>
      <w:tr w:rsidR="00440B2A" w:rsidRPr="00731F96" w:rsidTr="00440B2A">
        <w:tc>
          <w:tcPr>
            <w:tcW w:w="1696"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3</w:t>
            </w:r>
          </w:p>
        </w:tc>
        <w:tc>
          <w:tcPr>
            <w:tcW w:w="7648"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PMU нь тохирох төлөв, цаг хугацааны тэмдэг бүхий өгөгдлийг багцалдаг</w:t>
            </w:r>
          </w:p>
        </w:tc>
      </w:tr>
      <w:tr w:rsidR="00440B2A" w:rsidRPr="00731F96" w:rsidTr="00440B2A">
        <w:tc>
          <w:tcPr>
            <w:tcW w:w="1696" w:type="dxa"/>
          </w:tcPr>
          <w:p w:rsidR="00440B2A" w:rsidRPr="00EF2D2B" w:rsidRDefault="00440B2A" w:rsidP="00440B2A">
            <w:pPr>
              <w:pStyle w:val="TableParagraph"/>
              <w:tabs>
                <w:tab w:val="left" w:pos="0"/>
              </w:tabs>
              <w:spacing w:before="58" w:line="276" w:lineRule="auto"/>
              <w:rPr>
                <w:sz w:val="20"/>
                <w:szCs w:val="20"/>
                <w:lang w:val="mn-MN"/>
              </w:rPr>
            </w:pPr>
            <w:r w:rsidRPr="00EF2D2B">
              <w:rPr>
                <w:sz w:val="20"/>
                <w:szCs w:val="20"/>
                <w:lang w:val="mn-MN"/>
              </w:rPr>
              <w:t>Алхам 4</w:t>
            </w:r>
          </w:p>
        </w:tc>
        <w:tc>
          <w:tcPr>
            <w:tcW w:w="7648"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PMU нь өгөгдлийг ssPDC эсвэл PDC руу илгээдэг</w:t>
            </w:r>
          </w:p>
        </w:tc>
      </w:tr>
    </w:tbl>
    <w:p w:rsidR="00440B2A" w:rsidRPr="00731F96" w:rsidRDefault="00440B2A" w:rsidP="00440B2A">
      <w:pPr>
        <w:tabs>
          <w:tab w:val="left" w:pos="0"/>
        </w:tabs>
        <w:spacing w:before="93"/>
        <w:ind w:left="0" w:firstLine="0"/>
        <w:rPr>
          <w:b/>
        </w:rPr>
      </w:pPr>
      <w:r>
        <w:rPr>
          <w:b/>
        </w:rPr>
        <w:t>Basic flow:</w:t>
      </w:r>
    </w:p>
    <w:p w:rsidR="00440B2A" w:rsidRPr="00453EF5" w:rsidRDefault="00440B2A" w:rsidP="00440B2A">
      <w:pPr>
        <w:tabs>
          <w:tab w:val="left" w:pos="0"/>
        </w:tabs>
        <w:spacing w:before="93"/>
        <w:ind w:left="0" w:firstLine="0"/>
      </w:pPr>
      <w:r w:rsidRPr="00453EF5">
        <w:t>Data origination &amp; sending</w:t>
      </w:r>
    </w:p>
    <w:tbl>
      <w:tblPr>
        <w:tblStyle w:val="TableGrid"/>
        <w:tblW w:w="0" w:type="auto"/>
        <w:tblLook w:val="04A0" w:firstRow="1" w:lastRow="0" w:firstColumn="1" w:lastColumn="0" w:noHBand="0" w:noVBand="1"/>
      </w:tblPr>
      <w:tblGrid>
        <w:gridCol w:w="1980"/>
        <w:gridCol w:w="7364"/>
      </w:tblGrid>
      <w:tr w:rsidR="00440B2A" w:rsidRPr="00731F96" w:rsidTr="00440B2A">
        <w:tc>
          <w:tcPr>
            <w:tcW w:w="1980" w:type="dxa"/>
          </w:tcPr>
          <w:p w:rsidR="00440B2A" w:rsidRPr="00EF2D2B" w:rsidRDefault="00440B2A" w:rsidP="00440B2A">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440B2A" w:rsidRPr="00EF2D2B" w:rsidRDefault="00440B2A" w:rsidP="00440B2A">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440B2A" w:rsidRPr="00731F96" w:rsidTr="00440B2A">
        <w:tc>
          <w:tcPr>
            <w:tcW w:w="19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Step 1</w:t>
            </w:r>
          </w:p>
        </w:tc>
        <w:tc>
          <w:tcPr>
            <w:tcW w:w="7364"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PMU computes V &amp; I synchrophasors &amp; system frequency</w:t>
            </w:r>
          </w:p>
        </w:tc>
      </w:tr>
      <w:tr w:rsidR="00440B2A" w:rsidRPr="00731F96" w:rsidTr="00440B2A">
        <w:tc>
          <w:tcPr>
            <w:tcW w:w="19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Step 2</w:t>
            </w:r>
          </w:p>
        </w:tc>
        <w:tc>
          <w:tcPr>
            <w:tcW w:w="7364"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PMU selects phasors and frequency at given output rate</w:t>
            </w:r>
          </w:p>
        </w:tc>
      </w:tr>
      <w:tr w:rsidR="00440B2A" w:rsidRPr="00731F96" w:rsidTr="00440B2A">
        <w:tc>
          <w:tcPr>
            <w:tcW w:w="19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Step 3</w:t>
            </w:r>
          </w:p>
        </w:tc>
        <w:tc>
          <w:tcPr>
            <w:tcW w:w="7364"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PMU packages data with appropriate status and time stamp</w:t>
            </w:r>
          </w:p>
        </w:tc>
      </w:tr>
      <w:tr w:rsidR="00440B2A" w:rsidRPr="00731F96" w:rsidTr="00440B2A">
        <w:tc>
          <w:tcPr>
            <w:tcW w:w="1980" w:type="dxa"/>
          </w:tcPr>
          <w:p w:rsidR="00440B2A" w:rsidRPr="00EF2D2B" w:rsidRDefault="00440B2A" w:rsidP="00440B2A">
            <w:pPr>
              <w:pStyle w:val="TableParagraph"/>
              <w:tabs>
                <w:tab w:val="left" w:pos="0"/>
              </w:tabs>
              <w:spacing w:before="58" w:line="276" w:lineRule="auto"/>
              <w:rPr>
                <w:sz w:val="20"/>
                <w:szCs w:val="20"/>
                <w:lang w:val="mn-MN"/>
              </w:rPr>
            </w:pPr>
            <w:r w:rsidRPr="00EF2D2B">
              <w:rPr>
                <w:sz w:val="20"/>
                <w:szCs w:val="20"/>
                <w:lang w:val="mn-MN"/>
              </w:rPr>
              <w:t>Step 4</w:t>
            </w:r>
          </w:p>
        </w:tc>
        <w:tc>
          <w:tcPr>
            <w:tcW w:w="7364" w:type="dxa"/>
          </w:tcPr>
          <w:p w:rsidR="00440B2A" w:rsidRPr="00731F96" w:rsidRDefault="00440B2A" w:rsidP="00440B2A">
            <w:pPr>
              <w:pStyle w:val="TableParagraph"/>
              <w:tabs>
                <w:tab w:val="left" w:pos="0"/>
              </w:tabs>
              <w:spacing w:before="58" w:line="276" w:lineRule="auto"/>
              <w:rPr>
                <w:sz w:val="20"/>
                <w:szCs w:val="20"/>
                <w:lang w:val="mn-MN"/>
              </w:rPr>
            </w:pPr>
            <w:r w:rsidRPr="00731F96">
              <w:rPr>
                <w:sz w:val="20"/>
                <w:szCs w:val="20"/>
                <w:lang w:val="mn-MN"/>
              </w:rPr>
              <w:t>PMU sends data to the ssPDC or PDC</w:t>
            </w:r>
          </w:p>
        </w:tc>
      </w:tr>
    </w:tbl>
    <w:p w:rsidR="00440B2A" w:rsidRDefault="00440B2A" w:rsidP="00440B2A">
      <w:pPr>
        <w:spacing w:after="0" w:line="240" w:lineRule="auto"/>
        <w:ind w:left="0" w:firstLine="0"/>
        <w:rPr>
          <w:b/>
          <w:bCs/>
          <w:color w:val="000000"/>
          <w:shd w:val="clear" w:color="auto" w:fill="FFFFFF"/>
          <w:lang w:val="en-US"/>
        </w:rPr>
      </w:pPr>
    </w:p>
    <w:p w:rsidR="00440B2A" w:rsidRPr="00EF2D2B" w:rsidRDefault="00440B2A" w:rsidP="00440B2A">
      <w:pPr>
        <w:widowControl w:val="0"/>
        <w:tabs>
          <w:tab w:val="left" w:pos="0"/>
          <w:tab w:val="left" w:pos="1524"/>
          <w:tab w:val="right" w:leader="dot" w:pos="9618"/>
        </w:tabs>
        <w:autoSpaceDE w:val="0"/>
        <w:autoSpaceDN w:val="0"/>
        <w:spacing w:before="60" w:after="0"/>
        <w:ind w:left="0" w:firstLine="0"/>
      </w:pPr>
      <w:r w:rsidRPr="00EF2D2B">
        <w:t>Завсрын өгөгдөл хүлээн авах (сэлгэх арга)</w:t>
      </w:r>
    </w:p>
    <w:tbl>
      <w:tblPr>
        <w:tblStyle w:val="TableGrid"/>
        <w:tblW w:w="0" w:type="auto"/>
        <w:tblLook w:val="04A0" w:firstRow="1" w:lastRow="0" w:firstColumn="1" w:lastColumn="0" w:noHBand="0" w:noVBand="1"/>
      </w:tblPr>
      <w:tblGrid>
        <w:gridCol w:w="1880"/>
        <w:gridCol w:w="7464"/>
      </w:tblGrid>
      <w:tr w:rsidR="00440B2A" w:rsidRPr="00EF2D2B" w:rsidTr="00440B2A">
        <w:tc>
          <w:tcPr>
            <w:tcW w:w="1880" w:type="dxa"/>
          </w:tcPr>
          <w:p w:rsidR="00440B2A" w:rsidRPr="00EF2D2B" w:rsidRDefault="00440B2A" w:rsidP="00440B2A">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440B2A" w:rsidRPr="00731F96" w:rsidRDefault="00440B2A" w:rsidP="00440B2A">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PDC нь синхрофазор өгөгдлийг хүлээн авах</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PDC нь гаралтын өгөгдлийг харьцуулах ба сонгох</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ssPDC нь гаралтын өгөгдлийг PDC руу илгээх</w:t>
            </w:r>
          </w:p>
        </w:tc>
      </w:tr>
    </w:tbl>
    <w:p w:rsidR="00440B2A" w:rsidRPr="00EF2D2B" w:rsidRDefault="00440B2A" w:rsidP="00440B2A">
      <w:pPr>
        <w:widowControl w:val="0"/>
        <w:tabs>
          <w:tab w:val="left" w:pos="0"/>
          <w:tab w:val="left" w:pos="1524"/>
          <w:tab w:val="right" w:leader="dot" w:pos="9618"/>
        </w:tabs>
        <w:autoSpaceDE w:val="0"/>
        <w:autoSpaceDN w:val="0"/>
        <w:spacing w:before="60" w:after="0"/>
        <w:ind w:left="0" w:firstLine="0"/>
      </w:pPr>
      <w:r w:rsidRPr="00EF2D2B">
        <w:t>Data receiving intermediate (alternate path)</w:t>
      </w:r>
    </w:p>
    <w:tbl>
      <w:tblPr>
        <w:tblStyle w:val="TableGrid"/>
        <w:tblW w:w="0" w:type="auto"/>
        <w:tblLook w:val="04A0" w:firstRow="1" w:lastRow="0" w:firstColumn="1" w:lastColumn="0" w:noHBand="0" w:noVBand="1"/>
      </w:tblPr>
      <w:tblGrid>
        <w:gridCol w:w="1880"/>
        <w:gridCol w:w="7464"/>
      </w:tblGrid>
      <w:tr w:rsidR="00440B2A" w:rsidRPr="00731F96" w:rsidTr="00440B2A">
        <w:tc>
          <w:tcPr>
            <w:tcW w:w="1880" w:type="dxa"/>
          </w:tcPr>
          <w:p w:rsidR="00440B2A" w:rsidRPr="00EF2D2B" w:rsidRDefault="00440B2A" w:rsidP="00440B2A">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440B2A" w:rsidRPr="00EF2D2B" w:rsidRDefault="00440B2A" w:rsidP="00440B2A">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ssPDC receives synchrophasor data</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ssPDC correlates and selects output data</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440B2A" w:rsidRPr="00731F96" w:rsidRDefault="00440B2A" w:rsidP="00440B2A">
            <w:pPr>
              <w:pStyle w:val="TableParagraph"/>
              <w:tabs>
                <w:tab w:val="left" w:pos="0"/>
              </w:tabs>
              <w:spacing w:line="276" w:lineRule="auto"/>
              <w:rPr>
                <w:sz w:val="20"/>
                <w:szCs w:val="20"/>
                <w:lang w:val="mn-MN"/>
              </w:rPr>
            </w:pPr>
            <w:r w:rsidRPr="00731F96">
              <w:rPr>
                <w:sz w:val="20"/>
                <w:szCs w:val="20"/>
                <w:lang w:val="mn-MN"/>
              </w:rPr>
              <w:t>ssPDC resends output data to PDC</w:t>
            </w:r>
          </w:p>
        </w:tc>
      </w:tr>
    </w:tbl>
    <w:p w:rsidR="00440B2A" w:rsidRDefault="00440B2A" w:rsidP="00440B2A">
      <w:pPr>
        <w:ind w:left="0" w:firstLine="0"/>
        <w:rPr>
          <w:b/>
          <w:lang w:val="en-US"/>
        </w:rPr>
      </w:pPr>
    </w:p>
    <w:p w:rsidR="00440B2A" w:rsidRPr="00EF2D2B" w:rsidRDefault="00440B2A" w:rsidP="00440B2A">
      <w:pPr>
        <w:widowControl w:val="0"/>
        <w:tabs>
          <w:tab w:val="left" w:pos="0"/>
          <w:tab w:val="left" w:pos="1524"/>
          <w:tab w:val="right" w:leader="dot" w:pos="9618"/>
        </w:tabs>
        <w:autoSpaceDE w:val="0"/>
        <w:autoSpaceDN w:val="0"/>
        <w:spacing w:before="60" w:after="0"/>
        <w:ind w:left="0" w:firstLine="0"/>
      </w:pPr>
      <w:r w:rsidRPr="00EF2D2B">
        <w:t>Өгөгдөл хүлээн авах</w:t>
      </w:r>
    </w:p>
    <w:tbl>
      <w:tblPr>
        <w:tblStyle w:val="TableGrid"/>
        <w:tblW w:w="0" w:type="auto"/>
        <w:tblLook w:val="04A0" w:firstRow="1" w:lastRow="0" w:firstColumn="1" w:lastColumn="0" w:noHBand="0" w:noVBand="1"/>
      </w:tblPr>
      <w:tblGrid>
        <w:gridCol w:w="1880"/>
        <w:gridCol w:w="7464"/>
      </w:tblGrid>
      <w:tr w:rsidR="00440B2A" w:rsidRPr="00EF2D2B" w:rsidTr="00440B2A">
        <w:tc>
          <w:tcPr>
            <w:tcW w:w="1880" w:type="dxa"/>
          </w:tcPr>
          <w:p w:rsidR="00440B2A" w:rsidRPr="00EF2D2B" w:rsidRDefault="00440B2A" w:rsidP="00440B2A">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440B2A" w:rsidRPr="00731F96" w:rsidRDefault="00440B2A" w:rsidP="00440B2A">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PDC нь синхрофазор өгөгдлийг хүлээн авдаг</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PDC нь гаралтын өгөгдлийг харьцуулах ба сонгох</w:t>
            </w:r>
          </w:p>
        </w:tc>
      </w:tr>
      <w:tr w:rsidR="00440B2A" w:rsidRPr="00731F96" w:rsidTr="00440B2A">
        <w:tc>
          <w:tcPr>
            <w:tcW w:w="1880"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440B2A" w:rsidRPr="00EF2D2B" w:rsidRDefault="00440B2A" w:rsidP="00440B2A">
            <w:pPr>
              <w:pStyle w:val="TableParagraph"/>
              <w:tabs>
                <w:tab w:val="left" w:pos="0"/>
              </w:tabs>
              <w:spacing w:line="276" w:lineRule="auto"/>
              <w:rPr>
                <w:sz w:val="20"/>
                <w:szCs w:val="20"/>
                <w:lang w:val="mn-MN"/>
              </w:rPr>
            </w:pPr>
            <w:r w:rsidRPr="00EF2D2B">
              <w:rPr>
                <w:sz w:val="20"/>
                <w:szCs w:val="20"/>
                <w:lang w:val="mn-MN"/>
              </w:rPr>
              <w:t>PDC нь гаралтын өгөгдлийг аппликейшнууд руу илгээх</w:t>
            </w:r>
          </w:p>
        </w:tc>
      </w:tr>
    </w:tbl>
    <w:p w:rsidR="00011591" w:rsidRPr="00EF2D2B" w:rsidRDefault="00011591" w:rsidP="00011591">
      <w:pPr>
        <w:widowControl w:val="0"/>
        <w:tabs>
          <w:tab w:val="left" w:pos="0"/>
          <w:tab w:val="left" w:pos="1524"/>
          <w:tab w:val="right" w:leader="dot" w:pos="9618"/>
        </w:tabs>
        <w:autoSpaceDE w:val="0"/>
        <w:autoSpaceDN w:val="0"/>
        <w:spacing w:before="60" w:after="0"/>
        <w:ind w:left="0" w:firstLine="0"/>
      </w:pPr>
      <w:r w:rsidRPr="00EF2D2B">
        <w:t>Data receiving</w:t>
      </w:r>
    </w:p>
    <w:tbl>
      <w:tblPr>
        <w:tblStyle w:val="TableGrid"/>
        <w:tblW w:w="0" w:type="auto"/>
        <w:tblLook w:val="04A0" w:firstRow="1" w:lastRow="0" w:firstColumn="1" w:lastColumn="0" w:noHBand="0" w:noVBand="1"/>
      </w:tblPr>
      <w:tblGrid>
        <w:gridCol w:w="1880"/>
        <w:gridCol w:w="7464"/>
      </w:tblGrid>
      <w:tr w:rsidR="00440B2A" w:rsidRPr="00731F96" w:rsidTr="00440B2A">
        <w:tc>
          <w:tcPr>
            <w:tcW w:w="1880" w:type="dxa"/>
          </w:tcPr>
          <w:p w:rsidR="00440B2A" w:rsidRPr="00EF2D2B" w:rsidRDefault="00440B2A" w:rsidP="00440B2A">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440B2A" w:rsidRPr="00EF2D2B" w:rsidRDefault="00440B2A" w:rsidP="00440B2A">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011591" w:rsidRPr="00731F96" w:rsidTr="00440B2A">
        <w:tc>
          <w:tcPr>
            <w:tcW w:w="1880" w:type="dxa"/>
          </w:tcPr>
          <w:p w:rsidR="00011591" w:rsidRPr="00EF2D2B" w:rsidRDefault="00011591" w:rsidP="00011591">
            <w:pPr>
              <w:pStyle w:val="TableParagraph"/>
              <w:tabs>
                <w:tab w:val="left" w:pos="0"/>
              </w:tabs>
              <w:spacing w:before="58" w:line="276" w:lineRule="auto"/>
              <w:rPr>
                <w:sz w:val="20"/>
                <w:szCs w:val="20"/>
                <w:lang w:val="mn-MN"/>
              </w:rPr>
            </w:pPr>
            <w:r w:rsidRPr="00EF2D2B">
              <w:rPr>
                <w:sz w:val="20"/>
                <w:szCs w:val="20"/>
                <w:lang w:val="mn-MN"/>
              </w:rPr>
              <w:t>Step 1</w:t>
            </w:r>
          </w:p>
        </w:tc>
        <w:tc>
          <w:tcPr>
            <w:tcW w:w="7464" w:type="dxa"/>
          </w:tcPr>
          <w:p w:rsidR="00011591" w:rsidRPr="00731F96" w:rsidRDefault="00011591" w:rsidP="00011591">
            <w:pPr>
              <w:pStyle w:val="TableParagraph"/>
              <w:tabs>
                <w:tab w:val="left" w:pos="0"/>
              </w:tabs>
              <w:spacing w:before="58" w:line="276" w:lineRule="auto"/>
              <w:rPr>
                <w:sz w:val="20"/>
                <w:szCs w:val="20"/>
                <w:lang w:val="mn-MN"/>
              </w:rPr>
            </w:pPr>
            <w:r w:rsidRPr="00731F96">
              <w:rPr>
                <w:sz w:val="20"/>
                <w:szCs w:val="20"/>
                <w:lang w:val="mn-MN"/>
              </w:rPr>
              <w:t>PDC receives synchrophasor data</w:t>
            </w:r>
          </w:p>
        </w:tc>
      </w:tr>
      <w:tr w:rsidR="00011591" w:rsidRPr="00731F96" w:rsidTr="00440B2A">
        <w:tc>
          <w:tcPr>
            <w:tcW w:w="1880"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lastRenderedPageBreak/>
              <w:t>Step 2</w:t>
            </w:r>
          </w:p>
        </w:tc>
        <w:tc>
          <w:tcPr>
            <w:tcW w:w="7464"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PDC correlates and selects output data</w:t>
            </w:r>
          </w:p>
        </w:tc>
      </w:tr>
      <w:tr w:rsidR="00011591" w:rsidRPr="00731F96" w:rsidTr="00440B2A">
        <w:tc>
          <w:tcPr>
            <w:tcW w:w="1880"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PDC resends output data to applications</w:t>
            </w:r>
          </w:p>
        </w:tc>
      </w:tr>
    </w:tbl>
    <w:p w:rsidR="00011591" w:rsidRDefault="00011591" w:rsidP="00011591">
      <w:pPr>
        <w:ind w:left="0" w:firstLine="0"/>
        <w:rPr>
          <w:b/>
          <w:lang w:val="en-US"/>
        </w:rPr>
      </w:pPr>
    </w:p>
    <w:p w:rsidR="00011591" w:rsidRPr="00EF2D2B" w:rsidRDefault="00011591" w:rsidP="00011591">
      <w:pPr>
        <w:widowControl w:val="0"/>
        <w:tabs>
          <w:tab w:val="left" w:pos="0"/>
          <w:tab w:val="left" w:pos="1524"/>
          <w:tab w:val="right" w:leader="dot" w:pos="9618"/>
        </w:tabs>
        <w:autoSpaceDE w:val="0"/>
        <w:autoSpaceDN w:val="0"/>
        <w:spacing w:before="60" w:after="0"/>
        <w:ind w:left="0" w:firstLine="0"/>
      </w:pPr>
      <w:r w:rsidRPr="00EF2D2B">
        <w:t>Аппликейшин нь өгөгдөл, дохиоллын операторуудыг боловсруулах</w:t>
      </w:r>
    </w:p>
    <w:tbl>
      <w:tblPr>
        <w:tblStyle w:val="TableGrid"/>
        <w:tblW w:w="0" w:type="auto"/>
        <w:tblLook w:val="04A0" w:firstRow="1" w:lastRow="0" w:firstColumn="1" w:lastColumn="0" w:noHBand="0" w:noVBand="1"/>
      </w:tblPr>
      <w:tblGrid>
        <w:gridCol w:w="1880"/>
        <w:gridCol w:w="7464"/>
      </w:tblGrid>
      <w:tr w:rsidR="00011591" w:rsidRPr="00EF2D2B" w:rsidTr="00A71B0E">
        <w:tc>
          <w:tcPr>
            <w:tcW w:w="1880" w:type="dxa"/>
          </w:tcPr>
          <w:p w:rsidR="00011591" w:rsidRPr="00EF2D2B" w:rsidRDefault="00011591"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011591" w:rsidRPr="00731F96" w:rsidRDefault="00011591"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011591" w:rsidRPr="00731F96" w:rsidTr="00A71B0E">
        <w:tc>
          <w:tcPr>
            <w:tcW w:w="1880"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011591" w:rsidRPr="00731F96" w:rsidRDefault="00011591" w:rsidP="00011591">
            <w:pPr>
              <w:pStyle w:val="TableParagraph"/>
              <w:tabs>
                <w:tab w:val="left" w:pos="0"/>
              </w:tabs>
              <w:spacing w:line="276" w:lineRule="auto"/>
              <w:ind w:right="759"/>
              <w:rPr>
                <w:sz w:val="20"/>
                <w:szCs w:val="20"/>
                <w:lang w:val="mn-MN"/>
              </w:rPr>
            </w:pPr>
            <w:r w:rsidRPr="00731F96">
              <w:rPr>
                <w:sz w:val="20"/>
                <w:szCs w:val="20"/>
                <w:lang w:val="mn-MN"/>
              </w:rPr>
              <w:t>Төлөвийн тооцоолуур нь системийн төлөвийг тооцоолоход ашигладаг синхрофазор ба SCADA-ийн өгөгдлийг хүлээн авна</w:t>
            </w:r>
          </w:p>
        </w:tc>
      </w:tr>
      <w:tr w:rsidR="00011591" w:rsidRPr="00731F96" w:rsidTr="00A71B0E">
        <w:tc>
          <w:tcPr>
            <w:tcW w:w="1880"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Аюулгүй байдлын үнэлгээний функцууд нь системийн аюулгүй байдлыг үнэлэх, зөрчлийг мэдээллэхийн тулд мужийн тооцоолол болон бусад өгөгдлийг (синхрофазор ба бусад) ашигладаг</w:t>
            </w:r>
          </w:p>
        </w:tc>
      </w:tr>
    </w:tbl>
    <w:p w:rsidR="00011591" w:rsidRPr="00EF2D2B" w:rsidRDefault="00011591" w:rsidP="00011591">
      <w:pPr>
        <w:widowControl w:val="0"/>
        <w:tabs>
          <w:tab w:val="left" w:pos="0"/>
          <w:tab w:val="left" w:pos="1524"/>
          <w:tab w:val="right" w:leader="dot" w:pos="9618"/>
        </w:tabs>
        <w:autoSpaceDE w:val="0"/>
        <w:autoSpaceDN w:val="0"/>
        <w:spacing w:before="60" w:after="0"/>
        <w:ind w:left="0" w:firstLine="0"/>
      </w:pPr>
      <w:r w:rsidRPr="00EF2D2B">
        <w:t>Applications process data and alert operators</w:t>
      </w:r>
    </w:p>
    <w:tbl>
      <w:tblPr>
        <w:tblStyle w:val="TableGrid"/>
        <w:tblW w:w="0" w:type="auto"/>
        <w:tblLook w:val="04A0" w:firstRow="1" w:lastRow="0" w:firstColumn="1" w:lastColumn="0" w:noHBand="0" w:noVBand="1"/>
      </w:tblPr>
      <w:tblGrid>
        <w:gridCol w:w="1880"/>
        <w:gridCol w:w="7464"/>
      </w:tblGrid>
      <w:tr w:rsidR="00011591" w:rsidRPr="00731F96" w:rsidTr="00A71B0E">
        <w:tc>
          <w:tcPr>
            <w:tcW w:w="1880" w:type="dxa"/>
          </w:tcPr>
          <w:p w:rsidR="00011591" w:rsidRPr="00EF2D2B" w:rsidRDefault="00011591"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011591" w:rsidRPr="00EF2D2B" w:rsidRDefault="00011591"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011591" w:rsidRPr="00731F96" w:rsidTr="00A71B0E">
        <w:tc>
          <w:tcPr>
            <w:tcW w:w="1880"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011591" w:rsidRPr="00731F96" w:rsidRDefault="00011591" w:rsidP="00011591">
            <w:pPr>
              <w:pStyle w:val="TableParagraph"/>
              <w:tabs>
                <w:tab w:val="left" w:pos="0"/>
              </w:tabs>
              <w:spacing w:line="276" w:lineRule="auto"/>
              <w:ind w:right="759"/>
              <w:rPr>
                <w:sz w:val="20"/>
                <w:szCs w:val="20"/>
                <w:lang w:val="mn-MN"/>
              </w:rPr>
            </w:pPr>
            <w:r w:rsidRPr="00731F96">
              <w:rPr>
                <w:sz w:val="20"/>
                <w:szCs w:val="20"/>
                <w:lang w:val="mn-MN"/>
              </w:rPr>
              <w:t>State estimator receives synchrophasor and SCADA data which is uses to produce an estimate of the system state</w:t>
            </w:r>
          </w:p>
        </w:tc>
      </w:tr>
      <w:tr w:rsidR="00011591" w:rsidRPr="00731F96" w:rsidTr="00A71B0E">
        <w:tc>
          <w:tcPr>
            <w:tcW w:w="1880"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Security assessment functions use the state estimate and other data (synchrophasor and other) to assess system security and report violations to operators</w:t>
            </w:r>
          </w:p>
        </w:tc>
      </w:tr>
    </w:tbl>
    <w:p w:rsidR="00011591" w:rsidRDefault="00011591" w:rsidP="0062743A">
      <w:pPr>
        <w:ind w:left="0" w:firstLine="0"/>
        <w:rPr>
          <w:b/>
          <w:lang w:val="en-US"/>
        </w:rPr>
      </w:pPr>
    </w:p>
    <w:tbl>
      <w:tblPr>
        <w:tblStyle w:val="TableGrid"/>
        <w:tblW w:w="0" w:type="auto"/>
        <w:tblLook w:val="04A0" w:firstRow="1" w:lastRow="0" w:firstColumn="1" w:lastColumn="0" w:noHBand="0" w:noVBand="1"/>
      </w:tblPr>
      <w:tblGrid>
        <w:gridCol w:w="4672"/>
        <w:gridCol w:w="4672"/>
      </w:tblGrid>
      <w:tr w:rsidR="00011591" w:rsidTr="00011591">
        <w:tc>
          <w:tcPr>
            <w:tcW w:w="4672" w:type="dxa"/>
          </w:tcPr>
          <w:p w:rsidR="00011591" w:rsidRPr="00011591" w:rsidRDefault="00011591" w:rsidP="00011591">
            <w:pPr>
              <w:tabs>
                <w:tab w:val="left" w:pos="0"/>
              </w:tabs>
              <w:ind w:left="0" w:firstLine="0"/>
              <w:rPr>
                <w:rFonts w:eastAsia="Calibri"/>
                <w:b/>
                <w:bCs/>
                <w:szCs w:val="22"/>
              </w:rPr>
            </w:pPr>
            <w:r w:rsidRPr="00011591">
              <w:rPr>
                <w:rFonts w:eastAsia="Calibri"/>
                <w:b/>
                <w:bCs/>
                <w:szCs w:val="22"/>
              </w:rPr>
              <w:t>Хязгаарын шаардлага:</w:t>
            </w:r>
          </w:p>
          <w:p w:rsidR="00011591" w:rsidRPr="00011591" w:rsidRDefault="00011591" w:rsidP="00011591">
            <w:pPr>
              <w:tabs>
                <w:tab w:val="left" w:pos="0"/>
              </w:tabs>
              <w:ind w:left="0" w:firstLine="0"/>
              <w:rPr>
                <w:rFonts w:eastAsia="Calibri"/>
                <w:bCs/>
                <w:szCs w:val="22"/>
              </w:rPr>
            </w:pPr>
            <w:r w:rsidRPr="00011591">
              <w:rPr>
                <w:rFonts w:eastAsia="Calibri"/>
                <w:bCs/>
                <w:szCs w:val="22"/>
              </w:rPr>
              <w:t>Синхрофазорын хэмжилтийг сервис програмд тохирсон хэмжээгээр дамжуулах боломжтой.Уламжлалт төлөвийн тооцоолол нь секундээс хэдэн минутын хооронд ажилладаг.Фазор өгөгдлийг ашиглан төлөвийн тооцооллыг sub-second интервалтайгаар ажиллуулж болно.Өндөр түвшний төлөвийн тооцоонд бодит хугацааны хяналтанд өгөгдлийг засварлах шүүлтүүр болгон ашиглах сонирхолтой байдаг ч үүнийг мэдээллэх ба аюулгүй байдлын үнэлгээ хийхэд илүү уламжлалт байдлаар авч үзсэн.Гол зүйл бол хурдаас үл хамааран нэгэн зэрэг хэмжилтийг авах юм. Хэмжилтүүд нь IEEE C37.118.1-д нийцсэн байх. Дараах хүснэгтэд өгөгдөл дамжуулахад шаардлагатай хурд, өгөгдөл дамжуулах саатал, хэмжилтийн хугацааны алдаа зэргийг нэгтгэн харуулав.</w:t>
            </w:r>
          </w:p>
        </w:tc>
        <w:tc>
          <w:tcPr>
            <w:tcW w:w="4672" w:type="dxa"/>
          </w:tcPr>
          <w:p w:rsidR="00011591" w:rsidRPr="00011591" w:rsidRDefault="00011591" w:rsidP="00011591">
            <w:pPr>
              <w:tabs>
                <w:tab w:val="left" w:pos="0"/>
              </w:tabs>
              <w:ind w:left="0" w:firstLine="0"/>
              <w:rPr>
                <w:rFonts w:eastAsia="Calibri"/>
                <w:b/>
                <w:bCs/>
                <w:szCs w:val="22"/>
              </w:rPr>
            </w:pPr>
            <w:r w:rsidRPr="00011591">
              <w:rPr>
                <w:rFonts w:eastAsia="Calibri"/>
                <w:b/>
                <w:bCs/>
                <w:szCs w:val="22"/>
              </w:rPr>
              <w:t>Constraints:</w:t>
            </w:r>
          </w:p>
          <w:p w:rsidR="00011591" w:rsidRPr="00011591" w:rsidRDefault="00011591" w:rsidP="00011591">
            <w:pPr>
              <w:tabs>
                <w:tab w:val="left" w:pos="0"/>
              </w:tabs>
              <w:ind w:left="0" w:firstLine="0"/>
              <w:rPr>
                <w:rFonts w:eastAsia="Calibri"/>
                <w:bCs/>
                <w:szCs w:val="22"/>
              </w:rPr>
            </w:pPr>
            <w:r w:rsidRPr="00011591">
              <w:rPr>
                <w:rFonts w:eastAsia="Calibri"/>
                <w:bCs/>
                <w:szCs w:val="22"/>
              </w:rPr>
              <w:t>Synchrophasor measurements can be communicated at a rate suitable for the application it serves. Traditional state estimation operates at a rate of seconds to minutes. State estimation using phasor data can operate at sub-second intervals. There is some interest in using high rate state estimation as a filter to provide corrected data for real-time controls, but here it is being considered in the more traditional use for reporting and security assessment.  A  key point is obtaining measurements that are taken at the same time regardless of the rate. Measurements that conform to IEEE C37.118.1 will have this property. The following table summarizes the required data transmission rates, data transmission delay, and acceptable measurement time error</w:t>
            </w:r>
          </w:p>
        </w:tc>
      </w:tr>
    </w:tbl>
    <w:p w:rsidR="00011591" w:rsidRDefault="00011591" w:rsidP="00440B2A">
      <w:pPr>
        <w:ind w:left="0" w:firstLine="0"/>
        <w:jc w:val="center"/>
        <w:rPr>
          <w:b/>
          <w:lang w:val="en-US"/>
        </w:rPr>
      </w:pPr>
    </w:p>
    <w:p w:rsidR="00011591" w:rsidRDefault="00011591" w:rsidP="00440B2A">
      <w:pPr>
        <w:ind w:left="0" w:firstLine="0"/>
        <w:jc w:val="center"/>
        <w:rPr>
          <w:b/>
          <w:lang w:val="en-US"/>
        </w:rPr>
      </w:pPr>
    </w:p>
    <w:tbl>
      <w:tblPr>
        <w:tblStyle w:val="TableGrid"/>
        <w:tblW w:w="0" w:type="auto"/>
        <w:tblLook w:val="04A0" w:firstRow="1" w:lastRow="0" w:firstColumn="1" w:lastColumn="0" w:noHBand="0" w:noVBand="1"/>
      </w:tblPr>
      <w:tblGrid>
        <w:gridCol w:w="2336"/>
        <w:gridCol w:w="2336"/>
        <w:gridCol w:w="2336"/>
        <w:gridCol w:w="2336"/>
      </w:tblGrid>
      <w:tr w:rsidR="00011591" w:rsidTr="00011591">
        <w:tc>
          <w:tcPr>
            <w:tcW w:w="2336" w:type="dxa"/>
          </w:tcPr>
          <w:p w:rsidR="00011591" w:rsidRPr="00731F96" w:rsidRDefault="00011591" w:rsidP="00011591">
            <w:pPr>
              <w:pStyle w:val="TableParagraph"/>
              <w:tabs>
                <w:tab w:val="left" w:pos="0"/>
              </w:tabs>
              <w:spacing w:before="53" w:line="276" w:lineRule="auto"/>
              <w:ind w:left="9"/>
              <w:jc w:val="center"/>
              <w:rPr>
                <w:b/>
                <w:sz w:val="20"/>
                <w:szCs w:val="20"/>
                <w:lang w:val="mn-MN"/>
              </w:rPr>
            </w:pPr>
            <w:r w:rsidRPr="00731F96">
              <w:rPr>
                <w:b/>
                <w:sz w:val="20"/>
                <w:szCs w:val="20"/>
                <w:lang w:val="mn-MN"/>
              </w:rPr>
              <w:t>Аппликейшний төрөл</w:t>
            </w:r>
          </w:p>
        </w:tc>
        <w:tc>
          <w:tcPr>
            <w:tcW w:w="2336" w:type="dxa"/>
          </w:tcPr>
          <w:p w:rsidR="00011591" w:rsidRPr="00731F96" w:rsidRDefault="00011591" w:rsidP="00011591">
            <w:pPr>
              <w:pStyle w:val="TableParagraph"/>
              <w:tabs>
                <w:tab w:val="left" w:pos="0"/>
              </w:tabs>
              <w:spacing w:before="53" w:line="276" w:lineRule="auto"/>
              <w:jc w:val="center"/>
              <w:rPr>
                <w:b/>
                <w:sz w:val="20"/>
                <w:szCs w:val="20"/>
                <w:lang w:val="mn-MN"/>
              </w:rPr>
            </w:pPr>
            <w:r w:rsidRPr="00731F96">
              <w:rPr>
                <w:b/>
                <w:sz w:val="20"/>
                <w:szCs w:val="20"/>
                <w:lang w:val="mn-MN"/>
              </w:rPr>
              <w:t>Хамгийн бага хурд</w:t>
            </w:r>
          </w:p>
        </w:tc>
        <w:tc>
          <w:tcPr>
            <w:tcW w:w="2336" w:type="dxa"/>
          </w:tcPr>
          <w:p w:rsidR="00011591" w:rsidRPr="00EF2D2B" w:rsidRDefault="00011591" w:rsidP="00011591">
            <w:pPr>
              <w:pStyle w:val="TableParagraph"/>
              <w:tabs>
                <w:tab w:val="left" w:pos="0"/>
              </w:tabs>
              <w:spacing w:before="53" w:line="276" w:lineRule="auto"/>
              <w:ind w:left="112"/>
              <w:jc w:val="center"/>
              <w:rPr>
                <w:b/>
                <w:sz w:val="20"/>
                <w:szCs w:val="20"/>
                <w:lang w:val="mn-MN"/>
              </w:rPr>
            </w:pPr>
            <w:r w:rsidRPr="00EF2D2B">
              <w:rPr>
                <w:b/>
                <w:sz w:val="20"/>
                <w:szCs w:val="20"/>
                <w:lang w:val="mn-MN"/>
              </w:rPr>
              <w:t>Дамжуулах хугацааны анги</w:t>
            </w:r>
          </w:p>
        </w:tc>
        <w:tc>
          <w:tcPr>
            <w:tcW w:w="2336" w:type="dxa"/>
          </w:tcPr>
          <w:p w:rsidR="00011591" w:rsidRPr="00EF2D2B" w:rsidRDefault="00011591" w:rsidP="00011591">
            <w:pPr>
              <w:pStyle w:val="TableParagraph"/>
              <w:tabs>
                <w:tab w:val="left" w:pos="0"/>
              </w:tabs>
              <w:spacing w:before="53" w:line="276" w:lineRule="auto"/>
              <w:ind w:left="50"/>
              <w:jc w:val="center"/>
              <w:rPr>
                <w:b/>
                <w:sz w:val="20"/>
                <w:szCs w:val="20"/>
                <w:lang w:val="mn-MN"/>
              </w:rPr>
            </w:pPr>
            <w:r w:rsidRPr="00EF2D2B">
              <w:rPr>
                <w:b/>
                <w:sz w:val="20"/>
                <w:szCs w:val="20"/>
                <w:lang w:val="mn-MN"/>
              </w:rPr>
              <w:t xml:space="preserve">Хугацааны синхрончлолын </w:t>
            </w:r>
            <w:r w:rsidRPr="00EF2D2B">
              <w:rPr>
                <w:b/>
                <w:sz w:val="20"/>
                <w:szCs w:val="20"/>
                <w:lang w:val="mn-MN"/>
              </w:rPr>
              <w:lastRenderedPageBreak/>
              <w:t>нарийвчлалын анги</w:t>
            </w:r>
          </w:p>
        </w:tc>
      </w:tr>
      <w:tr w:rsidR="00011591" w:rsidTr="00011591">
        <w:tc>
          <w:tcPr>
            <w:tcW w:w="2336" w:type="dxa"/>
          </w:tcPr>
          <w:p w:rsidR="00011591" w:rsidRPr="00EF2D2B" w:rsidRDefault="00011591" w:rsidP="00011591">
            <w:pPr>
              <w:pStyle w:val="TableParagraph"/>
              <w:tabs>
                <w:tab w:val="left" w:pos="0"/>
              </w:tabs>
              <w:spacing w:line="276" w:lineRule="auto"/>
              <w:ind w:left="105"/>
              <w:rPr>
                <w:sz w:val="20"/>
                <w:szCs w:val="20"/>
                <w:lang w:val="mn-MN"/>
              </w:rPr>
            </w:pPr>
            <w:r w:rsidRPr="00EF2D2B">
              <w:rPr>
                <w:sz w:val="20"/>
                <w:szCs w:val="20"/>
                <w:lang w:val="mn-MN"/>
              </w:rPr>
              <w:lastRenderedPageBreak/>
              <w:t>Төлөвийн тооцоолол</w:t>
            </w:r>
          </w:p>
        </w:tc>
        <w:tc>
          <w:tcPr>
            <w:tcW w:w="2336" w:type="dxa"/>
          </w:tcPr>
          <w:p w:rsidR="00011591" w:rsidRPr="00731F96" w:rsidRDefault="00011591" w:rsidP="00011591">
            <w:pPr>
              <w:pStyle w:val="TableParagraph"/>
              <w:tabs>
                <w:tab w:val="left" w:pos="0"/>
              </w:tabs>
              <w:spacing w:line="276" w:lineRule="auto"/>
              <w:ind w:left="108" w:right="154"/>
              <w:rPr>
                <w:sz w:val="20"/>
                <w:szCs w:val="20"/>
                <w:lang w:val="mn-MN"/>
              </w:rPr>
            </w:pPr>
            <w:r w:rsidRPr="00731F96">
              <w:rPr>
                <w:sz w:val="20"/>
                <w:szCs w:val="20"/>
                <w:lang w:val="mn-MN"/>
              </w:rPr>
              <w:t>1/(5 мин) – 10/секунд</w:t>
            </w:r>
          </w:p>
        </w:tc>
        <w:tc>
          <w:tcPr>
            <w:tcW w:w="2336" w:type="dxa"/>
          </w:tcPr>
          <w:p w:rsidR="00011591" w:rsidRPr="00EF2D2B" w:rsidRDefault="00011591" w:rsidP="00011591">
            <w:pPr>
              <w:pStyle w:val="TableParagraph"/>
              <w:tabs>
                <w:tab w:val="left" w:pos="0"/>
              </w:tabs>
              <w:spacing w:before="57" w:line="276" w:lineRule="auto"/>
              <w:ind w:left="108"/>
              <w:rPr>
                <w:sz w:val="20"/>
                <w:szCs w:val="20"/>
                <w:lang w:val="mn-MN"/>
              </w:rPr>
            </w:pPr>
            <w:r w:rsidRPr="00731F96">
              <w:rPr>
                <w:sz w:val="20"/>
                <w:szCs w:val="20"/>
                <w:lang w:val="mn-MN"/>
              </w:rPr>
              <w:t>TT0 ≥</w:t>
            </w:r>
            <w:r w:rsidRPr="00EF2D2B">
              <w:rPr>
                <w:sz w:val="20"/>
                <w:szCs w:val="20"/>
                <w:lang w:val="mn-MN"/>
              </w:rPr>
              <w:t>1 с</w:t>
            </w:r>
          </w:p>
        </w:tc>
        <w:tc>
          <w:tcPr>
            <w:tcW w:w="2336" w:type="dxa"/>
          </w:tcPr>
          <w:p w:rsidR="00011591" w:rsidRPr="00EF2D2B" w:rsidRDefault="00011591" w:rsidP="00011591">
            <w:pPr>
              <w:pStyle w:val="TableParagraph"/>
              <w:tabs>
                <w:tab w:val="left" w:pos="0"/>
              </w:tabs>
              <w:spacing w:line="276" w:lineRule="auto"/>
              <w:ind w:left="108"/>
              <w:rPr>
                <w:sz w:val="20"/>
                <w:szCs w:val="20"/>
                <w:lang w:val="mn-MN"/>
              </w:rPr>
            </w:pPr>
            <w:r w:rsidRPr="00EF2D2B">
              <w:rPr>
                <w:sz w:val="20"/>
                <w:szCs w:val="20"/>
                <w:lang w:val="mn-MN"/>
              </w:rPr>
              <w:t>T3 0,025 мс</w:t>
            </w:r>
          </w:p>
        </w:tc>
      </w:tr>
    </w:tbl>
    <w:p w:rsidR="00011591" w:rsidRDefault="00011591" w:rsidP="00440B2A">
      <w:pPr>
        <w:ind w:left="0" w:firstLine="0"/>
        <w:jc w:val="center"/>
        <w:rPr>
          <w:b/>
          <w:lang w:val="en-US"/>
        </w:rPr>
      </w:pPr>
    </w:p>
    <w:tbl>
      <w:tblPr>
        <w:tblStyle w:val="TableGrid"/>
        <w:tblW w:w="0" w:type="auto"/>
        <w:tblLook w:val="04A0" w:firstRow="1" w:lastRow="0" w:firstColumn="1" w:lastColumn="0" w:noHBand="0" w:noVBand="1"/>
      </w:tblPr>
      <w:tblGrid>
        <w:gridCol w:w="2336"/>
        <w:gridCol w:w="2336"/>
        <w:gridCol w:w="2336"/>
        <w:gridCol w:w="2336"/>
      </w:tblGrid>
      <w:tr w:rsidR="00011591" w:rsidRPr="00EF2D2B" w:rsidTr="00A71B0E">
        <w:tc>
          <w:tcPr>
            <w:tcW w:w="2336" w:type="dxa"/>
          </w:tcPr>
          <w:p w:rsidR="00011591" w:rsidRPr="00731F96" w:rsidRDefault="00011591" w:rsidP="00011591">
            <w:pPr>
              <w:pStyle w:val="TableParagraph"/>
              <w:tabs>
                <w:tab w:val="left" w:pos="0"/>
              </w:tabs>
              <w:spacing w:before="53" w:line="276" w:lineRule="auto"/>
              <w:ind w:left="446"/>
              <w:rPr>
                <w:b/>
                <w:sz w:val="20"/>
                <w:szCs w:val="20"/>
                <w:lang w:val="mn-MN"/>
              </w:rPr>
            </w:pPr>
            <w:r w:rsidRPr="00731F96">
              <w:rPr>
                <w:b/>
                <w:sz w:val="20"/>
                <w:szCs w:val="20"/>
                <w:lang w:val="mn-MN"/>
              </w:rPr>
              <w:t>Application type</w:t>
            </w:r>
          </w:p>
        </w:tc>
        <w:tc>
          <w:tcPr>
            <w:tcW w:w="2336" w:type="dxa"/>
          </w:tcPr>
          <w:p w:rsidR="00011591" w:rsidRPr="00731F96" w:rsidRDefault="00011591" w:rsidP="00011591">
            <w:pPr>
              <w:pStyle w:val="TableParagraph"/>
              <w:tabs>
                <w:tab w:val="left" w:pos="0"/>
              </w:tabs>
              <w:spacing w:before="53" w:line="276" w:lineRule="auto"/>
              <w:ind w:left="288"/>
              <w:rPr>
                <w:b/>
                <w:sz w:val="20"/>
                <w:szCs w:val="20"/>
                <w:lang w:val="mn-MN"/>
              </w:rPr>
            </w:pPr>
            <w:r w:rsidRPr="00731F96">
              <w:rPr>
                <w:b/>
                <w:sz w:val="20"/>
                <w:szCs w:val="20"/>
                <w:lang w:val="mn-MN"/>
              </w:rPr>
              <w:t>Range of rates</w:t>
            </w:r>
          </w:p>
        </w:tc>
        <w:tc>
          <w:tcPr>
            <w:tcW w:w="2336" w:type="dxa"/>
          </w:tcPr>
          <w:p w:rsidR="00011591" w:rsidRPr="00EF2D2B" w:rsidRDefault="00011591" w:rsidP="00011591">
            <w:pPr>
              <w:pStyle w:val="TableParagraph"/>
              <w:tabs>
                <w:tab w:val="left" w:pos="0"/>
              </w:tabs>
              <w:spacing w:before="53" w:line="276" w:lineRule="auto"/>
              <w:ind w:left="422"/>
              <w:rPr>
                <w:b/>
                <w:sz w:val="20"/>
                <w:szCs w:val="20"/>
                <w:lang w:val="mn-MN"/>
              </w:rPr>
            </w:pPr>
            <w:r w:rsidRPr="00EF2D2B">
              <w:rPr>
                <w:b/>
                <w:sz w:val="20"/>
                <w:szCs w:val="20"/>
                <w:lang w:val="mn-MN"/>
              </w:rPr>
              <w:t>Transfer time class</w:t>
            </w:r>
          </w:p>
        </w:tc>
        <w:tc>
          <w:tcPr>
            <w:tcW w:w="2336" w:type="dxa"/>
          </w:tcPr>
          <w:p w:rsidR="00011591" w:rsidRPr="00EF2D2B" w:rsidRDefault="00011591" w:rsidP="00011591">
            <w:pPr>
              <w:pStyle w:val="TableParagraph"/>
              <w:tabs>
                <w:tab w:val="left" w:pos="0"/>
              </w:tabs>
              <w:spacing w:before="53" w:line="276" w:lineRule="auto"/>
              <w:rPr>
                <w:b/>
                <w:sz w:val="20"/>
                <w:szCs w:val="20"/>
                <w:lang w:val="mn-MN"/>
              </w:rPr>
            </w:pPr>
            <w:r w:rsidRPr="00EF2D2B">
              <w:rPr>
                <w:b/>
                <w:sz w:val="20"/>
                <w:szCs w:val="20"/>
                <w:lang w:val="mn-MN"/>
              </w:rPr>
              <w:t>Time synchronization accuracy class</w:t>
            </w:r>
          </w:p>
        </w:tc>
      </w:tr>
      <w:tr w:rsidR="00011591" w:rsidRPr="00EF2D2B" w:rsidTr="00A71B0E">
        <w:tc>
          <w:tcPr>
            <w:tcW w:w="2336" w:type="dxa"/>
          </w:tcPr>
          <w:p w:rsidR="00011591" w:rsidRPr="00EF2D2B" w:rsidRDefault="00011591" w:rsidP="00011591">
            <w:pPr>
              <w:pStyle w:val="TableParagraph"/>
              <w:tabs>
                <w:tab w:val="left" w:pos="0"/>
              </w:tabs>
              <w:spacing w:line="276" w:lineRule="auto"/>
              <w:ind w:left="105"/>
              <w:rPr>
                <w:sz w:val="20"/>
                <w:szCs w:val="20"/>
                <w:lang w:val="mn-MN"/>
              </w:rPr>
            </w:pPr>
            <w:r w:rsidRPr="00EF2D2B">
              <w:rPr>
                <w:sz w:val="20"/>
                <w:szCs w:val="20"/>
                <w:lang w:val="mn-MN"/>
              </w:rPr>
              <w:t>State estimation</w:t>
            </w:r>
          </w:p>
        </w:tc>
        <w:tc>
          <w:tcPr>
            <w:tcW w:w="2336" w:type="dxa"/>
          </w:tcPr>
          <w:p w:rsidR="00011591" w:rsidRPr="00731F96" w:rsidRDefault="00011591" w:rsidP="00011591">
            <w:pPr>
              <w:pStyle w:val="TableParagraph"/>
              <w:tabs>
                <w:tab w:val="left" w:pos="0"/>
              </w:tabs>
              <w:spacing w:line="276" w:lineRule="auto"/>
              <w:ind w:left="108" w:right="154"/>
              <w:rPr>
                <w:sz w:val="20"/>
                <w:szCs w:val="20"/>
                <w:lang w:val="mn-MN"/>
              </w:rPr>
            </w:pPr>
            <w:r w:rsidRPr="00731F96">
              <w:rPr>
                <w:sz w:val="20"/>
                <w:szCs w:val="20"/>
                <w:lang w:val="mn-MN"/>
              </w:rPr>
              <w:t>1/(5 min) to 10/second</w:t>
            </w:r>
          </w:p>
        </w:tc>
        <w:tc>
          <w:tcPr>
            <w:tcW w:w="2336" w:type="dxa"/>
          </w:tcPr>
          <w:p w:rsidR="00011591" w:rsidRPr="00EF2D2B" w:rsidRDefault="00011591" w:rsidP="00011591">
            <w:pPr>
              <w:pStyle w:val="TableParagraph"/>
              <w:tabs>
                <w:tab w:val="left" w:pos="0"/>
              </w:tabs>
              <w:spacing w:before="57" w:line="276" w:lineRule="auto"/>
              <w:ind w:left="108"/>
              <w:rPr>
                <w:sz w:val="20"/>
                <w:szCs w:val="20"/>
                <w:lang w:val="mn-MN"/>
              </w:rPr>
            </w:pPr>
            <w:r w:rsidRPr="00731F96">
              <w:rPr>
                <w:sz w:val="20"/>
                <w:szCs w:val="20"/>
                <w:lang w:val="mn-MN"/>
              </w:rPr>
              <w:t>TT0 ≥</w:t>
            </w:r>
            <w:r w:rsidRPr="00EF2D2B">
              <w:rPr>
                <w:sz w:val="20"/>
                <w:szCs w:val="20"/>
                <w:lang w:val="mn-MN"/>
              </w:rPr>
              <w:t>1 s</w:t>
            </w:r>
          </w:p>
        </w:tc>
        <w:tc>
          <w:tcPr>
            <w:tcW w:w="2336" w:type="dxa"/>
          </w:tcPr>
          <w:p w:rsidR="00011591" w:rsidRPr="00EF2D2B" w:rsidRDefault="00011591" w:rsidP="00011591">
            <w:pPr>
              <w:pStyle w:val="TableParagraph"/>
              <w:tabs>
                <w:tab w:val="left" w:pos="0"/>
              </w:tabs>
              <w:spacing w:line="276" w:lineRule="auto"/>
              <w:ind w:left="108"/>
              <w:rPr>
                <w:sz w:val="20"/>
                <w:szCs w:val="20"/>
                <w:lang w:val="mn-MN"/>
              </w:rPr>
            </w:pPr>
            <w:r w:rsidRPr="00EF2D2B">
              <w:rPr>
                <w:sz w:val="20"/>
                <w:szCs w:val="20"/>
                <w:lang w:val="mn-MN"/>
              </w:rPr>
              <w:t>T3 0,025 ms</w:t>
            </w:r>
          </w:p>
        </w:tc>
      </w:tr>
    </w:tbl>
    <w:p w:rsidR="00011591" w:rsidRDefault="00011591" w:rsidP="00011591">
      <w:pPr>
        <w:ind w:left="0" w:firstLine="0"/>
        <w:rPr>
          <w:b/>
          <w:lang w:val="en-US"/>
        </w:rPr>
      </w:pPr>
    </w:p>
    <w:tbl>
      <w:tblPr>
        <w:tblStyle w:val="TableGrid"/>
        <w:tblW w:w="0" w:type="auto"/>
        <w:tblLook w:val="04A0" w:firstRow="1" w:lastRow="0" w:firstColumn="1" w:lastColumn="0" w:noHBand="0" w:noVBand="1"/>
      </w:tblPr>
      <w:tblGrid>
        <w:gridCol w:w="4672"/>
        <w:gridCol w:w="4672"/>
      </w:tblGrid>
      <w:tr w:rsidR="00011591" w:rsidTr="00011591">
        <w:tc>
          <w:tcPr>
            <w:tcW w:w="4672" w:type="dxa"/>
          </w:tcPr>
          <w:p w:rsidR="00011591" w:rsidRPr="00011591" w:rsidRDefault="00011591" w:rsidP="00011591">
            <w:pPr>
              <w:tabs>
                <w:tab w:val="left" w:pos="0"/>
              </w:tabs>
              <w:ind w:left="0" w:firstLine="0"/>
              <w:rPr>
                <w:rFonts w:eastAsia="Calibri"/>
                <w:b/>
                <w:bCs/>
                <w:szCs w:val="22"/>
              </w:rPr>
            </w:pPr>
            <w:r w:rsidRPr="00011591">
              <w:rPr>
                <w:rFonts w:eastAsia="Calibri"/>
                <w:b/>
                <w:bCs/>
                <w:szCs w:val="22"/>
              </w:rPr>
              <w:t>5.8 Өгөгдлийг архивлах (үйл ажиллагаа ба тасралтгүй)</w:t>
            </w:r>
          </w:p>
          <w:p w:rsidR="00011591" w:rsidRPr="00011591" w:rsidRDefault="00011591" w:rsidP="00011591">
            <w:pPr>
              <w:tabs>
                <w:tab w:val="left" w:pos="0"/>
              </w:tabs>
              <w:ind w:left="0" w:firstLine="0"/>
              <w:rPr>
                <w:rFonts w:eastAsia="Calibri"/>
                <w:bCs/>
                <w:szCs w:val="22"/>
              </w:rPr>
            </w:pPr>
            <w:r w:rsidRPr="00011591">
              <w:rPr>
                <w:rFonts w:eastAsia="Calibri"/>
                <w:bCs/>
                <w:szCs w:val="22"/>
              </w:rPr>
              <w:t>Системийн дүн шинжилгээнд зориулж PMU-ийн хэмжилтийг архивлаж хадгална. Архивлагдсан өгөгдөл нь тасралтгүй хэмжилт  ба хэвийн бус ажиллагааг агуулах тухайн эгшний хэмжилтүүдийг агуулах ёстой.Эдгээр өгөгдлийг дараа нь засварлах ба дүн шинжилгээ хийхэд ашиглах шаардлагатай. Тасралтгүй архивлах ажлыг тодорхой хугацааны хангалттай багтаамжтай буюу багтаамж дүүрсэн үед хамгийн эхний өгөгдлийг устгах аппликейшний тусламжтайгаар гүйцэтгэдэг. Архивын триггерийн ажиллагааг үйл явдлын триггер (ET)-ээр эхлүүлдэг бөгөөд үүнийг боловсруулсан хар хайрцаг шиг гэж үздэг бөгөөд энэ нь нэг буюу хэд хэдэн өгөгдөл архивлагч (DA)-ууд руу үйл явдлын мэдэгдлийг илгээдэг ба энэ нь үйл явдлын өгөгдлийг архивлах шаардлагатайг илтгэнэ. Өгөгдлийг архивлах нь PDC ба ssPDC-ийн хүрээнд үйл ажиллагаа явуулж болох ба бие даасан хэрэглээ байж болно.Ерөнхий мэдээллийн урсгалыг 6-р зурагт үзүүлэв</w:t>
            </w:r>
          </w:p>
        </w:tc>
        <w:tc>
          <w:tcPr>
            <w:tcW w:w="4672" w:type="dxa"/>
          </w:tcPr>
          <w:p w:rsidR="00011591" w:rsidRPr="00011591" w:rsidRDefault="00011591" w:rsidP="00011591">
            <w:pPr>
              <w:tabs>
                <w:tab w:val="left" w:pos="0"/>
              </w:tabs>
              <w:ind w:left="0" w:firstLine="0"/>
              <w:rPr>
                <w:rFonts w:eastAsia="Calibri"/>
                <w:b/>
                <w:bCs/>
                <w:szCs w:val="22"/>
              </w:rPr>
            </w:pPr>
            <w:r w:rsidRPr="00011591">
              <w:rPr>
                <w:rFonts w:eastAsia="Calibri"/>
                <w:b/>
                <w:bCs/>
                <w:szCs w:val="22"/>
              </w:rPr>
              <w:t>5.8 Archive data (event &amp; continuous)</w:t>
            </w:r>
          </w:p>
          <w:p w:rsidR="00011591" w:rsidRPr="00011591" w:rsidRDefault="00011591" w:rsidP="00011591">
            <w:pPr>
              <w:tabs>
                <w:tab w:val="left" w:pos="0"/>
              </w:tabs>
              <w:ind w:left="0" w:firstLine="0"/>
              <w:rPr>
                <w:rFonts w:eastAsia="Calibri"/>
                <w:bCs/>
                <w:szCs w:val="22"/>
              </w:rPr>
            </w:pPr>
            <w:r w:rsidRPr="00011591">
              <w:rPr>
                <w:rFonts w:eastAsia="Calibri"/>
                <w:bCs/>
                <w:szCs w:val="22"/>
              </w:rPr>
              <w:t xml:space="preserve">Measurements from PMUs should be archived for system analysis. Archived data should include both continuous measurements and snapshots triggered by anomalous events. These data need to be accessible for later retrieval and analysis. Continuous archiving is accomplished by applications that either have sufficient storage space that they will  not run  out between scheduled changes, or which utilize size limiting features that delete the oldest data within a time limit. Triggered archive functionality is initiated by an event  trigger  (ET), here treated as a black box, which sends to one or more data archivers (DAs) an event notification which indicates a need to archive the event data. Data archiving may be a function within PDCs and ssPDCs or may be a stand-alone application. The general information flow is shown in </w:t>
            </w:r>
            <w:hyperlink w:anchor="_bookmark7" w:history="1">
              <w:r w:rsidRPr="00011591">
                <w:rPr>
                  <w:rFonts w:eastAsia="Calibri"/>
                  <w:bCs/>
                  <w:szCs w:val="22"/>
                </w:rPr>
                <w:t>Figure 6.</w:t>
              </w:r>
            </w:hyperlink>
          </w:p>
          <w:p w:rsidR="00011591" w:rsidRPr="00011591" w:rsidRDefault="00011591" w:rsidP="00011591">
            <w:pPr>
              <w:tabs>
                <w:tab w:val="left" w:pos="0"/>
              </w:tabs>
              <w:ind w:left="0" w:firstLine="0"/>
              <w:rPr>
                <w:rFonts w:eastAsia="Calibri"/>
                <w:bCs/>
                <w:szCs w:val="22"/>
              </w:rPr>
            </w:pPr>
          </w:p>
        </w:tc>
      </w:tr>
    </w:tbl>
    <w:p w:rsidR="00011591" w:rsidRDefault="00011591" w:rsidP="00440B2A">
      <w:pPr>
        <w:ind w:left="0" w:firstLine="0"/>
        <w:jc w:val="center"/>
        <w:rPr>
          <w:b/>
          <w:lang w:val="en-US"/>
        </w:rPr>
      </w:pPr>
    </w:p>
    <w:p w:rsidR="00011591" w:rsidRDefault="00011591" w:rsidP="00011591">
      <w:pPr>
        <w:ind w:left="0" w:firstLine="0"/>
        <w:jc w:val="center"/>
        <w:rPr>
          <w:b/>
          <w:lang w:val="en-US"/>
        </w:rPr>
      </w:pPr>
      <w:r>
        <w:rPr>
          <w:noProof/>
          <w:lang w:val="en-US"/>
        </w:rPr>
        <w:lastRenderedPageBreak/>
        <w:drawing>
          <wp:inline distT="0" distB="0" distL="0" distR="0" wp14:anchorId="1F392BCC" wp14:editId="265E69D1">
            <wp:extent cx="5686425" cy="3390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6425" cy="3390900"/>
                    </a:xfrm>
                    <a:prstGeom prst="rect">
                      <a:avLst/>
                    </a:prstGeom>
                  </pic:spPr>
                </pic:pic>
              </a:graphicData>
            </a:graphic>
          </wp:inline>
        </w:drawing>
      </w:r>
    </w:p>
    <w:p w:rsidR="00011591" w:rsidRPr="00731F96" w:rsidRDefault="00011591" w:rsidP="00011591">
      <w:pPr>
        <w:widowControl w:val="0"/>
        <w:tabs>
          <w:tab w:val="left" w:pos="0"/>
          <w:tab w:val="left" w:pos="1524"/>
          <w:tab w:val="right" w:leader="dot" w:pos="9618"/>
        </w:tabs>
        <w:autoSpaceDE w:val="0"/>
        <w:autoSpaceDN w:val="0"/>
        <w:spacing w:before="60" w:after="0"/>
        <w:jc w:val="center"/>
        <w:rPr>
          <w:b/>
        </w:rPr>
      </w:pPr>
      <w:r w:rsidRPr="00731F96">
        <w:rPr>
          <w:b/>
        </w:rPr>
        <w:t>6</w:t>
      </w:r>
      <w:r>
        <w:rPr>
          <w:b/>
        </w:rPr>
        <w:t>-р зураг</w:t>
      </w:r>
      <w:r w:rsidRPr="00731F96">
        <w:rPr>
          <w:b/>
        </w:rPr>
        <w:t xml:space="preserve"> – Өгөгдөл архивлахад ашиглах схем</w:t>
      </w:r>
    </w:p>
    <w:p w:rsidR="00011591" w:rsidRDefault="00011591" w:rsidP="00440B2A">
      <w:pPr>
        <w:ind w:left="0" w:firstLine="0"/>
        <w:jc w:val="center"/>
        <w:rPr>
          <w:b/>
          <w:lang w:val="en-US"/>
        </w:rPr>
      </w:pPr>
    </w:p>
    <w:p w:rsidR="00011591" w:rsidRDefault="00011591" w:rsidP="00440B2A">
      <w:pPr>
        <w:ind w:left="0" w:firstLine="0"/>
        <w:jc w:val="center"/>
        <w:rPr>
          <w:b/>
          <w:lang w:val="en-US"/>
        </w:rPr>
      </w:pPr>
    </w:p>
    <w:p w:rsidR="00011591" w:rsidRDefault="00011591" w:rsidP="00440B2A">
      <w:pPr>
        <w:ind w:left="0" w:firstLine="0"/>
        <w:jc w:val="center"/>
        <w:rPr>
          <w:b/>
          <w:lang w:val="en-US"/>
        </w:rPr>
      </w:pPr>
      <w:r w:rsidRPr="00EF2D2B">
        <w:rPr>
          <w:b/>
          <w:bCs/>
          <w:noProof/>
          <w:lang w:val="en-US"/>
        </w:rPr>
        <w:drawing>
          <wp:inline distT="0" distB="0" distL="0" distR="0" wp14:anchorId="7355E673" wp14:editId="4176B407">
            <wp:extent cx="4899923" cy="3358055"/>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9929" cy="3371766"/>
                    </a:xfrm>
                    <a:prstGeom prst="rect">
                      <a:avLst/>
                    </a:prstGeom>
                  </pic:spPr>
                </pic:pic>
              </a:graphicData>
            </a:graphic>
          </wp:inline>
        </w:drawing>
      </w:r>
    </w:p>
    <w:p w:rsidR="00011591" w:rsidRPr="00011591" w:rsidRDefault="00011591" w:rsidP="00011591">
      <w:pPr>
        <w:widowControl w:val="0"/>
        <w:tabs>
          <w:tab w:val="left" w:pos="0"/>
          <w:tab w:val="left" w:pos="1524"/>
          <w:tab w:val="right" w:leader="dot" w:pos="9618"/>
        </w:tabs>
        <w:autoSpaceDE w:val="0"/>
        <w:autoSpaceDN w:val="0"/>
        <w:spacing w:before="60" w:after="0"/>
        <w:jc w:val="center"/>
        <w:rPr>
          <w:b/>
        </w:rPr>
      </w:pPr>
      <w:r w:rsidRPr="00731F96">
        <w:rPr>
          <w:b/>
        </w:rPr>
        <w:t xml:space="preserve">Figure 6 – Use </w:t>
      </w:r>
      <w:r>
        <w:rPr>
          <w:b/>
        </w:rPr>
        <w:t>case diagram for archiving data</w:t>
      </w:r>
    </w:p>
    <w:p w:rsidR="00011591" w:rsidRPr="001C4C31" w:rsidRDefault="00011591" w:rsidP="00011591">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723"/>
        <w:gridCol w:w="5621"/>
      </w:tblGrid>
      <w:tr w:rsidR="00011591" w:rsidTr="00A71B0E">
        <w:tc>
          <w:tcPr>
            <w:tcW w:w="3723" w:type="dxa"/>
          </w:tcPr>
          <w:p w:rsidR="00011591" w:rsidRPr="00EF2D2B" w:rsidRDefault="00011591"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5621" w:type="dxa"/>
          </w:tcPr>
          <w:p w:rsidR="00011591" w:rsidRPr="00EF2D2B" w:rsidRDefault="00011591" w:rsidP="00A71B0E">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011591"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PMU</w:t>
            </w:r>
          </w:p>
        </w:tc>
        <w:tc>
          <w:tcPr>
            <w:tcW w:w="5621"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Сонхрофазор ба давтамжийг тооцоолно</w:t>
            </w:r>
          </w:p>
        </w:tc>
      </w:tr>
      <w:tr w:rsidR="00011591"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ssPDC</w:t>
            </w:r>
          </w:p>
        </w:tc>
        <w:tc>
          <w:tcPr>
            <w:tcW w:w="5621" w:type="dxa"/>
          </w:tcPr>
          <w:p w:rsidR="00011591" w:rsidRPr="00EF2D2B" w:rsidRDefault="00011591" w:rsidP="00011591">
            <w:pPr>
              <w:pStyle w:val="TableParagraph"/>
              <w:tabs>
                <w:tab w:val="left" w:pos="0"/>
              </w:tabs>
              <w:spacing w:line="276" w:lineRule="auto"/>
              <w:ind w:right="686"/>
              <w:rPr>
                <w:sz w:val="20"/>
                <w:szCs w:val="20"/>
                <w:lang w:val="mn-MN"/>
              </w:rPr>
            </w:pPr>
            <w:r w:rsidRPr="00731F96">
              <w:rPr>
                <w:sz w:val="20"/>
                <w:szCs w:val="20"/>
                <w:lang w:val="mn-MN"/>
              </w:rPr>
              <w:t>Дэд станцын фазор өгөгдлийн хуримтлуулагч – дэд станц дахь хэд хэдэн PMU-ээс цуглуулдаг, тохируул</w:t>
            </w:r>
            <w:r w:rsidRPr="00EF2D2B">
              <w:rPr>
                <w:sz w:val="20"/>
                <w:szCs w:val="20"/>
                <w:lang w:val="mn-MN"/>
              </w:rPr>
              <w:t>даг, сонгодог ба задалдаг.</w:t>
            </w:r>
          </w:p>
        </w:tc>
      </w:tr>
      <w:tr w:rsidR="00011591"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lastRenderedPageBreak/>
              <w:t>PDC</w:t>
            </w:r>
          </w:p>
        </w:tc>
        <w:tc>
          <w:tcPr>
            <w:tcW w:w="5621" w:type="dxa"/>
          </w:tcPr>
          <w:p w:rsidR="00011591" w:rsidRPr="00731F96" w:rsidRDefault="00011591" w:rsidP="00011591">
            <w:pPr>
              <w:pStyle w:val="TableParagraph"/>
              <w:tabs>
                <w:tab w:val="left" w:pos="0"/>
              </w:tabs>
              <w:spacing w:before="58" w:line="276" w:lineRule="auto"/>
              <w:ind w:right="206"/>
              <w:rPr>
                <w:sz w:val="20"/>
                <w:szCs w:val="20"/>
                <w:lang w:val="mn-MN"/>
              </w:rPr>
            </w:pPr>
            <w:r w:rsidRPr="00731F96">
              <w:rPr>
                <w:sz w:val="20"/>
                <w:szCs w:val="20"/>
                <w:lang w:val="mn-MN"/>
              </w:rPr>
              <w:t>фазор өгөгдлийн хуримтлуулагч – хэд хэдэн PMU буюу бусад PDC-ээс өгөгдлийг цуглуулдаг, тохируулдаг, сонгодог ба задалдаг.</w:t>
            </w:r>
          </w:p>
        </w:tc>
      </w:tr>
      <w:tr w:rsidR="00011591"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ET</w:t>
            </w:r>
          </w:p>
        </w:tc>
        <w:tc>
          <w:tcPr>
            <w:tcW w:w="5621" w:type="dxa"/>
          </w:tcPr>
          <w:p w:rsidR="00011591" w:rsidRPr="00731F96" w:rsidRDefault="00011591" w:rsidP="00011591">
            <w:pPr>
              <w:pStyle w:val="TableParagraph"/>
              <w:tabs>
                <w:tab w:val="left" w:pos="0"/>
              </w:tabs>
              <w:spacing w:line="276" w:lineRule="auto"/>
              <w:ind w:right="588"/>
              <w:rPr>
                <w:sz w:val="20"/>
                <w:szCs w:val="20"/>
                <w:lang w:val="mn-MN"/>
              </w:rPr>
            </w:pPr>
            <w:r w:rsidRPr="00731F96">
              <w:rPr>
                <w:sz w:val="20"/>
                <w:szCs w:val="20"/>
                <w:lang w:val="mn-MN"/>
              </w:rPr>
              <w:t>Үйл явдлын триггер – Дараа нь засварлах/дүн шинжилгээ хийх зорилгоор тодорхой хугацаанд өгөгдөл архивлахыг PDC болон ssPDC-д мэдэгдэнэ.</w:t>
            </w:r>
          </w:p>
        </w:tc>
      </w:tr>
      <w:tr w:rsidR="00011591"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DA</w:t>
            </w:r>
          </w:p>
        </w:tc>
        <w:tc>
          <w:tcPr>
            <w:tcW w:w="5621"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Өгөгдөл архивлагч – PDC эсвэл ssPDC-ээс өгөгдлийг дараа засварлах, дүн шинжилгээ хийх зорилгоор non-volatile media-д хадгалах чадвартай функциональ нэгж</w:t>
            </w:r>
          </w:p>
        </w:tc>
      </w:tr>
    </w:tbl>
    <w:p w:rsidR="00011591" w:rsidRPr="001C4C31" w:rsidRDefault="00011591" w:rsidP="00011591">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486"/>
        <w:gridCol w:w="5858"/>
      </w:tblGrid>
      <w:tr w:rsidR="00011591" w:rsidTr="00A71B0E">
        <w:tc>
          <w:tcPr>
            <w:tcW w:w="3486" w:type="dxa"/>
          </w:tcPr>
          <w:p w:rsidR="00011591" w:rsidRPr="00EF2D2B" w:rsidRDefault="00011591"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858" w:type="dxa"/>
          </w:tcPr>
          <w:p w:rsidR="00011591" w:rsidRPr="00EF2D2B" w:rsidRDefault="00011591" w:rsidP="00A71B0E">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011591" w:rsidTr="00A71B0E">
        <w:tc>
          <w:tcPr>
            <w:tcW w:w="3486"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PMU</w:t>
            </w:r>
          </w:p>
        </w:tc>
        <w:tc>
          <w:tcPr>
            <w:tcW w:w="5858"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Computes synchrophasors &amp; frequency</w:t>
            </w:r>
          </w:p>
        </w:tc>
      </w:tr>
      <w:tr w:rsidR="00011591" w:rsidTr="00A71B0E">
        <w:tc>
          <w:tcPr>
            <w:tcW w:w="3486"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ssPDC</w:t>
            </w:r>
          </w:p>
        </w:tc>
        <w:tc>
          <w:tcPr>
            <w:tcW w:w="5858" w:type="dxa"/>
          </w:tcPr>
          <w:p w:rsidR="00011591" w:rsidRPr="00731F96" w:rsidRDefault="00011591" w:rsidP="00011591">
            <w:pPr>
              <w:pStyle w:val="TableParagraph"/>
              <w:tabs>
                <w:tab w:val="left" w:pos="0"/>
              </w:tabs>
              <w:spacing w:line="276" w:lineRule="auto"/>
              <w:ind w:right="748"/>
              <w:rPr>
                <w:sz w:val="20"/>
                <w:szCs w:val="20"/>
                <w:lang w:val="mn-MN"/>
              </w:rPr>
            </w:pPr>
            <w:r w:rsidRPr="00731F96">
              <w:rPr>
                <w:sz w:val="20"/>
                <w:szCs w:val="20"/>
                <w:lang w:val="mn-MN"/>
              </w:rPr>
              <w:t>Substation Phasor Data Concentrator – collects, aligns, selects &amp; possibly decimates data from several PMUs in the substation</w:t>
            </w:r>
          </w:p>
        </w:tc>
      </w:tr>
      <w:tr w:rsidR="00011591" w:rsidTr="00A71B0E">
        <w:tc>
          <w:tcPr>
            <w:tcW w:w="3486"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PDC</w:t>
            </w:r>
          </w:p>
        </w:tc>
        <w:tc>
          <w:tcPr>
            <w:tcW w:w="5858" w:type="dxa"/>
          </w:tcPr>
          <w:p w:rsidR="00011591" w:rsidRPr="00731F96" w:rsidRDefault="00011591" w:rsidP="00011591">
            <w:pPr>
              <w:pStyle w:val="TableParagraph"/>
              <w:tabs>
                <w:tab w:val="left" w:pos="0"/>
              </w:tabs>
              <w:spacing w:line="276" w:lineRule="auto"/>
              <w:ind w:right="748"/>
              <w:rPr>
                <w:sz w:val="20"/>
                <w:szCs w:val="20"/>
                <w:lang w:val="mn-MN"/>
              </w:rPr>
            </w:pPr>
            <w:r w:rsidRPr="00731F96">
              <w:rPr>
                <w:sz w:val="20"/>
                <w:szCs w:val="20"/>
                <w:lang w:val="mn-MN"/>
              </w:rPr>
              <w:t>Phasor Data Concentrator – collects, aligns, selects &amp; possibly decimates data from several PMUs or other PDCs</w:t>
            </w:r>
          </w:p>
        </w:tc>
      </w:tr>
      <w:tr w:rsidR="00011591" w:rsidTr="00A71B0E">
        <w:tc>
          <w:tcPr>
            <w:tcW w:w="3486"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ET</w:t>
            </w:r>
          </w:p>
        </w:tc>
        <w:tc>
          <w:tcPr>
            <w:tcW w:w="5858" w:type="dxa"/>
          </w:tcPr>
          <w:p w:rsidR="00011591" w:rsidRPr="00731F96" w:rsidRDefault="00011591" w:rsidP="00011591">
            <w:pPr>
              <w:pStyle w:val="TableParagraph"/>
              <w:tabs>
                <w:tab w:val="left" w:pos="0"/>
              </w:tabs>
              <w:spacing w:line="276" w:lineRule="auto"/>
              <w:ind w:right="588"/>
              <w:rPr>
                <w:sz w:val="20"/>
                <w:szCs w:val="20"/>
                <w:lang w:val="mn-MN"/>
              </w:rPr>
            </w:pPr>
            <w:r w:rsidRPr="00731F96">
              <w:rPr>
                <w:sz w:val="20"/>
                <w:szCs w:val="20"/>
                <w:lang w:val="mn-MN"/>
              </w:rPr>
              <w:t>Event trigger – notifies PDCs and ssPDCs to archive data within a particular time frame for later retrieval / analysis</w:t>
            </w:r>
          </w:p>
        </w:tc>
      </w:tr>
      <w:tr w:rsidR="00011591" w:rsidTr="00A71B0E">
        <w:tc>
          <w:tcPr>
            <w:tcW w:w="3486"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DA</w:t>
            </w:r>
          </w:p>
        </w:tc>
        <w:tc>
          <w:tcPr>
            <w:tcW w:w="5858"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Data archiver – a functional unit with the ability to store continuous or</w:t>
            </w:r>
            <w:r>
              <w:rPr>
                <w:sz w:val="20"/>
                <w:szCs w:val="20"/>
              </w:rPr>
              <w:t xml:space="preserve"> </w:t>
            </w:r>
            <w:r w:rsidRPr="00731F96">
              <w:rPr>
                <w:sz w:val="20"/>
                <w:szCs w:val="20"/>
                <w:lang w:val="mn-MN"/>
              </w:rPr>
              <w:t>event data from a PDC or ssPDC in non-volatile media for later retrieval and analysis</w:t>
            </w:r>
          </w:p>
        </w:tc>
      </w:tr>
    </w:tbl>
    <w:p w:rsidR="00011591" w:rsidRDefault="00011591" w:rsidP="00011591">
      <w:pPr>
        <w:ind w:left="0" w:firstLine="0"/>
        <w:rPr>
          <w:b/>
          <w:lang w:val="en-US"/>
        </w:rPr>
      </w:pPr>
    </w:p>
    <w:p w:rsidR="00011591" w:rsidRDefault="00011591" w:rsidP="00011591">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539"/>
        <w:gridCol w:w="5805"/>
      </w:tblGrid>
      <w:tr w:rsidR="00011591" w:rsidRPr="00EF2D2B" w:rsidTr="00A71B0E">
        <w:tc>
          <w:tcPr>
            <w:tcW w:w="3539" w:type="dxa"/>
          </w:tcPr>
          <w:p w:rsidR="00011591" w:rsidRPr="00EF2D2B" w:rsidRDefault="00011591"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805" w:type="dxa"/>
          </w:tcPr>
          <w:p w:rsidR="00011591" w:rsidRPr="00EF2D2B" w:rsidRDefault="00011591" w:rsidP="00A71B0E">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011591" w:rsidRPr="00731F96" w:rsidTr="00A71B0E">
        <w:tc>
          <w:tcPr>
            <w:tcW w:w="3539"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Өгөгдлийн түүвэр ба Фазор тооцоо</w:t>
            </w:r>
          </w:p>
        </w:tc>
        <w:tc>
          <w:tcPr>
            <w:tcW w:w="5805" w:type="dxa"/>
          </w:tcPr>
          <w:p w:rsidR="00011591" w:rsidRPr="00731F96" w:rsidRDefault="00011591" w:rsidP="00011591">
            <w:pPr>
              <w:pStyle w:val="TableParagraph"/>
              <w:tabs>
                <w:tab w:val="left" w:pos="0"/>
              </w:tabs>
              <w:spacing w:line="276" w:lineRule="auto"/>
              <w:ind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011591" w:rsidRPr="00731F96" w:rsidTr="00A71B0E">
        <w:tc>
          <w:tcPr>
            <w:tcW w:w="3539"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Өгөгдөл илгээх</w:t>
            </w:r>
          </w:p>
        </w:tc>
        <w:tc>
          <w:tcPr>
            <w:tcW w:w="5805"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PMU нь синхрофазор ба давтамжийн утгыг илгээдэг</w:t>
            </w:r>
          </w:p>
        </w:tc>
      </w:tr>
      <w:tr w:rsidR="00011591" w:rsidRPr="00731F96" w:rsidTr="00A71B0E">
        <w:tc>
          <w:tcPr>
            <w:tcW w:w="3539" w:type="dxa"/>
          </w:tcPr>
          <w:p w:rsidR="00011591" w:rsidRPr="00EF2D2B" w:rsidRDefault="00011591" w:rsidP="00011591">
            <w:pPr>
              <w:pStyle w:val="TableParagraph"/>
              <w:tabs>
                <w:tab w:val="left" w:pos="0"/>
              </w:tabs>
              <w:spacing w:before="58" w:line="276" w:lineRule="auto"/>
              <w:rPr>
                <w:sz w:val="20"/>
                <w:szCs w:val="20"/>
                <w:lang w:val="mn-MN"/>
              </w:rPr>
            </w:pPr>
            <w:r w:rsidRPr="00EF2D2B">
              <w:rPr>
                <w:sz w:val="20"/>
                <w:szCs w:val="20"/>
                <w:lang w:val="mn-MN"/>
              </w:rPr>
              <w:t>Өгөгдөл хүлээн авах/илгээх</w:t>
            </w:r>
          </w:p>
        </w:tc>
        <w:tc>
          <w:tcPr>
            <w:tcW w:w="5805" w:type="dxa"/>
          </w:tcPr>
          <w:p w:rsidR="00011591" w:rsidRPr="00731F96" w:rsidRDefault="00011591" w:rsidP="00011591">
            <w:pPr>
              <w:pStyle w:val="TableParagraph"/>
              <w:tabs>
                <w:tab w:val="left" w:pos="0"/>
              </w:tabs>
              <w:spacing w:before="58" w:line="276" w:lineRule="auto"/>
              <w:ind w:right="588"/>
              <w:rPr>
                <w:sz w:val="20"/>
                <w:szCs w:val="20"/>
                <w:lang w:val="mn-MN"/>
              </w:rPr>
            </w:pPr>
            <w:r w:rsidRPr="00731F96">
              <w:rPr>
                <w:sz w:val="20"/>
                <w:szCs w:val="20"/>
                <w:lang w:val="mn-MN"/>
              </w:rPr>
              <w:t>Хэрэв ssPDC байгаа бол өгөгдлийг дэд станцад хүлээн авч, бусад PMU-ийн өгөгдөлтэй нэгтгэж, очих газрын PDC руу дамжуулна</w:t>
            </w:r>
          </w:p>
        </w:tc>
      </w:tr>
      <w:tr w:rsidR="00011591" w:rsidRPr="00731F96" w:rsidTr="00A71B0E">
        <w:tc>
          <w:tcPr>
            <w:tcW w:w="3539"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Өгөгдөл хүлээн авах</w:t>
            </w:r>
          </w:p>
        </w:tc>
        <w:tc>
          <w:tcPr>
            <w:tcW w:w="5805" w:type="dxa"/>
          </w:tcPr>
          <w:p w:rsidR="00011591" w:rsidRPr="00731F96" w:rsidRDefault="00011591" w:rsidP="00011591">
            <w:pPr>
              <w:pStyle w:val="TableParagraph"/>
              <w:tabs>
                <w:tab w:val="left" w:pos="0"/>
              </w:tabs>
              <w:spacing w:line="276" w:lineRule="auto"/>
              <w:ind w:right="309"/>
              <w:jc w:val="both"/>
              <w:rPr>
                <w:sz w:val="20"/>
                <w:szCs w:val="20"/>
                <w:lang w:val="mn-MN"/>
              </w:rPr>
            </w:pPr>
            <w:r w:rsidRPr="00731F96">
              <w:rPr>
                <w:sz w:val="20"/>
                <w:szCs w:val="20"/>
                <w:lang w:val="mn-MN"/>
              </w:rPr>
              <w:t>PDC нь PMU эсвэл ssPDC-ээс өгөгдөл хүлээн авч, бусад хэмжих нэгжүүдийн өгөгдөлтэй нэгтгэж, хэрэглээнд илгээнэ</w:t>
            </w:r>
          </w:p>
        </w:tc>
      </w:tr>
      <w:tr w:rsidR="00011591" w:rsidRPr="00731F96" w:rsidTr="00A71B0E">
        <w:tc>
          <w:tcPr>
            <w:tcW w:w="3539"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Үйл явдлын триггерийг бүртгэх ба илгээх</w:t>
            </w:r>
          </w:p>
        </w:tc>
        <w:tc>
          <w:tcPr>
            <w:tcW w:w="5805" w:type="dxa"/>
          </w:tcPr>
          <w:p w:rsidR="00011591" w:rsidRPr="00731F96" w:rsidRDefault="00011591" w:rsidP="00011591">
            <w:pPr>
              <w:pStyle w:val="TableParagraph"/>
              <w:tabs>
                <w:tab w:val="left" w:pos="0"/>
              </w:tabs>
              <w:spacing w:before="0" w:line="276" w:lineRule="auto"/>
              <w:rPr>
                <w:sz w:val="20"/>
                <w:szCs w:val="20"/>
                <w:lang w:val="mn-MN"/>
              </w:rPr>
            </w:pPr>
            <w:r w:rsidRPr="00731F96">
              <w:rPr>
                <w:sz w:val="20"/>
                <w:szCs w:val="20"/>
                <w:lang w:val="mn-MN"/>
              </w:rPr>
              <w:t>ET нь үйл ажиллагаа хэзээ болохыг тодорхойлох, үйл ажиллагааг зөв бүртгэхэд DA-д хангалттай триггерийн мэдээллийг илгээнэ.</w:t>
            </w:r>
          </w:p>
        </w:tc>
      </w:tr>
      <w:tr w:rsidR="00011591" w:rsidRPr="00731F96" w:rsidTr="00A71B0E">
        <w:tc>
          <w:tcPr>
            <w:tcW w:w="3539"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Үйл явдлын триггерийг хүлээн авах</w:t>
            </w:r>
          </w:p>
        </w:tc>
        <w:tc>
          <w:tcPr>
            <w:tcW w:w="5805" w:type="dxa"/>
          </w:tcPr>
          <w:p w:rsidR="00011591" w:rsidRPr="00731F96" w:rsidRDefault="00011591" w:rsidP="00011591">
            <w:pPr>
              <w:pStyle w:val="TableParagraph"/>
              <w:tabs>
                <w:tab w:val="left" w:pos="0"/>
              </w:tabs>
              <w:spacing w:line="276" w:lineRule="auto"/>
              <w:ind w:right="230"/>
              <w:rPr>
                <w:sz w:val="20"/>
                <w:szCs w:val="20"/>
                <w:lang w:val="mn-MN"/>
              </w:rPr>
            </w:pPr>
            <w:r w:rsidRPr="00731F96">
              <w:rPr>
                <w:sz w:val="20"/>
                <w:szCs w:val="20"/>
                <w:lang w:val="mn-MN"/>
              </w:rPr>
              <w:t>DA нь ET-ээс үйл ажиллагаагдараа засварлах, дүн шинжилгээ хийхээр архивлахыг тодорхойлсон мессеж хүлээн авна</w:t>
            </w:r>
          </w:p>
        </w:tc>
      </w:tr>
      <w:tr w:rsidR="00011591" w:rsidRPr="00731F96" w:rsidTr="00A71B0E">
        <w:tc>
          <w:tcPr>
            <w:tcW w:w="3539"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Үйл явдлын өгөгдөл илгээх</w:t>
            </w:r>
          </w:p>
        </w:tc>
        <w:tc>
          <w:tcPr>
            <w:tcW w:w="5805"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PDC эсвэл ssPDC нь үйл ажиллагааны өгөгдлийг DA руу илгээнэ</w:t>
            </w:r>
          </w:p>
        </w:tc>
      </w:tr>
    </w:tbl>
    <w:p w:rsidR="00011591" w:rsidRPr="00EF2D2B" w:rsidRDefault="00011591" w:rsidP="00011591">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011591" w:rsidRPr="00EF2D2B" w:rsidTr="00A71B0E">
        <w:tc>
          <w:tcPr>
            <w:tcW w:w="3723" w:type="dxa"/>
          </w:tcPr>
          <w:p w:rsidR="00011591" w:rsidRPr="00EF2D2B" w:rsidRDefault="00011591"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011591" w:rsidRPr="00EF2D2B" w:rsidRDefault="00011591" w:rsidP="00A71B0E">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011591" w:rsidRPr="00EF2D2B"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lastRenderedPageBreak/>
              <w:t>Data sampling &amp; phasor estimate</w:t>
            </w:r>
          </w:p>
        </w:tc>
        <w:tc>
          <w:tcPr>
            <w:tcW w:w="5621" w:type="dxa"/>
          </w:tcPr>
          <w:p w:rsidR="00011591" w:rsidRPr="00731F96" w:rsidRDefault="00011591" w:rsidP="00011591">
            <w:pPr>
              <w:pStyle w:val="TableParagraph"/>
              <w:tabs>
                <w:tab w:val="left" w:pos="0"/>
              </w:tabs>
              <w:spacing w:line="276" w:lineRule="auto"/>
              <w:ind w:right="588"/>
              <w:rPr>
                <w:sz w:val="20"/>
                <w:szCs w:val="20"/>
                <w:lang w:val="mn-MN"/>
              </w:rPr>
            </w:pPr>
            <w:r w:rsidRPr="00731F96">
              <w:rPr>
                <w:sz w:val="20"/>
                <w:szCs w:val="20"/>
                <w:lang w:val="mn-MN"/>
              </w:rPr>
              <w:t>PMU estimates synchrophasor and frequency values from voltages and currents</w:t>
            </w:r>
          </w:p>
        </w:tc>
      </w:tr>
      <w:tr w:rsidR="00011591" w:rsidRPr="00731F96"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Data sending</w:t>
            </w:r>
          </w:p>
        </w:tc>
        <w:tc>
          <w:tcPr>
            <w:tcW w:w="5621"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PMU sends synchrophasor &amp; frequency values</w:t>
            </w:r>
          </w:p>
        </w:tc>
      </w:tr>
      <w:tr w:rsidR="00011591" w:rsidRPr="00731F96"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Data receiving/sending</w:t>
            </w:r>
          </w:p>
        </w:tc>
        <w:tc>
          <w:tcPr>
            <w:tcW w:w="5621" w:type="dxa"/>
          </w:tcPr>
          <w:p w:rsidR="00011591" w:rsidRPr="00731F96" w:rsidRDefault="00011591" w:rsidP="00011591">
            <w:pPr>
              <w:pStyle w:val="TableParagraph"/>
              <w:tabs>
                <w:tab w:val="left" w:pos="0"/>
              </w:tabs>
              <w:spacing w:line="276" w:lineRule="auto"/>
              <w:ind w:right="588"/>
              <w:rPr>
                <w:sz w:val="20"/>
                <w:szCs w:val="20"/>
                <w:lang w:val="mn-MN"/>
              </w:rPr>
            </w:pPr>
            <w:r w:rsidRPr="00731F96">
              <w:rPr>
                <w:sz w:val="20"/>
                <w:szCs w:val="20"/>
                <w:lang w:val="mn-MN"/>
              </w:rPr>
              <w:t>If there is an ssPDC, the data is received in the substation, combined with data from other PMUs, and forwarded to the destination PDC</w:t>
            </w:r>
          </w:p>
        </w:tc>
      </w:tr>
      <w:tr w:rsidR="00011591" w:rsidRPr="00731F96"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Data receiving</w:t>
            </w:r>
          </w:p>
        </w:tc>
        <w:tc>
          <w:tcPr>
            <w:tcW w:w="5621" w:type="dxa"/>
          </w:tcPr>
          <w:p w:rsidR="00011591" w:rsidRPr="00731F96" w:rsidRDefault="00011591" w:rsidP="00011591">
            <w:pPr>
              <w:pStyle w:val="TableParagraph"/>
              <w:tabs>
                <w:tab w:val="left" w:pos="0"/>
              </w:tabs>
              <w:spacing w:line="276" w:lineRule="auto"/>
              <w:ind w:right="588"/>
              <w:rPr>
                <w:sz w:val="20"/>
                <w:szCs w:val="20"/>
                <w:lang w:val="mn-MN"/>
              </w:rPr>
            </w:pPr>
            <w:r w:rsidRPr="00731F96">
              <w:rPr>
                <w:sz w:val="20"/>
                <w:szCs w:val="20"/>
                <w:lang w:val="mn-MN"/>
              </w:rPr>
              <w:t>PDC receives data from PMU or ssPDC, combines with data from other measuring units, and sends on to applications</w:t>
            </w:r>
          </w:p>
        </w:tc>
      </w:tr>
      <w:tr w:rsidR="00011591" w:rsidRPr="00731F96"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Event trigger detection &amp; sending</w:t>
            </w:r>
          </w:p>
        </w:tc>
        <w:tc>
          <w:tcPr>
            <w:tcW w:w="5621"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The ET determines when an event has occurred and sends a trigger that has sufficient information for the Data Archiver to correctly record the</w:t>
            </w:r>
          </w:p>
          <w:p w:rsidR="00011591" w:rsidRPr="00731F96" w:rsidRDefault="00011591" w:rsidP="00011591">
            <w:pPr>
              <w:pStyle w:val="TableParagraph"/>
              <w:tabs>
                <w:tab w:val="left" w:pos="0"/>
              </w:tabs>
              <w:spacing w:before="0" w:line="276" w:lineRule="auto"/>
              <w:ind w:left="107"/>
              <w:rPr>
                <w:sz w:val="20"/>
                <w:szCs w:val="20"/>
                <w:lang w:val="mn-MN"/>
              </w:rPr>
            </w:pPr>
            <w:r w:rsidRPr="00731F96">
              <w:rPr>
                <w:sz w:val="20"/>
                <w:szCs w:val="20"/>
                <w:lang w:val="mn-MN"/>
              </w:rPr>
              <w:t>event</w:t>
            </w:r>
          </w:p>
        </w:tc>
      </w:tr>
      <w:tr w:rsidR="00011591" w:rsidRPr="00731F96"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Event trigger receiving</w:t>
            </w:r>
          </w:p>
        </w:tc>
        <w:tc>
          <w:tcPr>
            <w:tcW w:w="5621" w:type="dxa"/>
          </w:tcPr>
          <w:p w:rsidR="00011591" w:rsidRPr="00EF2D2B" w:rsidRDefault="00011591" w:rsidP="00011591">
            <w:pPr>
              <w:pStyle w:val="TableParagraph"/>
              <w:tabs>
                <w:tab w:val="left" w:pos="0"/>
              </w:tabs>
              <w:spacing w:line="276" w:lineRule="auto"/>
              <w:ind w:right="230"/>
              <w:rPr>
                <w:sz w:val="20"/>
                <w:szCs w:val="20"/>
                <w:lang w:val="mn-MN"/>
              </w:rPr>
            </w:pPr>
            <w:r w:rsidRPr="00731F96">
              <w:rPr>
                <w:sz w:val="20"/>
                <w:szCs w:val="20"/>
                <w:lang w:val="mn-MN"/>
              </w:rPr>
              <w:t xml:space="preserve">A </w:t>
            </w:r>
            <w:r w:rsidRPr="00731F96">
              <w:rPr>
                <w:spacing w:val="3"/>
                <w:sz w:val="20"/>
                <w:szCs w:val="20"/>
                <w:lang w:val="mn-MN"/>
              </w:rPr>
              <w:t xml:space="preserve">DA </w:t>
            </w:r>
            <w:r w:rsidRPr="00731F96">
              <w:rPr>
                <w:spacing w:val="5"/>
                <w:sz w:val="20"/>
                <w:szCs w:val="20"/>
                <w:lang w:val="mn-MN"/>
              </w:rPr>
              <w:t xml:space="preserve">receives </w:t>
            </w:r>
            <w:r w:rsidRPr="00731F96">
              <w:rPr>
                <w:sz w:val="20"/>
                <w:szCs w:val="20"/>
                <w:lang w:val="mn-MN"/>
              </w:rPr>
              <w:t xml:space="preserve">a </w:t>
            </w:r>
            <w:r w:rsidRPr="00731F96">
              <w:rPr>
                <w:spacing w:val="6"/>
                <w:sz w:val="20"/>
                <w:szCs w:val="20"/>
                <w:lang w:val="mn-MN"/>
              </w:rPr>
              <w:t xml:space="preserve">message </w:t>
            </w:r>
            <w:r w:rsidRPr="00731F96">
              <w:rPr>
                <w:spacing w:val="5"/>
                <w:sz w:val="20"/>
                <w:szCs w:val="20"/>
                <w:lang w:val="mn-MN"/>
              </w:rPr>
              <w:t xml:space="preserve">from </w:t>
            </w:r>
            <w:r w:rsidRPr="00EF2D2B">
              <w:rPr>
                <w:spacing w:val="3"/>
                <w:sz w:val="20"/>
                <w:szCs w:val="20"/>
                <w:lang w:val="mn-MN"/>
              </w:rPr>
              <w:t xml:space="preserve">an ET </w:t>
            </w:r>
            <w:r w:rsidRPr="00EF2D2B">
              <w:rPr>
                <w:spacing w:val="6"/>
                <w:sz w:val="20"/>
                <w:szCs w:val="20"/>
                <w:lang w:val="mn-MN"/>
              </w:rPr>
              <w:t xml:space="preserve">specifying </w:t>
            </w:r>
            <w:r w:rsidRPr="00EF2D2B">
              <w:rPr>
                <w:spacing w:val="4"/>
                <w:sz w:val="20"/>
                <w:szCs w:val="20"/>
                <w:lang w:val="mn-MN"/>
              </w:rPr>
              <w:t xml:space="preserve">an </w:t>
            </w:r>
            <w:r w:rsidRPr="00EF2D2B">
              <w:rPr>
                <w:spacing w:val="5"/>
                <w:sz w:val="20"/>
                <w:szCs w:val="20"/>
                <w:lang w:val="mn-MN"/>
              </w:rPr>
              <w:t xml:space="preserve">event </w:t>
            </w:r>
            <w:r w:rsidRPr="00EF2D2B">
              <w:rPr>
                <w:spacing w:val="4"/>
                <w:sz w:val="20"/>
                <w:szCs w:val="20"/>
                <w:lang w:val="mn-MN"/>
              </w:rPr>
              <w:t xml:space="preserve">to be </w:t>
            </w:r>
            <w:r w:rsidRPr="00EF2D2B">
              <w:rPr>
                <w:spacing w:val="6"/>
                <w:sz w:val="20"/>
                <w:szCs w:val="20"/>
                <w:lang w:val="mn-MN"/>
              </w:rPr>
              <w:t xml:space="preserve">archived </w:t>
            </w:r>
            <w:r w:rsidRPr="00EF2D2B">
              <w:rPr>
                <w:spacing w:val="4"/>
                <w:sz w:val="20"/>
                <w:szCs w:val="20"/>
                <w:lang w:val="mn-MN"/>
              </w:rPr>
              <w:t xml:space="preserve">for </w:t>
            </w:r>
            <w:r w:rsidRPr="00EF2D2B">
              <w:rPr>
                <w:spacing w:val="5"/>
                <w:sz w:val="20"/>
                <w:szCs w:val="20"/>
                <w:lang w:val="mn-MN"/>
              </w:rPr>
              <w:t xml:space="preserve">later </w:t>
            </w:r>
            <w:r w:rsidRPr="00EF2D2B">
              <w:rPr>
                <w:spacing w:val="6"/>
                <w:sz w:val="20"/>
                <w:szCs w:val="20"/>
                <w:lang w:val="mn-MN"/>
              </w:rPr>
              <w:t xml:space="preserve">retrieval </w:t>
            </w:r>
            <w:r w:rsidRPr="00EF2D2B">
              <w:rPr>
                <w:spacing w:val="4"/>
                <w:sz w:val="20"/>
                <w:szCs w:val="20"/>
                <w:lang w:val="mn-MN"/>
              </w:rPr>
              <w:t>or</w:t>
            </w:r>
            <w:r w:rsidRPr="00EF2D2B">
              <w:rPr>
                <w:spacing w:val="43"/>
                <w:sz w:val="20"/>
                <w:szCs w:val="20"/>
                <w:lang w:val="mn-MN"/>
              </w:rPr>
              <w:t xml:space="preserve"> </w:t>
            </w:r>
            <w:r w:rsidRPr="00EF2D2B">
              <w:rPr>
                <w:spacing w:val="6"/>
                <w:sz w:val="20"/>
                <w:szCs w:val="20"/>
                <w:lang w:val="mn-MN"/>
              </w:rPr>
              <w:t>analysis.</w:t>
            </w:r>
          </w:p>
        </w:tc>
      </w:tr>
      <w:tr w:rsidR="00011591" w:rsidRPr="00731F96" w:rsidTr="00A71B0E">
        <w:tc>
          <w:tcPr>
            <w:tcW w:w="3723" w:type="dxa"/>
          </w:tcPr>
          <w:p w:rsidR="00011591" w:rsidRPr="00EF2D2B" w:rsidRDefault="00011591" w:rsidP="00011591">
            <w:pPr>
              <w:pStyle w:val="TableParagraph"/>
              <w:tabs>
                <w:tab w:val="left" w:pos="0"/>
              </w:tabs>
              <w:spacing w:line="276" w:lineRule="auto"/>
              <w:rPr>
                <w:sz w:val="20"/>
                <w:szCs w:val="20"/>
                <w:lang w:val="mn-MN"/>
              </w:rPr>
            </w:pPr>
            <w:r w:rsidRPr="00EF2D2B">
              <w:rPr>
                <w:sz w:val="20"/>
                <w:szCs w:val="20"/>
                <w:lang w:val="mn-MN"/>
              </w:rPr>
              <w:t>Event data sending</w:t>
            </w:r>
          </w:p>
        </w:tc>
        <w:tc>
          <w:tcPr>
            <w:tcW w:w="5621" w:type="dxa"/>
          </w:tcPr>
          <w:p w:rsidR="00011591" w:rsidRPr="00731F96" w:rsidRDefault="00011591" w:rsidP="00011591">
            <w:pPr>
              <w:pStyle w:val="TableParagraph"/>
              <w:tabs>
                <w:tab w:val="left" w:pos="0"/>
              </w:tabs>
              <w:spacing w:line="276" w:lineRule="auto"/>
              <w:rPr>
                <w:sz w:val="20"/>
                <w:szCs w:val="20"/>
                <w:lang w:val="mn-MN"/>
              </w:rPr>
            </w:pPr>
            <w:r w:rsidRPr="00731F96">
              <w:rPr>
                <w:sz w:val="20"/>
                <w:szCs w:val="20"/>
                <w:lang w:val="mn-MN"/>
              </w:rPr>
              <w:t>A PDC or ssPDC sends data for the event to a DA.</w:t>
            </w:r>
          </w:p>
        </w:tc>
      </w:tr>
    </w:tbl>
    <w:p w:rsidR="00011591" w:rsidRPr="00EF2D2B" w:rsidRDefault="00011591" w:rsidP="00011591">
      <w:pPr>
        <w:tabs>
          <w:tab w:val="left" w:pos="0"/>
        </w:tabs>
        <w:spacing w:before="93"/>
        <w:rPr>
          <w:b/>
        </w:rPr>
      </w:pPr>
    </w:p>
    <w:p w:rsidR="00011591" w:rsidRPr="00731F96" w:rsidRDefault="00011591" w:rsidP="00011591">
      <w:pPr>
        <w:tabs>
          <w:tab w:val="left" w:pos="0"/>
        </w:tabs>
        <w:spacing w:before="93"/>
        <w:ind w:left="0" w:firstLine="0"/>
        <w:rPr>
          <w:b/>
        </w:rPr>
      </w:pPr>
      <w:r w:rsidRPr="00731F96">
        <w:rPr>
          <w:b/>
        </w:rPr>
        <w:t>Үндсэн</w:t>
      </w:r>
      <w:r>
        <w:rPr>
          <w:b/>
        </w:rPr>
        <w:t xml:space="preserve"> урсгал:</w:t>
      </w:r>
    </w:p>
    <w:p w:rsidR="00011591" w:rsidRPr="00453EF5" w:rsidRDefault="00011591" w:rsidP="00011591">
      <w:pPr>
        <w:tabs>
          <w:tab w:val="left" w:pos="0"/>
        </w:tabs>
        <w:spacing w:before="93"/>
        <w:ind w:left="0" w:firstLine="0"/>
      </w:pPr>
      <w:r w:rsidRPr="00453EF5">
        <w:t>Өгөгдөл үүсгэх ба илгээх</w:t>
      </w:r>
    </w:p>
    <w:tbl>
      <w:tblPr>
        <w:tblStyle w:val="TableGrid"/>
        <w:tblW w:w="0" w:type="auto"/>
        <w:tblLook w:val="04A0" w:firstRow="1" w:lastRow="0" w:firstColumn="1" w:lastColumn="0" w:noHBand="0" w:noVBand="1"/>
      </w:tblPr>
      <w:tblGrid>
        <w:gridCol w:w="1696"/>
        <w:gridCol w:w="7648"/>
      </w:tblGrid>
      <w:tr w:rsidR="00011591" w:rsidRPr="00EF2D2B" w:rsidTr="00A71B0E">
        <w:tc>
          <w:tcPr>
            <w:tcW w:w="1696" w:type="dxa"/>
          </w:tcPr>
          <w:p w:rsidR="00011591" w:rsidRPr="00EF2D2B" w:rsidRDefault="00011591"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011591" w:rsidRPr="00731F96" w:rsidRDefault="00011591" w:rsidP="00A71B0E">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011591" w:rsidRPr="00731F96" w:rsidTr="00A71B0E">
        <w:tc>
          <w:tcPr>
            <w:tcW w:w="1696"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1</w:t>
            </w:r>
          </w:p>
        </w:tc>
        <w:tc>
          <w:tcPr>
            <w:tcW w:w="7648"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PMU нь V ба I –ээс синхрофазор ба системийн давтамжийг тооцоолдог</w:t>
            </w:r>
          </w:p>
        </w:tc>
      </w:tr>
      <w:tr w:rsidR="00011591" w:rsidRPr="00731F96" w:rsidTr="00A71B0E">
        <w:tc>
          <w:tcPr>
            <w:tcW w:w="1696"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2</w:t>
            </w:r>
          </w:p>
        </w:tc>
        <w:tc>
          <w:tcPr>
            <w:tcW w:w="7648"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PMU нь өгөгдсөн гаралтын хурдаар фазууд болон давтамжийг сонгоно</w:t>
            </w:r>
          </w:p>
        </w:tc>
      </w:tr>
      <w:tr w:rsidR="00011591" w:rsidRPr="00731F96" w:rsidTr="00A71B0E">
        <w:tc>
          <w:tcPr>
            <w:tcW w:w="1696"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3</w:t>
            </w:r>
          </w:p>
        </w:tc>
        <w:tc>
          <w:tcPr>
            <w:tcW w:w="7648"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PMU нь тохирох төлөв, цаг хугацааны тэмдэг бүхий өгөгдлийг багцалдаг</w:t>
            </w:r>
          </w:p>
        </w:tc>
      </w:tr>
      <w:tr w:rsidR="00011591" w:rsidRPr="00731F96" w:rsidTr="00A71B0E">
        <w:tc>
          <w:tcPr>
            <w:tcW w:w="1696" w:type="dxa"/>
          </w:tcPr>
          <w:p w:rsidR="00011591" w:rsidRPr="00EF2D2B" w:rsidRDefault="00011591" w:rsidP="00A71B0E">
            <w:pPr>
              <w:pStyle w:val="TableParagraph"/>
              <w:tabs>
                <w:tab w:val="left" w:pos="0"/>
              </w:tabs>
              <w:spacing w:before="58" w:line="276" w:lineRule="auto"/>
              <w:rPr>
                <w:sz w:val="20"/>
                <w:szCs w:val="20"/>
                <w:lang w:val="mn-MN"/>
              </w:rPr>
            </w:pPr>
            <w:r w:rsidRPr="00EF2D2B">
              <w:rPr>
                <w:sz w:val="20"/>
                <w:szCs w:val="20"/>
                <w:lang w:val="mn-MN"/>
              </w:rPr>
              <w:t>Алхам 4</w:t>
            </w:r>
          </w:p>
        </w:tc>
        <w:tc>
          <w:tcPr>
            <w:tcW w:w="7648"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PMU нь өгөгдлийг ssPDC эсвэл PDC руу илгээдэг</w:t>
            </w:r>
          </w:p>
        </w:tc>
      </w:tr>
    </w:tbl>
    <w:p w:rsidR="00011591" w:rsidRPr="00731F96" w:rsidRDefault="00011591" w:rsidP="00011591">
      <w:pPr>
        <w:tabs>
          <w:tab w:val="left" w:pos="0"/>
        </w:tabs>
        <w:spacing w:before="93"/>
        <w:ind w:left="0" w:firstLine="0"/>
        <w:rPr>
          <w:b/>
        </w:rPr>
      </w:pPr>
      <w:r>
        <w:rPr>
          <w:b/>
        </w:rPr>
        <w:t>Basic flow:</w:t>
      </w:r>
    </w:p>
    <w:p w:rsidR="00011591" w:rsidRPr="00453EF5" w:rsidRDefault="00011591" w:rsidP="00011591">
      <w:pPr>
        <w:tabs>
          <w:tab w:val="left" w:pos="0"/>
        </w:tabs>
        <w:spacing w:before="93"/>
        <w:ind w:left="0" w:firstLine="0"/>
      </w:pPr>
      <w:r w:rsidRPr="00453EF5">
        <w:t>Data origination &amp; sending</w:t>
      </w:r>
    </w:p>
    <w:tbl>
      <w:tblPr>
        <w:tblStyle w:val="TableGrid"/>
        <w:tblW w:w="0" w:type="auto"/>
        <w:tblLook w:val="04A0" w:firstRow="1" w:lastRow="0" w:firstColumn="1" w:lastColumn="0" w:noHBand="0" w:noVBand="1"/>
      </w:tblPr>
      <w:tblGrid>
        <w:gridCol w:w="1980"/>
        <w:gridCol w:w="7364"/>
      </w:tblGrid>
      <w:tr w:rsidR="00011591" w:rsidRPr="00731F96" w:rsidTr="00A71B0E">
        <w:tc>
          <w:tcPr>
            <w:tcW w:w="1980" w:type="dxa"/>
          </w:tcPr>
          <w:p w:rsidR="00011591" w:rsidRPr="00EF2D2B" w:rsidRDefault="00011591"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011591" w:rsidRPr="00EF2D2B" w:rsidRDefault="00011591" w:rsidP="00A71B0E">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011591" w:rsidRPr="00731F96" w:rsidTr="00A71B0E">
        <w:tc>
          <w:tcPr>
            <w:tcW w:w="19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Step 1</w:t>
            </w:r>
          </w:p>
        </w:tc>
        <w:tc>
          <w:tcPr>
            <w:tcW w:w="7364" w:type="dxa"/>
          </w:tcPr>
          <w:p w:rsidR="00011591" w:rsidRPr="00731F96" w:rsidRDefault="00011591" w:rsidP="00A71B0E">
            <w:pPr>
              <w:pStyle w:val="TableParagraph"/>
              <w:tabs>
                <w:tab w:val="left" w:pos="0"/>
              </w:tabs>
              <w:spacing w:line="276" w:lineRule="auto"/>
              <w:rPr>
                <w:sz w:val="20"/>
                <w:szCs w:val="20"/>
                <w:lang w:val="mn-MN"/>
              </w:rPr>
            </w:pPr>
            <w:r w:rsidRPr="00731F96">
              <w:rPr>
                <w:sz w:val="20"/>
                <w:szCs w:val="20"/>
                <w:lang w:val="mn-MN"/>
              </w:rPr>
              <w:t>PMU computes V &amp; I synchrophasors &amp; system frequency</w:t>
            </w:r>
          </w:p>
        </w:tc>
      </w:tr>
      <w:tr w:rsidR="00011591" w:rsidRPr="00731F96" w:rsidTr="00A71B0E">
        <w:tc>
          <w:tcPr>
            <w:tcW w:w="19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Step 2</w:t>
            </w:r>
          </w:p>
        </w:tc>
        <w:tc>
          <w:tcPr>
            <w:tcW w:w="7364" w:type="dxa"/>
          </w:tcPr>
          <w:p w:rsidR="00011591" w:rsidRPr="00731F96" w:rsidRDefault="00011591" w:rsidP="00A71B0E">
            <w:pPr>
              <w:pStyle w:val="TableParagraph"/>
              <w:tabs>
                <w:tab w:val="left" w:pos="0"/>
              </w:tabs>
              <w:spacing w:line="276" w:lineRule="auto"/>
              <w:rPr>
                <w:sz w:val="20"/>
                <w:szCs w:val="20"/>
                <w:lang w:val="mn-MN"/>
              </w:rPr>
            </w:pPr>
            <w:r w:rsidRPr="00731F96">
              <w:rPr>
                <w:sz w:val="20"/>
                <w:szCs w:val="20"/>
                <w:lang w:val="mn-MN"/>
              </w:rPr>
              <w:t>PMU selects phasors and frequency at given output rate</w:t>
            </w:r>
          </w:p>
        </w:tc>
      </w:tr>
      <w:tr w:rsidR="00011591" w:rsidRPr="00731F96" w:rsidTr="00A71B0E">
        <w:tc>
          <w:tcPr>
            <w:tcW w:w="19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Step 3</w:t>
            </w:r>
          </w:p>
        </w:tc>
        <w:tc>
          <w:tcPr>
            <w:tcW w:w="7364" w:type="dxa"/>
          </w:tcPr>
          <w:p w:rsidR="00011591" w:rsidRPr="00731F96" w:rsidRDefault="00011591" w:rsidP="00A71B0E">
            <w:pPr>
              <w:pStyle w:val="TableParagraph"/>
              <w:tabs>
                <w:tab w:val="left" w:pos="0"/>
              </w:tabs>
              <w:spacing w:line="276" w:lineRule="auto"/>
              <w:rPr>
                <w:sz w:val="20"/>
                <w:szCs w:val="20"/>
                <w:lang w:val="mn-MN"/>
              </w:rPr>
            </w:pPr>
            <w:r w:rsidRPr="00731F96">
              <w:rPr>
                <w:sz w:val="20"/>
                <w:szCs w:val="20"/>
                <w:lang w:val="mn-MN"/>
              </w:rPr>
              <w:t>PMU packages data with appropriate status and time stamp</w:t>
            </w:r>
          </w:p>
        </w:tc>
      </w:tr>
      <w:tr w:rsidR="00011591" w:rsidRPr="00731F96" w:rsidTr="00A71B0E">
        <w:tc>
          <w:tcPr>
            <w:tcW w:w="1980" w:type="dxa"/>
          </w:tcPr>
          <w:p w:rsidR="00011591" w:rsidRPr="00EF2D2B" w:rsidRDefault="00011591" w:rsidP="00A71B0E">
            <w:pPr>
              <w:pStyle w:val="TableParagraph"/>
              <w:tabs>
                <w:tab w:val="left" w:pos="0"/>
              </w:tabs>
              <w:spacing w:before="58" w:line="276" w:lineRule="auto"/>
              <w:rPr>
                <w:sz w:val="20"/>
                <w:szCs w:val="20"/>
                <w:lang w:val="mn-MN"/>
              </w:rPr>
            </w:pPr>
            <w:r w:rsidRPr="00EF2D2B">
              <w:rPr>
                <w:sz w:val="20"/>
                <w:szCs w:val="20"/>
                <w:lang w:val="mn-MN"/>
              </w:rPr>
              <w:t>Step 4</w:t>
            </w:r>
          </w:p>
        </w:tc>
        <w:tc>
          <w:tcPr>
            <w:tcW w:w="7364" w:type="dxa"/>
          </w:tcPr>
          <w:p w:rsidR="00011591" w:rsidRPr="00731F96" w:rsidRDefault="00011591" w:rsidP="00A71B0E">
            <w:pPr>
              <w:pStyle w:val="TableParagraph"/>
              <w:tabs>
                <w:tab w:val="left" w:pos="0"/>
              </w:tabs>
              <w:spacing w:before="58" w:line="276" w:lineRule="auto"/>
              <w:rPr>
                <w:sz w:val="20"/>
                <w:szCs w:val="20"/>
                <w:lang w:val="mn-MN"/>
              </w:rPr>
            </w:pPr>
            <w:r w:rsidRPr="00731F96">
              <w:rPr>
                <w:sz w:val="20"/>
                <w:szCs w:val="20"/>
                <w:lang w:val="mn-MN"/>
              </w:rPr>
              <w:t>PMU sends data to the ssPDC or PDC</w:t>
            </w:r>
          </w:p>
        </w:tc>
      </w:tr>
    </w:tbl>
    <w:p w:rsidR="00011591" w:rsidRDefault="00011591" w:rsidP="00011591">
      <w:pPr>
        <w:spacing w:after="0" w:line="240" w:lineRule="auto"/>
        <w:ind w:left="0" w:firstLine="0"/>
        <w:rPr>
          <w:b/>
          <w:bCs/>
          <w:color w:val="000000"/>
          <w:shd w:val="clear" w:color="auto" w:fill="FFFFFF"/>
          <w:lang w:val="en-US"/>
        </w:rPr>
      </w:pPr>
    </w:p>
    <w:p w:rsidR="00011591" w:rsidRPr="00EF2D2B" w:rsidRDefault="00011591" w:rsidP="00011591">
      <w:pPr>
        <w:widowControl w:val="0"/>
        <w:tabs>
          <w:tab w:val="left" w:pos="0"/>
          <w:tab w:val="left" w:pos="1524"/>
          <w:tab w:val="right" w:leader="dot" w:pos="9618"/>
        </w:tabs>
        <w:autoSpaceDE w:val="0"/>
        <w:autoSpaceDN w:val="0"/>
        <w:spacing w:before="60" w:after="0"/>
        <w:ind w:left="0" w:firstLine="0"/>
      </w:pPr>
      <w:r w:rsidRPr="00EF2D2B">
        <w:t>Завсрын өгөгдөл хүлээн авах (сэлгэх арга)</w:t>
      </w:r>
    </w:p>
    <w:tbl>
      <w:tblPr>
        <w:tblStyle w:val="TableGrid"/>
        <w:tblW w:w="0" w:type="auto"/>
        <w:tblLook w:val="04A0" w:firstRow="1" w:lastRow="0" w:firstColumn="1" w:lastColumn="0" w:noHBand="0" w:noVBand="1"/>
      </w:tblPr>
      <w:tblGrid>
        <w:gridCol w:w="1880"/>
        <w:gridCol w:w="7464"/>
      </w:tblGrid>
      <w:tr w:rsidR="00011591" w:rsidRPr="00EF2D2B" w:rsidTr="00A71B0E">
        <w:tc>
          <w:tcPr>
            <w:tcW w:w="1880" w:type="dxa"/>
          </w:tcPr>
          <w:p w:rsidR="00011591" w:rsidRPr="00EF2D2B" w:rsidRDefault="00011591"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011591" w:rsidRPr="00731F96" w:rsidRDefault="00011591"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PDC нь синхрофазор өгөгдлийг хүлээн авах</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PDC нь гаралтын өгөгдлийг харьцуулах ба сонгох</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ssPDC нь гаралтын өгөгдлийг PDC руу илгээх</w:t>
            </w:r>
          </w:p>
        </w:tc>
      </w:tr>
    </w:tbl>
    <w:p w:rsidR="00011591" w:rsidRPr="00EF2D2B" w:rsidRDefault="00011591" w:rsidP="00011591">
      <w:pPr>
        <w:widowControl w:val="0"/>
        <w:tabs>
          <w:tab w:val="left" w:pos="0"/>
          <w:tab w:val="left" w:pos="1524"/>
          <w:tab w:val="right" w:leader="dot" w:pos="9618"/>
        </w:tabs>
        <w:autoSpaceDE w:val="0"/>
        <w:autoSpaceDN w:val="0"/>
        <w:spacing w:before="60" w:after="0"/>
        <w:ind w:left="0" w:firstLine="0"/>
      </w:pPr>
      <w:r w:rsidRPr="00EF2D2B">
        <w:t>Data receiving intermediate (alternate path)</w:t>
      </w:r>
    </w:p>
    <w:tbl>
      <w:tblPr>
        <w:tblStyle w:val="TableGrid"/>
        <w:tblW w:w="0" w:type="auto"/>
        <w:tblLook w:val="04A0" w:firstRow="1" w:lastRow="0" w:firstColumn="1" w:lastColumn="0" w:noHBand="0" w:noVBand="1"/>
      </w:tblPr>
      <w:tblGrid>
        <w:gridCol w:w="1880"/>
        <w:gridCol w:w="7464"/>
      </w:tblGrid>
      <w:tr w:rsidR="00011591" w:rsidRPr="00731F96" w:rsidTr="00A71B0E">
        <w:tc>
          <w:tcPr>
            <w:tcW w:w="1880" w:type="dxa"/>
          </w:tcPr>
          <w:p w:rsidR="00011591" w:rsidRPr="00EF2D2B" w:rsidRDefault="00011591"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011591" w:rsidRPr="00EF2D2B" w:rsidRDefault="00011591"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011591" w:rsidRPr="00731F96" w:rsidRDefault="00011591" w:rsidP="00A71B0E">
            <w:pPr>
              <w:pStyle w:val="TableParagraph"/>
              <w:tabs>
                <w:tab w:val="left" w:pos="0"/>
              </w:tabs>
              <w:spacing w:line="276" w:lineRule="auto"/>
              <w:rPr>
                <w:sz w:val="20"/>
                <w:szCs w:val="20"/>
                <w:lang w:val="mn-MN"/>
              </w:rPr>
            </w:pPr>
            <w:r w:rsidRPr="00731F96">
              <w:rPr>
                <w:sz w:val="20"/>
                <w:szCs w:val="20"/>
                <w:lang w:val="mn-MN"/>
              </w:rPr>
              <w:t>ssPDC receives synchrophasor data</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011591" w:rsidRPr="00731F96" w:rsidRDefault="00011591" w:rsidP="00A71B0E">
            <w:pPr>
              <w:pStyle w:val="TableParagraph"/>
              <w:tabs>
                <w:tab w:val="left" w:pos="0"/>
              </w:tabs>
              <w:spacing w:line="276" w:lineRule="auto"/>
              <w:rPr>
                <w:sz w:val="20"/>
                <w:szCs w:val="20"/>
                <w:lang w:val="mn-MN"/>
              </w:rPr>
            </w:pPr>
            <w:r w:rsidRPr="00731F96">
              <w:rPr>
                <w:sz w:val="20"/>
                <w:szCs w:val="20"/>
                <w:lang w:val="mn-MN"/>
              </w:rPr>
              <w:t>ssPDC correlates and selects output data</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011591" w:rsidRPr="00731F96" w:rsidRDefault="00011591" w:rsidP="00A71B0E">
            <w:pPr>
              <w:pStyle w:val="TableParagraph"/>
              <w:tabs>
                <w:tab w:val="left" w:pos="0"/>
              </w:tabs>
              <w:spacing w:line="276" w:lineRule="auto"/>
              <w:rPr>
                <w:sz w:val="20"/>
                <w:szCs w:val="20"/>
                <w:lang w:val="mn-MN"/>
              </w:rPr>
            </w:pPr>
            <w:r w:rsidRPr="00731F96">
              <w:rPr>
                <w:sz w:val="20"/>
                <w:szCs w:val="20"/>
                <w:lang w:val="mn-MN"/>
              </w:rPr>
              <w:t>ssPDC resends output data to PDC</w:t>
            </w:r>
          </w:p>
        </w:tc>
      </w:tr>
    </w:tbl>
    <w:p w:rsidR="00011591" w:rsidRDefault="00011591" w:rsidP="00011591">
      <w:pPr>
        <w:ind w:left="0" w:firstLine="0"/>
        <w:rPr>
          <w:b/>
          <w:lang w:val="en-US"/>
        </w:rPr>
      </w:pPr>
    </w:p>
    <w:p w:rsidR="00011591" w:rsidRPr="00EF2D2B" w:rsidRDefault="00011591" w:rsidP="00011591">
      <w:pPr>
        <w:widowControl w:val="0"/>
        <w:tabs>
          <w:tab w:val="left" w:pos="0"/>
          <w:tab w:val="left" w:pos="1524"/>
          <w:tab w:val="right" w:leader="dot" w:pos="9618"/>
        </w:tabs>
        <w:autoSpaceDE w:val="0"/>
        <w:autoSpaceDN w:val="0"/>
        <w:spacing w:before="60" w:after="0"/>
        <w:ind w:left="0" w:firstLine="0"/>
      </w:pPr>
      <w:r w:rsidRPr="00EF2D2B">
        <w:lastRenderedPageBreak/>
        <w:t>Өгөгдөл хүлээн авах</w:t>
      </w:r>
    </w:p>
    <w:tbl>
      <w:tblPr>
        <w:tblStyle w:val="TableGrid"/>
        <w:tblW w:w="0" w:type="auto"/>
        <w:tblLook w:val="04A0" w:firstRow="1" w:lastRow="0" w:firstColumn="1" w:lastColumn="0" w:noHBand="0" w:noVBand="1"/>
      </w:tblPr>
      <w:tblGrid>
        <w:gridCol w:w="1880"/>
        <w:gridCol w:w="7464"/>
      </w:tblGrid>
      <w:tr w:rsidR="00011591" w:rsidRPr="00EF2D2B" w:rsidTr="00A71B0E">
        <w:tc>
          <w:tcPr>
            <w:tcW w:w="1880" w:type="dxa"/>
          </w:tcPr>
          <w:p w:rsidR="00011591" w:rsidRPr="00EF2D2B" w:rsidRDefault="00011591"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011591" w:rsidRPr="00731F96" w:rsidRDefault="00011591"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PDC нь синхрофазор өгөгдлийг хүлээн авдаг</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PDC нь гаралтын өгөгдлийг харьцуулах ба сонгох</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PDC нь гаралтын өгөгдлийг аппликейшнууд руу илгээх</w:t>
            </w:r>
          </w:p>
        </w:tc>
      </w:tr>
    </w:tbl>
    <w:p w:rsidR="00011591" w:rsidRPr="00EF2D2B" w:rsidRDefault="00011591" w:rsidP="00011591">
      <w:pPr>
        <w:widowControl w:val="0"/>
        <w:tabs>
          <w:tab w:val="left" w:pos="0"/>
          <w:tab w:val="left" w:pos="1524"/>
          <w:tab w:val="right" w:leader="dot" w:pos="9618"/>
        </w:tabs>
        <w:autoSpaceDE w:val="0"/>
        <w:autoSpaceDN w:val="0"/>
        <w:spacing w:before="60" w:after="0"/>
        <w:ind w:left="0" w:firstLine="0"/>
      </w:pPr>
      <w:r w:rsidRPr="00EF2D2B">
        <w:t>Data receiving</w:t>
      </w:r>
    </w:p>
    <w:tbl>
      <w:tblPr>
        <w:tblStyle w:val="TableGrid"/>
        <w:tblW w:w="0" w:type="auto"/>
        <w:tblLook w:val="04A0" w:firstRow="1" w:lastRow="0" w:firstColumn="1" w:lastColumn="0" w:noHBand="0" w:noVBand="1"/>
      </w:tblPr>
      <w:tblGrid>
        <w:gridCol w:w="1880"/>
        <w:gridCol w:w="7464"/>
      </w:tblGrid>
      <w:tr w:rsidR="00011591" w:rsidRPr="00731F96" w:rsidTr="00A71B0E">
        <w:tc>
          <w:tcPr>
            <w:tcW w:w="1880" w:type="dxa"/>
          </w:tcPr>
          <w:p w:rsidR="00011591" w:rsidRPr="00EF2D2B" w:rsidRDefault="00011591"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011591" w:rsidRPr="00EF2D2B" w:rsidRDefault="00011591"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011591" w:rsidRPr="00731F96" w:rsidTr="00A71B0E">
        <w:tc>
          <w:tcPr>
            <w:tcW w:w="1880" w:type="dxa"/>
          </w:tcPr>
          <w:p w:rsidR="00011591" w:rsidRPr="00EF2D2B" w:rsidRDefault="00011591" w:rsidP="00A71B0E">
            <w:pPr>
              <w:pStyle w:val="TableParagraph"/>
              <w:tabs>
                <w:tab w:val="left" w:pos="0"/>
              </w:tabs>
              <w:spacing w:before="58" w:line="276" w:lineRule="auto"/>
              <w:rPr>
                <w:sz w:val="20"/>
                <w:szCs w:val="20"/>
                <w:lang w:val="mn-MN"/>
              </w:rPr>
            </w:pPr>
            <w:r w:rsidRPr="00EF2D2B">
              <w:rPr>
                <w:sz w:val="20"/>
                <w:szCs w:val="20"/>
                <w:lang w:val="mn-MN"/>
              </w:rPr>
              <w:t>Step 1</w:t>
            </w:r>
          </w:p>
        </w:tc>
        <w:tc>
          <w:tcPr>
            <w:tcW w:w="7464" w:type="dxa"/>
          </w:tcPr>
          <w:p w:rsidR="00011591" w:rsidRPr="00731F96" w:rsidRDefault="00011591" w:rsidP="00A71B0E">
            <w:pPr>
              <w:pStyle w:val="TableParagraph"/>
              <w:tabs>
                <w:tab w:val="left" w:pos="0"/>
              </w:tabs>
              <w:spacing w:before="58" w:line="276" w:lineRule="auto"/>
              <w:rPr>
                <w:sz w:val="20"/>
                <w:szCs w:val="20"/>
                <w:lang w:val="mn-MN"/>
              </w:rPr>
            </w:pPr>
            <w:r w:rsidRPr="00731F96">
              <w:rPr>
                <w:sz w:val="20"/>
                <w:szCs w:val="20"/>
                <w:lang w:val="mn-MN"/>
              </w:rPr>
              <w:t>PDC receives synchrophasor data</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011591" w:rsidRPr="00731F96" w:rsidRDefault="00011591" w:rsidP="00A71B0E">
            <w:pPr>
              <w:pStyle w:val="TableParagraph"/>
              <w:tabs>
                <w:tab w:val="left" w:pos="0"/>
              </w:tabs>
              <w:spacing w:line="276" w:lineRule="auto"/>
              <w:rPr>
                <w:sz w:val="20"/>
                <w:szCs w:val="20"/>
                <w:lang w:val="mn-MN"/>
              </w:rPr>
            </w:pPr>
            <w:r w:rsidRPr="00731F96">
              <w:rPr>
                <w:sz w:val="20"/>
                <w:szCs w:val="20"/>
                <w:lang w:val="mn-MN"/>
              </w:rPr>
              <w:t>PDC correlates and selects output data</w:t>
            </w:r>
          </w:p>
        </w:tc>
      </w:tr>
      <w:tr w:rsidR="00011591" w:rsidRPr="00731F96" w:rsidTr="00A71B0E">
        <w:tc>
          <w:tcPr>
            <w:tcW w:w="1880" w:type="dxa"/>
          </w:tcPr>
          <w:p w:rsidR="00011591" w:rsidRPr="00EF2D2B" w:rsidRDefault="00011591" w:rsidP="00A71B0E">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011591" w:rsidRPr="00731F96" w:rsidRDefault="00011591" w:rsidP="00A71B0E">
            <w:pPr>
              <w:pStyle w:val="TableParagraph"/>
              <w:tabs>
                <w:tab w:val="left" w:pos="0"/>
              </w:tabs>
              <w:spacing w:line="276" w:lineRule="auto"/>
              <w:rPr>
                <w:sz w:val="20"/>
                <w:szCs w:val="20"/>
                <w:lang w:val="mn-MN"/>
              </w:rPr>
            </w:pPr>
            <w:r w:rsidRPr="00731F96">
              <w:rPr>
                <w:sz w:val="20"/>
                <w:szCs w:val="20"/>
                <w:lang w:val="mn-MN"/>
              </w:rPr>
              <w:t>PDC resends output data to applications</w:t>
            </w:r>
          </w:p>
        </w:tc>
      </w:tr>
    </w:tbl>
    <w:p w:rsidR="00011591" w:rsidRDefault="00011591" w:rsidP="00011591">
      <w:pPr>
        <w:ind w:left="0" w:firstLine="0"/>
        <w:rPr>
          <w:b/>
          <w:lang w:val="en-US"/>
        </w:rPr>
      </w:pPr>
    </w:p>
    <w:p w:rsidR="000E7AD7" w:rsidRPr="00EF2D2B" w:rsidRDefault="000E7AD7" w:rsidP="000E7AD7">
      <w:pPr>
        <w:widowControl w:val="0"/>
        <w:tabs>
          <w:tab w:val="left" w:pos="0"/>
          <w:tab w:val="left" w:pos="1524"/>
          <w:tab w:val="right" w:leader="dot" w:pos="9618"/>
        </w:tabs>
        <w:autoSpaceDE w:val="0"/>
        <w:autoSpaceDN w:val="0"/>
        <w:spacing w:before="60" w:after="0"/>
        <w:ind w:left="0" w:firstLine="0"/>
      </w:pPr>
      <w:r w:rsidRPr="00EF2D2B">
        <w:t>Event trigger хүлээн авах ба илгээх</w:t>
      </w:r>
    </w:p>
    <w:tbl>
      <w:tblPr>
        <w:tblStyle w:val="TableGrid"/>
        <w:tblW w:w="0" w:type="auto"/>
        <w:tblLook w:val="04A0" w:firstRow="1" w:lastRow="0" w:firstColumn="1" w:lastColumn="0" w:noHBand="0" w:noVBand="1"/>
      </w:tblPr>
      <w:tblGrid>
        <w:gridCol w:w="1880"/>
        <w:gridCol w:w="7464"/>
      </w:tblGrid>
      <w:tr w:rsidR="00011591" w:rsidRPr="00EF2D2B" w:rsidTr="00A71B0E">
        <w:tc>
          <w:tcPr>
            <w:tcW w:w="1880" w:type="dxa"/>
          </w:tcPr>
          <w:p w:rsidR="00011591" w:rsidRPr="00EF2D2B" w:rsidRDefault="00011591"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011591" w:rsidRPr="00731F96" w:rsidRDefault="00011591"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0E7AD7" w:rsidRPr="00EF2D2B" w:rsidRDefault="000E7AD7" w:rsidP="000E7AD7">
            <w:pPr>
              <w:pStyle w:val="TableParagraph"/>
              <w:tabs>
                <w:tab w:val="left" w:pos="0"/>
              </w:tabs>
              <w:spacing w:line="276" w:lineRule="auto"/>
              <w:rPr>
                <w:sz w:val="20"/>
                <w:szCs w:val="20"/>
                <w:lang w:val="mn-MN"/>
              </w:rPr>
            </w:pPr>
            <w:r w:rsidRPr="00731F96">
              <w:rPr>
                <w:sz w:val="20"/>
                <w:szCs w:val="20"/>
                <w:lang w:val="mn-MN"/>
              </w:rPr>
              <w:t xml:space="preserve">ET нь үйл ажиллагааг </w:t>
            </w:r>
            <w:r w:rsidRPr="00EF2D2B">
              <w:rPr>
                <w:sz w:val="20"/>
                <w:szCs w:val="20"/>
                <w:lang w:val="mn-MN"/>
              </w:rPr>
              <w:t>тодорхойлж DA руу триггерийн мэдээллийг илгэнэ</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DA нь өгөгдсөн үйл явдлыг тавигдах шаардлагын дагуу өгөгдлийг хадгалдаг</w:t>
            </w:r>
          </w:p>
        </w:tc>
      </w:tr>
    </w:tbl>
    <w:p w:rsidR="000E7AD7" w:rsidRPr="00731F96" w:rsidRDefault="000E7AD7" w:rsidP="000E7AD7">
      <w:pPr>
        <w:widowControl w:val="0"/>
        <w:tabs>
          <w:tab w:val="left" w:pos="0"/>
          <w:tab w:val="left" w:pos="1524"/>
          <w:tab w:val="right" w:leader="dot" w:pos="9618"/>
        </w:tabs>
        <w:autoSpaceDE w:val="0"/>
        <w:autoSpaceDN w:val="0"/>
        <w:spacing w:before="60" w:after="0"/>
        <w:ind w:left="0" w:firstLine="0"/>
      </w:pPr>
      <w:r w:rsidRPr="00731F96">
        <w:t>Event trigger sending &amp; receiving</w:t>
      </w:r>
    </w:p>
    <w:tbl>
      <w:tblPr>
        <w:tblStyle w:val="TableGrid"/>
        <w:tblW w:w="0" w:type="auto"/>
        <w:tblLook w:val="04A0" w:firstRow="1" w:lastRow="0" w:firstColumn="1" w:lastColumn="0" w:noHBand="0" w:noVBand="1"/>
      </w:tblPr>
      <w:tblGrid>
        <w:gridCol w:w="1880"/>
        <w:gridCol w:w="7464"/>
      </w:tblGrid>
      <w:tr w:rsidR="00011591" w:rsidRPr="00731F96" w:rsidTr="00A71B0E">
        <w:tc>
          <w:tcPr>
            <w:tcW w:w="1880" w:type="dxa"/>
          </w:tcPr>
          <w:p w:rsidR="00011591" w:rsidRPr="00EF2D2B" w:rsidRDefault="00011591"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011591" w:rsidRPr="00EF2D2B" w:rsidRDefault="00011591"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ET detects event &amp; sends trigger information to DA</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DA stores data according to requirements for the specified event</w:t>
            </w:r>
          </w:p>
        </w:tc>
      </w:tr>
    </w:tbl>
    <w:p w:rsidR="000E7AD7" w:rsidRDefault="000E7AD7" w:rsidP="000E7AD7">
      <w:pPr>
        <w:ind w:left="0" w:firstLine="0"/>
        <w:rPr>
          <w:b/>
          <w:lang w:val="en-US"/>
        </w:rPr>
      </w:pPr>
    </w:p>
    <w:tbl>
      <w:tblPr>
        <w:tblStyle w:val="TableGrid"/>
        <w:tblW w:w="0" w:type="auto"/>
        <w:tblLook w:val="04A0" w:firstRow="1" w:lastRow="0" w:firstColumn="1" w:lastColumn="0" w:noHBand="0" w:noVBand="1"/>
      </w:tblPr>
      <w:tblGrid>
        <w:gridCol w:w="4672"/>
        <w:gridCol w:w="4672"/>
      </w:tblGrid>
      <w:tr w:rsidR="000E7AD7" w:rsidRPr="00EF2D2B" w:rsidTr="000E7AD7">
        <w:tc>
          <w:tcPr>
            <w:tcW w:w="4672" w:type="dxa"/>
          </w:tcPr>
          <w:p w:rsidR="000E7AD7" w:rsidRPr="000E7AD7" w:rsidRDefault="000E7AD7" w:rsidP="000E7AD7">
            <w:pPr>
              <w:tabs>
                <w:tab w:val="left" w:pos="0"/>
              </w:tabs>
              <w:ind w:left="0" w:firstLine="0"/>
              <w:rPr>
                <w:rFonts w:eastAsia="Calibri"/>
                <w:b/>
                <w:bCs/>
                <w:szCs w:val="22"/>
              </w:rPr>
            </w:pPr>
            <w:r w:rsidRPr="000E7AD7">
              <w:rPr>
                <w:rFonts w:eastAsia="Calibri"/>
                <w:b/>
                <w:bCs/>
                <w:szCs w:val="22"/>
              </w:rPr>
              <w:t>Хязгаарын шаардлага:</w:t>
            </w:r>
          </w:p>
          <w:p w:rsidR="000E7AD7" w:rsidRPr="000E7AD7" w:rsidRDefault="000E7AD7" w:rsidP="000E7AD7">
            <w:pPr>
              <w:tabs>
                <w:tab w:val="left" w:pos="0"/>
              </w:tabs>
              <w:ind w:left="0" w:firstLine="0"/>
              <w:rPr>
                <w:rFonts w:eastAsia="Calibri"/>
                <w:bCs/>
                <w:szCs w:val="22"/>
              </w:rPr>
            </w:pPr>
            <w:r w:rsidRPr="000E7AD7">
              <w:rPr>
                <w:rFonts w:eastAsia="Calibri"/>
                <w:bCs/>
                <w:szCs w:val="22"/>
              </w:rPr>
              <w:t>Хугацаа ба зурвасын өргөн нь архивлах явцад саад болохгүй байх ёстой, учир нь бодит бус хугацааны буюу ойролцоо бодит хугацааны хэрэглээ юм. Гол бэрхшээл нь архивын үйл явц алдагдах, ж.нь: систем дэх PMU дээрх хэмжилтүүд нь мэдээллийн архивд хадгалагдаж байсан хэмжилтүүд байх ёстой.</w:t>
            </w:r>
          </w:p>
        </w:tc>
        <w:tc>
          <w:tcPr>
            <w:tcW w:w="4672" w:type="dxa"/>
          </w:tcPr>
          <w:p w:rsidR="000E7AD7" w:rsidRPr="000E7AD7" w:rsidRDefault="000E7AD7" w:rsidP="000E7AD7">
            <w:pPr>
              <w:tabs>
                <w:tab w:val="left" w:pos="0"/>
              </w:tabs>
              <w:ind w:left="0" w:firstLine="0"/>
              <w:rPr>
                <w:rFonts w:eastAsia="Calibri"/>
                <w:b/>
                <w:bCs/>
                <w:szCs w:val="22"/>
              </w:rPr>
            </w:pPr>
            <w:r w:rsidRPr="000E7AD7">
              <w:rPr>
                <w:rFonts w:eastAsia="Calibri"/>
                <w:b/>
                <w:bCs/>
                <w:szCs w:val="22"/>
              </w:rPr>
              <w:t>Constraints:</w:t>
            </w:r>
          </w:p>
          <w:p w:rsidR="000E7AD7" w:rsidRPr="000E7AD7" w:rsidRDefault="000E7AD7" w:rsidP="000E7AD7">
            <w:pPr>
              <w:tabs>
                <w:tab w:val="left" w:pos="0"/>
              </w:tabs>
              <w:ind w:left="0" w:firstLine="0"/>
              <w:rPr>
                <w:rFonts w:eastAsia="Calibri"/>
                <w:bCs/>
                <w:szCs w:val="22"/>
              </w:rPr>
            </w:pPr>
            <w:r w:rsidRPr="000E7AD7">
              <w:rPr>
                <w:rFonts w:eastAsia="Calibri"/>
                <w:bCs/>
                <w:szCs w:val="22"/>
              </w:rPr>
              <w:t>Latency and bandwidth are unlikely to be constraints in the archival process, since it is not a real-time or near-real-time application. The main constraint is that the archival process be lossless, i.e., the measurements generated at the PMUs on the system should be the same measurements stored within the data archive.</w:t>
            </w:r>
          </w:p>
        </w:tc>
      </w:tr>
    </w:tbl>
    <w:p w:rsidR="000E7AD7" w:rsidRDefault="000E7AD7" w:rsidP="000E7AD7">
      <w:pPr>
        <w:ind w:left="0" w:firstLine="0"/>
        <w:rPr>
          <w:b/>
          <w:lang w:val="en-US"/>
        </w:rPr>
      </w:pPr>
    </w:p>
    <w:tbl>
      <w:tblPr>
        <w:tblStyle w:val="TableGrid"/>
        <w:tblW w:w="0" w:type="auto"/>
        <w:tblLook w:val="04A0" w:firstRow="1" w:lastRow="0" w:firstColumn="1" w:lastColumn="0" w:noHBand="0" w:noVBand="1"/>
      </w:tblPr>
      <w:tblGrid>
        <w:gridCol w:w="1980"/>
        <w:gridCol w:w="2268"/>
        <w:gridCol w:w="2268"/>
        <w:gridCol w:w="2828"/>
      </w:tblGrid>
      <w:tr w:rsidR="000E7AD7" w:rsidTr="000E7AD7">
        <w:tc>
          <w:tcPr>
            <w:tcW w:w="1980" w:type="dxa"/>
          </w:tcPr>
          <w:p w:rsidR="000E7AD7" w:rsidRPr="00731F96" w:rsidRDefault="000E7AD7" w:rsidP="000E7AD7">
            <w:pPr>
              <w:pStyle w:val="TableParagraph"/>
              <w:tabs>
                <w:tab w:val="left" w:pos="0"/>
              </w:tabs>
              <w:spacing w:before="53" w:line="276" w:lineRule="auto"/>
              <w:jc w:val="center"/>
              <w:rPr>
                <w:b/>
                <w:sz w:val="20"/>
                <w:szCs w:val="20"/>
                <w:lang w:val="mn-MN"/>
              </w:rPr>
            </w:pPr>
            <w:r w:rsidRPr="00731F96">
              <w:rPr>
                <w:b/>
                <w:sz w:val="20"/>
                <w:szCs w:val="20"/>
                <w:lang w:val="mn-MN"/>
              </w:rPr>
              <w:t>Идэвхжүүлэх</w:t>
            </w:r>
          </w:p>
        </w:tc>
        <w:tc>
          <w:tcPr>
            <w:tcW w:w="2268" w:type="dxa"/>
          </w:tcPr>
          <w:p w:rsidR="000E7AD7" w:rsidRPr="00EF2D2B" w:rsidRDefault="000E7AD7" w:rsidP="000E7AD7">
            <w:pPr>
              <w:pStyle w:val="TableParagraph"/>
              <w:tabs>
                <w:tab w:val="left" w:pos="0"/>
              </w:tabs>
              <w:spacing w:before="53" w:line="276" w:lineRule="auto"/>
              <w:ind w:left="49" w:right="25"/>
              <w:jc w:val="center"/>
              <w:rPr>
                <w:b/>
                <w:sz w:val="20"/>
                <w:szCs w:val="20"/>
                <w:lang w:val="mn-MN"/>
              </w:rPr>
            </w:pPr>
            <w:r w:rsidRPr="00EF2D2B">
              <w:rPr>
                <w:b/>
                <w:sz w:val="20"/>
                <w:szCs w:val="20"/>
                <w:lang w:val="mn-MN"/>
              </w:rPr>
              <w:t>Хамгийн бага хурд</w:t>
            </w:r>
          </w:p>
        </w:tc>
        <w:tc>
          <w:tcPr>
            <w:tcW w:w="2268" w:type="dxa"/>
          </w:tcPr>
          <w:p w:rsidR="000E7AD7" w:rsidRPr="00EF2D2B" w:rsidRDefault="000E7AD7" w:rsidP="000E7AD7">
            <w:pPr>
              <w:pStyle w:val="TableParagraph"/>
              <w:tabs>
                <w:tab w:val="left" w:pos="0"/>
              </w:tabs>
              <w:spacing w:before="53" w:line="276" w:lineRule="auto"/>
              <w:jc w:val="both"/>
              <w:rPr>
                <w:b/>
                <w:sz w:val="20"/>
                <w:szCs w:val="20"/>
                <w:lang w:val="mn-MN"/>
              </w:rPr>
            </w:pPr>
            <w:r w:rsidRPr="00EF2D2B">
              <w:rPr>
                <w:b/>
                <w:sz w:val="20"/>
                <w:szCs w:val="20"/>
                <w:lang w:val="mn-MN"/>
              </w:rPr>
              <w:t>Харилцаа холбооны хамгийн их саатлын (хоцролт) хугацаа</w:t>
            </w:r>
          </w:p>
        </w:tc>
        <w:tc>
          <w:tcPr>
            <w:tcW w:w="2828" w:type="dxa"/>
          </w:tcPr>
          <w:p w:rsidR="000E7AD7" w:rsidRPr="00EF2D2B" w:rsidRDefault="000E7AD7" w:rsidP="000E7AD7">
            <w:pPr>
              <w:pStyle w:val="TableParagraph"/>
              <w:tabs>
                <w:tab w:val="left" w:pos="0"/>
              </w:tabs>
              <w:spacing w:before="53" w:line="276" w:lineRule="auto"/>
              <w:rPr>
                <w:b/>
                <w:sz w:val="20"/>
                <w:szCs w:val="20"/>
                <w:lang w:val="mn-MN"/>
              </w:rPr>
            </w:pPr>
            <w:r w:rsidRPr="00EF2D2B">
              <w:rPr>
                <w:b/>
                <w:sz w:val="20"/>
                <w:szCs w:val="20"/>
                <w:lang w:val="mn-MN"/>
              </w:rPr>
              <w:t>Хэмжилт ба хугацааны хаягийн нарийвчлал</w:t>
            </w:r>
          </w:p>
        </w:tc>
      </w:tr>
      <w:tr w:rsidR="000E7AD7" w:rsidTr="000E7AD7">
        <w:tc>
          <w:tcPr>
            <w:tcW w:w="1980" w:type="dxa"/>
          </w:tcPr>
          <w:p w:rsidR="000E7AD7" w:rsidRPr="00731F96" w:rsidRDefault="000E7AD7" w:rsidP="000E7AD7">
            <w:pPr>
              <w:pStyle w:val="TableParagraph"/>
              <w:tabs>
                <w:tab w:val="left" w:pos="0"/>
              </w:tabs>
              <w:spacing w:before="58" w:line="276" w:lineRule="auto"/>
              <w:ind w:left="107"/>
              <w:rPr>
                <w:sz w:val="20"/>
                <w:szCs w:val="20"/>
                <w:lang w:val="mn-MN"/>
              </w:rPr>
            </w:pPr>
            <w:r w:rsidRPr="00EF2D2B">
              <w:rPr>
                <w:sz w:val="20"/>
                <w:szCs w:val="20"/>
                <w:lang w:val="mn-MN"/>
              </w:rPr>
              <w:t>Үйл ажиллагааны өгөгдлийг илгээх</w:t>
            </w:r>
          </w:p>
        </w:tc>
        <w:tc>
          <w:tcPr>
            <w:tcW w:w="2268" w:type="dxa"/>
          </w:tcPr>
          <w:p w:rsidR="000E7AD7" w:rsidRPr="00EF2D2B" w:rsidRDefault="000E7AD7" w:rsidP="000E7AD7">
            <w:pPr>
              <w:pStyle w:val="TableParagraph"/>
              <w:tabs>
                <w:tab w:val="left" w:pos="0"/>
              </w:tabs>
              <w:spacing w:before="58" w:line="276" w:lineRule="auto"/>
              <w:ind w:left="107"/>
              <w:rPr>
                <w:sz w:val="20"/>
                <w:szCs w:val="20"/>
                <w:lang w:val="mn-MN"/>
              </w:rPr>
            </w:pPr>
            <w:r w:rsidRPr="00EF2D2B">
              <w:rPr>
                <w:sz w:val="20"/>
                <w:szCs w:val="20"/>
                <w:lang w:val="mn-MN"/>
              </w:rPr>
              <w:t>N/A</w:t>
            </w:r>
          </w:p>
        </w:tc>
        <w:tc>
          <w:tcPr>
            <w:tcW w:w="2268" w:type="dxa"/>
          </w:tcPr>
          <w:p w:rsidR="000E7AD7" w:rsidRPr="00EF2D2B" w:rsidRDefault="000E7AD7" w:rsidP="000E7AD7">
            <w:pPr>
              <w:pStyle w:val="TableParagraph"/>
              <w:tabs>
                <w:tab w:val="left" w:pos="0"/>
              </w:tabs>
              <w:spacing w:before="58" w:line="276" w:lineRule="auto"/>
              <w:ind w:left="107"/>
              <w:rPr>
                <w:sz w:val="20"/>
                <w:szCs w:val="20"/>
                <w:lang w:val="mn-MN"/>
              </w:rPr>
            </w:pPr>
            <w:r w:rsidRPr="00EF2D2B">
              <w:rPr>
                <w:sz w:val="20"/>
                <w:szCs w:val="20"/>
                <w:lang w:val="mn-MN"/>
              </w:rPr>
              <w:t>N/A</w:t>
            </w:r>
          </w:p>
        </w:tc>
        <w:tc>
          <w:tcPr>
            <w:tcW w:w="2828" w:type="dxa"/>
          </w:tcPr>
          <w:p w:rsidR="000E7AD7" w:rsidRPr="00EF2D2B" w:rsidRDefault="000E7AD7" w:rsidP="000E7AD7">
            <w:pPr>
              <w:pStyle w:val="TableParagraph"/>
              <w:tabs>
                <w:tab w:val="left" w:pos="0"/>
              </w:tabs>
              <w:spacing w:before="58" w:line="276" w:lineRule="auto"/>
              <w:ind w:left="108" w:right="120"/>
              <w:jc w:val="both"/>
              <w:rPr>
                <w:sz w:val="20"/>
                <w:szCs w:val="20"/>
                <w:lang w:val="mn-MN"/>
              </w:rPr>
            </w:pPr>
            <w:r w:rsidRPr="00EF2D2B">
              <w:rPr>
                <w:sz w:val="20"/>
                <w:szCs w:val="20"/>
                <w:lang w:val="mn-MN"/>
              </w:rPr>
              <w:t>Үйл ажиллагааны өгөгдлийг үүсгэхэд ашигладаг PMU-ийн хамгийн дээд нарийвчлал</w:t>
            </w:r>
          </w:p>
        </w:tc>
      </w:tr>
    </w:tbl>
    <w:p w:rsidR="000E7AD7" w:rsidRDefault="000E7AD7" w:rsidP="000E7AD7">
      <w:pPr>
        <w:ind w:left="0" w:firstLine="0"/>
        <w:jc w:val="center"/>
        <w:rPr>
          <w:b/>
          <w:lang w:val="en-US"/>
        </w:rPr>
      </w:pPr>
    </w:p>
    <w:tbl>
      <w:tblPr>
        <w:tblStyle w:val="TableGrid"/>
        <w:tblW w:w="0" w:type="auto"/>
        <w:tblLook w:val="04A0" w:firstRow="1" w:lastRow="0" w:firstColumn="1" w:lastColumn="0" w:noHBand="0" w:noVBand="1"/>
      </w:tblPr>
      <w:tblGrid>
        <w:gridCol w:w="2336"/>
        <w:gridCol w:w="2336"/>
        <w:gridCol w:w="2336"/>
        <w:gridCol w:w="2336"/>
      </w:tblGrid>
      <w:tr w:rsidR="000E7AD7" w:rsidRPr="00EF2D2B" w:rsidTr="00A71B0E">
        <w:tc>
          <w:tcPr>
            <w:tcW w:w="2336" w:type="dxa"/>
          </w:tcPr>
          <w:p w:rsidR="000E7AD7" w:rsidRPr="00731F96" w:rsidRDefault="000E7AD7" w:rsidP="000E7AD7">
            <w:pPr>
              <w:pStyle w:val="TableParagraph"/>
              <w:tabs>
                <w:tab w:val="left" w:pos="0"/>
              </w:tabs>
              <w:spacing w:before="53" w:line="276" w:lineRule="auto"/>
              <w:ind w:left="362"/>
              <w:rPr>
                <w:b/>
                <w:sz w:val="20"/>
                <w:szCs w:val="20"/>
                <w:lang w:val="mn-MN"/>
              </w:rPr>
            </w:pPr>
            <w:r w:rsidRPr="00731F96">
              <w:rPr>
                <w:b/>
                <w:sz w:val="20"/>
                <w:szCs w:val="20"/>
                <w:lang w:val="mn-MN"/>
              </w:rPr>
              <w:t>Activity</w:t>
            </w:r>
          </w:p>
        </w:tc>
        <w:tc>
          <w:tcPr>
            <w:tcW w:w="2336" w:type="dxa"/>
          </w:tcPr>
          <w:p w:rsidR="000E7AD7" w:rsidRPr="00EF2D2B" w:rsidRDefault="000E7AD7" w:rsidP="000E7AD7">
            <w:pPr>
              <w:pStyle w:val="TableParagraph"/>
              <w:tabs>
                <w:tab w:val="left" w:pos="0"/>
              </w:tabs>
              <w:spacing w:before="53" w:line="276" w:lineRule="auto"/>
              <w:ind w:left="465" w:right="25" w:hanging="216"/>
              <w:rPr>
                <w:b/>
                <w:sz w:val="20"/>
                <w:szCs w:val="20"/>
                <w:lang w:val="mn-MN"/>
              </w:rPr>
            </w:pPr>
            <w:r w:rsidRPr="00EF2D2B">
              <w:rPr>
                <w:b/>
                <w:sz w:val="20"/>
                <w:szCs w:val="20"/>
                <w:lang w:val="mn-MN"/>
              </w:rPr>
              <w:t>Minimum rate</w:t>
            </w:r>
          </w:p>
        </w:tc>
        <w:tc>
          <w:tcPr>
            <w:tcW w:w="2336" w:type="dxa"/>
          </w:tcPr>
          <w:p w:rsidR="000E7AD7" w:rsidRPr="00EF2D2B" w:rsidRDefault="000E7AD7" w:rsidP="000E7AD7">
            <w:pPr>
              <w:pStyle w:val="TableParagraph"/>
              <w:tabs>
                <w:tab w:val="left" w:pos="0"/>
              </w:tabs>
              <w:spacing w:before="53" w:line="276" w:lineRule="auto"/>
              <w:ind w:left="465" w:right="25" w:hanging="216"/>
              <w:rPr>
                <w:b/>
                <w:sz w:val="20"/>
                <w:szCs w:val="20"/>
                <w:lang w:val="mn-MN"/>
              </w:rPr>
            </w:pPr>
            <w:r>
              <w:rPr>
                <w:b/>
                <w:sz w:val="20"/>
                <w:szCs w:val="20"/>
                <w:lang w:val="mn-MN"/>
              </w:rPr>
              <w:t xml:space="preserve">Maximum </w:t>
            </w:r>
            <w:r w:rsidRPr="00EF2D2B">
              <w:rPr>
                <w:b/>
                <w:sz w:val="20"/>
                <w:szCs w:val="20"/>
                <w:lang w:val="mn-MN"/>
              </w:rPr>
              <w:t>communication delay (latency) time</w:t>
            </w:r>
          </w:p>
        </w:tc>
        <w:tc>
          <w:tcPr>
            <w:tcW w:w="2336" w:type="dxa"/>
          </w:tcPr>
          <w:p w:rsidR="000E7AD7" w:rsidRPr="00EF2D2B" w:rsidRDefault="000E7AD7" w:rsidP="000E7AD7">
            <w:pPr>
              <w:pStyle w:val="TableParagraph"/>
              <w:tabs>
                <w:tab w:val="left" w:pos="0"/>
              </w:tabs>
              <w:spacing w:before="53" w:line="276" w:lineRule="auto"/>
              <w:ind w:left="230"/>
              <w:rPr>
                <w:b/>
                <w:sz w:val="20"/>
                <w:szCs w:val="20"/>
                <w:lang w:val="mn-MN"/>
              </w:rPr>
            </w:pPr>
            <w:r w:rsidRPr="00EF2D2B">
              <w:rPr>
                <w:b/>
                <w:sz w:val="20"/>
                <w:szCs w:val="20"/>
                <w:lang w:val="mn-MN"/>
              </w:rPr>
              <w:t>Measurement and timetag accuracy</w:t>
            </w:r>
          </w:p>
        </w:tc>
      </w:tr>
      <w:tr w:rsidR="000E7AD7" w:rsidRPr="00EF2D2B" w:rsidTr="00A71B0E">
        <w:tc>
          <w:tcPr>
            <w:tcW w:w="2336" w:type="dxa"/>
          </w:tcPr>
          <w:p w:rsidR="000E7AD7" w:rsidRPr="00EF2D2B" w:rsidRDefault="000E7AD7" w:rsidP="000E7AD7">
            <w:pPr>
              <w:pStyle w:val="TableParagraph"/>
              <w:tabs>
                <w:tab w:val="left" w:pos="0"/>
              </w:tabs>
              <w:spacing w:before="58" w:line="276" w:lineRule="auto"/>
              <w:ind w:left="107"/>
              <w:rPr>
                <w:sz w:val="20"/>
                <w:szCs w:val="20"/>
                <w:lang w:val="mn-MN"/>
              </w:rPr>
            </w:pPr>
            <w:r w:rsidRPr="00EF2D2B">
              <w:rPr>
                <w:sz w:val="20"/>
                <w:szCs w:val="20"/>
                <w:lang w:val="mn-MN"/>
              </w:rPr>
              <w:lastRenderedPageBreak/>
              <w:t>Event data sending</w:t>
            </w:r>
          </w:p>
        </w:tc>
        <w:tc>
          <w:tcPr>
            <w:tcW w:w="2336" w:type="dxa"/>
          </w:tcPr>
          <w:p w:rsidR="000E7AD7" w:rsidRPr="00731F96" w:rsidRDefault="000E7AD7" w:rsidP="000E7AD7">
            <w:pPr>
              <w:pStyle w:val="TableParagraph"/>
              <w:tabs>
                <w:tab w:val="left" w:pos="0"/>
              </w:tabs>
              <w:spacing w:before="58" w:line="276" w:lineRule="auto"/>
              <w:ind w:left="107"/>
              <w:rPr>
                <w:sz w:val="20"/>
                <w:szCs w:val="20"/>
                <w:lang w:val="mn-MN"/>
              </w:rPr>
            </w:pPr>
            <w:r w:rsidRPr="00731F96">
              <w:rPr>
                <w:sz w:val="20"/>
                <w:szCs w:val="20"/>
                <w:lang w:val="mn-MN"/>
              </w:rPr>
              <w:t>N/A</w:t>
            </w:r>
          </w:p>
        </w:tc>
        <w:tc>
          <w:tcPr>
            <w:tcW w:w="2336" w:type="dxa"/>
          </w:tcPr>
          <w:p w:rsidR="000E7AD7" w:rsidRPr="00EF2D2B" w:rsidRDefault="000E7AD7" w:rsidP="000E7AD7">
            <w:pPr>
              <w:pStyle w:val="TableParagraph"/>
              <w:tabs>
                <w:tab w:val="left" w:pos="0"/>
              </w:tabs>
              <w:spacing w:before="58" w:line="276" w:lineRule="auto"/>
              <w:ind w:left="107"/>
              <w:rPr>
                <w:sz w:val="20"/>
                <w:szCs w:val="20"/>
                <w:lang w:val="mn-MN"/>
              </w:rPr>
            </w:pPr>
            <w:r w:rsidRPr="00EF2D2B">
              <w:rPr>
                <w:sz w:val="20"/>
                <w:szCs w:val="20"/>
                <w:lang w:val="mn-MN"/>
              </w:rPr>
              <w:t>N/A</w:t>
            </w:r>
          </w:p>
        </w:tc>
        <w:tc>
          <w:tcPr>
            <w:tcW w:w="2336" w:type="dxa"/>
          </w:tcPr>
          <w:p w:rsidR="000E7AD7" w:rsidRPr="00EF2D2B" w:rsidRDefault="000E7AD7" w:rsidP="000E7AD7">
            <w:pPr>
              <w:pStyle w:val="TableParagraph"/>
              <w:tabs>
                <w:tab w:val="left" w:pos="0"/>
              </w:tabs>
              <w:spacing w:before="58" w:line="276" w:lineRule="auto"/>
              <w:ind w:left="108"/>
              <w:rPr>
                <w:sz w:val="20"/>
                <w:szCs w:val="20"/>
                <w:lang w:val="mn-MN"/>
              </w:rPr>
            </w:pPr>
            <w:r w:rsidRPr="00EF2D2B">
              <w:rPr>
                <w:sz w:val="20"/>
                <w:szCs w:val="20"/>
                <w:lang w:val="mn-MN"/>
              </w:rPr>
              <w:t>Maximum accuracy of the PMUs used to generate the event data</w:t>
            </w:r>
          </w:p>
        </w:tc>
      </w:tr>
    </w:tbl>
    <w:p w:rsidR="000E7AD7" w:rsidRDefault="000E7AD7" w:rsidP="000E7AD7">
      <w:pPr>
        <w:ind w:left="0" w:firstLine="0"/>
        <w:rPr>
          <w:b/>
          <w:lang w:val="en-US"/>
        </w:rPr>
      </w:pPr>
    </w:p>
    <w:tbl>
      <w:tblPr>
        <w:tblStyle w:val="TableGrid"/>
        <w:tblW w:w="0" w:type="auto"/>
        <w:tblLook w:val="04A0" w:firstRow="1" w:lastRow="0" w:firstColumn="1" w:lastColumn="0" w:noHBand="0" w:noVBand="1"/>
      </w:tblPr>
      <w:tblGrid>
        <w:gridCol w:w="4672"/>
        <w:gridCol w:w="4672"/>
      </w:tblGrid>
      <w:tr w:rsidR="000E7AD7" w:rsidTr="000E7AD7">
        <w:tc>
          <w:tcPr>
            <w:tcW w:w="4672" w:type="dxa"/>
          </w:tcPr>
          <w:p w:rsidR="000E7AD7" w:rsidRPr="000E7AD7" w:rsidRDefault="000E7AD7" w:rsidP="000E7AD7">
            <w:pPr>
              <w:tabs>
                <w:tab w:val="left" w:pos="0"/>
              </w:tabs>
              <w:ind w:left="0" w:firstLine="0"/>
              <w:rPr>
                <w:rFonts w:eastAsia="Calibri"/>
                <w:b/>
                <w:bCs/>
                <w:szCs w:val="22"/>
              </w:rPr>
            </w:pPr>
            <w:r w:rsidRPr="000E7AD7">
              <w:rPr>
                <w:rFonts w:eastAsia="Calibri"/>
                <w:b/>
                <w:bCs/>
                <w:szCs w:val="22"/>
              </w:rPr>
              <w:t>5.9 Өргөн хүрээний хяналт</w:t>
            </w:r>
          </w:p>
          <w:p w:rsidR="000E7AD7" w:rsidRPr="0062743A" w:rsidRDefault="000E7AD7" w:rsidP="000E7AD7">
            <w:pPr>
              <w:tabs>
                <w:tab w:val="left" w:pos="0"/>
              </w:tabs>
              <w:ind w:left="0" w:firstLine="0"/>
              <w:rPr>
                <w:rFonts w:eastAsia="Calibri"/>
                <w:b/>
                <w:bCs/>
                <w:szCs w:val="22"/>
              </w:rPr>
            </w:pPr>
            <w:r w:rsidRPr="000E7AD7">
              <w:rPr>
                <w:rFonts w:eastAsia="Calibri"/>
                <w:b/>
                <w:bCs/>
                <w:szCs w:val="22"/>
              </w:rPr>
              <w:t>5.9.1Ерөнхий</w:t>
            </w:r>
            <w:r w:rsidR="0062743A">
              <w:rPr>
                <w:rFonts w:eastAsia="Calibri"/>
                <w:b/>
                <w:bCs/>
                <w:szCs w:val="22"/>
                <w:lang w:val="en-US"/>
              </w:rPr>
              <w:t xml:space="preserve"> </w:t>
            </w:r>
            <w:r w:rsidR="0062743A">
              <w:rPr>
                <w:rFonts w:eastAsia="Calibri"/>
                <w:b/>
                <w:bCs/>
                <w:szCs w:val="22"/>
              </w:rPr>
              <w:t>зүйл</w:t>
            </w:r>
          </w:p>
          <w:p w:rsidR="000E7AD7" w:rsidRPr="000E7AD7" w:rsidRDefault="000E7AD7" w:rsidP="000E7AD7">
            <w:pPr>
              <w:tabs>
                <w:tab w:val="left" w:pos="0"/>
              </w:tabs>
              <w:ind w:left="0" w:firstLine="0"/>
              <w:rPr>
                <w:rFonts w:eastAsia="Calibri"/>
                <w:bCs/>
                <w:szCs w:val="22"/>
              </w:rPr>
            </w:pPr>
            <w:r w:rsidRPr="000E7AD7">
              <w:rPr>
                <w:rFonts w:eastAsia="Calibri"/>
                <w:bCs/>
                <w:szCs w:val="22"/>
              </w:rPr>
              <w:t>Өргөн хүрээний хяналтын хүрээнд синхрофазорыг ашиглах хэд хэдэн тохиолдол байдаг. Ашиглагдах тохиолдлуудыг дараах дэд бүлгүүдэд үзүүлэв.</w:t>
            </w:r>
          </w:p>
          <w:p w:rsidR="000E7AD7" w:rsidRPr="000E7AD7" w:rsidRDefault="000E7AD7" w:rsidP="000E7AD7">
            <w:pPr>
              <w:pStyle w:val="Heading5"/>
              <w:tabs>
                <w:tab w:val="left" w:pos="0"/>
                <w:tab w:val="left" w:pos="1410"/>
                <w:tab w:val="left" w:pos="1411"/>
              </w:tabs>
              <w:spacing w:line="276" w:lineRule="auto"/>
              <w:outlineLvl w:val="4"/>
              <w:rPr>
                <w:rFonts w:ascii="Arial" w:eastAsia="Calibri" w:hAnsi="Arial" w:cs="Arial"/>
                <w:b/>
                <w:color w:val="auto"/>
                <w:szCs w:val="22"/>
                <w:lang w:val="mn-MN"/>
              </w:rPr>
            </w:pPr>
            <w:r w:rsidRPr="000E7AD7">
              <w:rPr>
                <w:rFonts w:ascii="Arial" w:eastAsia="Calibri" w:hAnsi="Arial" w:cs="Arial"/>
                <w:b/>
                <w:color w:val="auto"/>
                <w:szCs w:val="22"/>
                <w:lang w:val="mn-MN"/>
              </w:rPr>
              <w:t>5.9.2 Тусгай хамгаалалтын схемүүд</w:t>
            </w:r>
          </w:p>
          <w:p w:rsidR="000E7AD7" w:rsidRPr="000E7AD7" w:rsidRDefault="000E7AD7" w:rsidP="000E7AD7">
            <w:pPr>
              <w:tabs>
                <w:tab w:val="left" w:pos="0"/>
              </w:tabs>
              <w:ind w:left="0" w:firstLine="0"/>
              <w:rPr>
                <w:rFonts w:eastAsia="Calibri"/>
                <w:bCs/>
                <w:szCs w:val="22"/>
              </w:rPr>
            </w:pPr>
            <w:r w:rsidRPr="000E7AD7">
              <w:rPr>
                <w:rFonts w:eastAsia="Calibri"/>
                <w:bCs/>
                <w:szCs w:val="22"/>
              </w:rPr>
              <w:t>Энэхүү хэрэглээнд өгөгдөл нь нэг буюу хэд хэдэн PMU төхөөрөмжөөс дэд станц, удирдлагын төв эсвэл бусад тохирох байгууламж дээр байрлах хянагч руу илгээгддэг. Өгөгдлийг шууд хянагч руу явуулах эсвэл ssPDC буюу PDC өгөгдөл цуглуулах төхөөрөмжөөр дамжуулж болно. Програмчлагдсан алгоритм ашиглан хянагч нь эдгээр хэмжилт дээр үндэслэн арга хэмжээ авна. Удирдлагын функцүүд нь сэлгэн залгах конденсатор, реакторууд болон шугамууд, генераторын уналт, SVC унтраах ба хэрэгжүүлэх боломжтой бусад үйлдлийг багтаана.Энэхүү үйлдэлд уламжлалт тусгай хамгаалалтын схемүүд (SPS, SIPS, RAS гэх мэт) болон урьдчилан боловсруулсан үр дүнгээс илүү хэмжүүрийн системийн үр дүнд суурилсан орчин үеийн схемүүдийг агуулж болно. Тиймээс синхрофазорууд өндөр хурдны хэмжилтийг нарийвчлалтай өгдөх хэрэгтэй. Ерөнхий мэдээллийн урсгалыг 7-р зурагт үзүүлэв.</w:t>
            </w:r>
          </w:p>
        </w:tc>
        <w:tc>
          <w:tcPr>
            <w:tcW w:w="4672" w:type="dxa"/>
          </w:tcPr>
          <w:p w:rsidR="000E7AD7" w:rsidRPr="000E7AD7" w:rsidRDefault="000E7AD7" w:rsidP="000E7AD7">
            <w:pPr>
              <w:tabs>
                <w:tab w:val="left" w:pos="0"/>
              </w:tabs>
              <w:ind w:left="0" w:firstLine="0"/>
              <w:rPr>
                <w:rFonts w:eastAsia="Calibri"/>
                <w:b/>
                <w:bCs/>
                <w:szCs w:val="22"/>
              </w:rPr>
            </w:pPr>
            <w:r w:rsidRPr="000E7AD7">
              <w:rPr>
                <w:rFonts w:eastAsia="Calibri"/>
                <w:b/>
                <w:bCs/>
                <w:szCs w:val="22"/>
              </w:rPr>
              <w:t>5.9 Wide area controls</w:t>
            </w:r>
          </w:p>
          <w:p w:rsidR="000E7AD7" w:rsidRPr="000E7AD7" w:rsidRDefault="000E7AD7" w:rsidP="000E7AD7">
            <w:pPr>
              <w:tabs>
                <w:tab w:val="left" w:pos="0"/>
              </w:tabs>
              <w:ind w:left="0" w:firstLine="0"/>
              <w:rPr>
                <w:rFonts w:eastAsia="Calibri"/>
                <w:b/>
                <w:bCs/>
                <w:szCs w:val="22"/>
              </w:rPr>
            </w:pPr>
            <w:bookmarkStart w:id="5" w:name="5.9.1_General"/>
            <w:bookmarkEnd w:id="5"/>
            <w:r w:rsidRPr="000E7AD7">
              <w:rPr>
                <w:rFonts w:eastAsia="Calibri"/>
                <w:b/>
                <w:bCs/>
                <w:szCs w:val="22"/>
              </w:rPr>
              <w:t>5.9.1 General</w:t>
            </w:r>
          </w:p>
          <w:p w:rsidR="000E7AD7" w:rsidRPr="000E7AD7" w:rsidRDefault="000E7AD7" w:rsidP="000E7AD7">
            <w:pPr>
              <w:tabs>
                <w:tab w:val="left" w:pos="0"/>
              </w:tabs>
              <w:ind w:left="0" w:firstLine="0"/>
              <w:rPr>
                <w:rFonts w:eastAsia="Calibri"/>
                <w:bCs/>
                <w:szCs w:val="22"/>
              </w:rPr>
            </w:pPr>
            <w:r w:rsidRPr="000E7AD7">
              <w:rPr>
                <w:rFonts w:eastAsia="Calibri"/>
                <w:bCs/>
                <w:szCs w:val="22"/>
              </w:rPr>
              <w:t>There are several different use cases for using synchrophasors in the context of wide area controls. The following subclauses document the related use cases.</w:t>
            </w:r>
          </w:p>
          <w:p w:rsidR="000E7AD7" w:rsidRPr="000E7AD7" w:rsidRDefault="000E7AD7" w:rsidP="000E7AD7">
            <w:pPr>
              <w:tabs>
                <w:tab w:val="left" w:pos="0"/>
              </w:tabs>
              <w:ind w:left="0" w:firstLine="0"/>
              <w:rPr>
                <w:rFonts w:eastAsia="Calibri"/>
                <w:b/>
                <w:bCs/>
                <w:szCs w:val="22"/>
              </w:rPr>
            </w:pPr>
            <w:r w:rsidRPr="000E7AD7">
              <w:rPr>
                <w:rFonts w:eastAsia="Calibri"/>
                <w:b/>
                <w:bCs/>
                <w:szCs w:val="22"/>
              </w:rPr>
              <w:t>5.9.2 Special protection schemes</w:t>
            </w:r>
          </w:p>
          <w:p w:rsidR="000E7AD7" w:rsidRPr="000E7AD7" w:rsidRDefault="000E7AD7" w:rsidP="000E7AD7">
            <w:pPr>
              <w:tabs>
                <w:tab w:val="left" w:pos="0"/>
              </w:tabs>
              <w:ind w:left="0" w:firstLine="0"/>
              <w:rPr>
                <w:rFonts w:eastAsia="Calibri"/>
                <w:bCs/>
                <w:szCs w:val="22"/>
              </w:rPr>
            </w:pPr>
            <w:r w:rsidRPr="000E7AD7">
              <w:rPr>
                <w:rFonts w:eastAsia="Calibri"/>
                <w:bCs/>
                <w:szCs w:val="22"/>
              </w:rPr>
              <w:t xml:space="preserve">In this application, data are sent from one or more PMU devices to a controller located at a substation, control center, or other appropriate facility. The data may go directly to the controller or may go through ssPDC or PDC data gathering devices. Using programmed algorithms, the controller will take action based  on  these  measurements. Control functions can include switching capacitors, reactors or lines, generator dropping, SVC  damping,  and  any other action that can be implemented. This action can include both traditional special protection schemes (SPS, SIPS, RAS, etc.) and more sophisticated schemes that are based   on measured system responses rather than pre-programmed responses. Synchrophasors provide accurate high speed measurements useful for this purpose. The general information flow is shown in </w:t>
            </w:r>
            <w:hyperlink w:anchor="_bookmark8" w:history="1">
              <w:r w:rsidRPr="000E7AD7">
                <w:rPr>
                  <w:rFonts w:eastAsia="Calibri"/>
                  <w:bCs/>
                  <w:szCs w:val="22"/>
                </w:rPr>
                <w:t>Figure 7.</w:t>
              </w:r>
            </w:hyperlink>
          </w:p>
        </w:tc>
      </w:tr>
    </w:tbl>
    <w:p w:rsidR="000E7AD7" w:rsidRDefault="000E7AD7" w:rsidP="00440B2A">
      <w:pPr>
        <w:ind w:left="0" w:firstLine="0"/>
        <w:jc w:val="center"/>
        <w:rPr>
          <w:b/>
          <w:lang w:val="en-US"/>
        </w:rPr>
      </w:pPr>
    </w:p>
    <w:p w:rsidR="000E7AD7" w:rsidRDefault="000E7AD7" w:rsidP="00440B2A">
      <w:pPr>
        <w:ind w:left="0" w:firstLine="0"/>
        <w:jc w:val="center"/>
        <w:rPr>
          <w:b/>
          <w:lang w:val="en-US"/>
        </w:rPr>
      </w:pPr>
    </w:p>
    <w:p w:rsidR="000E7AD7" w:rsidRDefault="000E7AD7" w:rsidP="00440B2A">
      <w:pPr>
        <w:ind w:left="0" w:firstLine="0"/>
        <w:jc w:val="center"/>
        <w:rPr>
          <w:b/>
          <w:lang w:val="en-US"/>
        </w:rPr>
      </w:pPr>
      <w:r>
        <w:rPr>
          <w:noProof/>
          <w:lang w:val="en-US"/>
        </w:rPr>
        <w:lastRenderedPageBreak/>
        <w:drawing>
          <wp:inline distT="0" distB="0" distL="0" distR="0" wp14:anchorId="2E224384" wp14:editId="247B2650">
            <wp:extent cx="5686425" cy="3457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425" cy="3457575"/>
                    </a:xfrm>
                    <a:prstGeom prst="rect">
                      <a:avLst/>
                    </a:prstGeom>
                  </pic:spPr>
                </pic:pic>
              </a:graphicData>
            </a:graphic>
          </wp:inline>
        </w:drawing>
      </w:r>
    </w:p>
    <w:p w:rsidR="000E7AD7" w:rsidRDefault="000E7AD7" w:rsidP="00440B2A">
      <w:pPr>
        <w:ind w:left="0" w:firstLine="0"/>
        <w:jc w:val="center"/>
        <w:rPr>
          <w:b/>
          <w:lang w:val="en-US"/>
        </w:rPr>
      </w:pPr>
      <w:r w:rsidRPr="000E7AD7">
        <w:rPr>
          <w:b/>
          <w:lang w:val="en-US"/>
        </w:rPr>
        <w:t>7</w:t>
      </w:r>
      <w:r>
        <w:rPr>
          <w:b/>
          <w:lang w:val="en-US"/>
        </w:rPr>
        <w:t>-</w:t>
      </w:r>
      <w:r>
        <w:rPr>
          <w:b/>
        </w:rPr>
        <w:t>р зураг</w:t>
      </w:r>
      <w:r w:rsidRPr="000E7AD7">
        <w:rPr>
          <w:b/>
          <w:lang w:val="en-US"/>
        </w:rPr>
        <w:t xml:space="preserve"> – Өргөн хүрээний хяналтад ашиглах схем</w:t>
      </w:r>
    </w:p>
    <w:p w:rsidR="000E7AD7" w:rsidRDefault="000E7AD7" w:rsidP="00440B2A">
      <w:pPr>
        <w:ind w:left="0" w:firstLine="0"/>
        <w:jc w:val="center"/>
        <w:rPr>
          <w:b/>
          <w:lang w:val="en-US"/>
        </w:rPr>
      </w:pPr>
    </w:p>
    <w:p w:rsidR="000E7AD7" w:rsidRDefault="000E7AD7" w:rsidP="00440B2A">
      <w:pPr>
        <w:ind w:left="0" w:firstLine="0"/>
        <w:jc w:val="center"/>
        <w:rPr>
          <w:b/>
          <w:lang w:val="en-US"/>
        </w:rPr>
      </w:pPr>
      <w:r w:rsidRPr="00EF2D2B">
        <w:rPr>
          <w:noProof/>
          <w:lang w:val="en-US"/>
        </w:rPr>
        <w:drawing>
          <wp:inline distT="0" distB="0" distL="0" distR="0" wp14:anchorId="764C60C3" wp14:editId="6B29190A">
            <wp:extent cx="4743450" cy="298132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43450" cy="2981325"/>
                    </a:xfrm>
                    <a:prstGeom prst="rect">
                      <a:avLst/>
                    </a:prstGeom>
                  </pic:spPr>
                </pic:pic>
              </a:graphicData>
            </a:graphic>
          </wp:inline>
        </w:drawing>
      </w:r>
    </w:p>
    <w:p w:rsidR="000E7AD7" w:rsidRDefault="000E7AD7" w:rsidP="00E2763A">
      <w:pPr>
        <w:ind w:left="0" w:firstLine="0"/>
        <w:jc w:val="center"/>
        <w:rPr>
          <w:b/>
          <w:lang w:val="en-US"/>
        </w:rPr>
      </w:pPr>
      <w:r w:rsidRPr="000E7AD7">
        <w:rPr>
          <w:b/>
          <w:lang w:val="en-US"/>
        </w:rPr>
        <w:t>Figure 7 – Use case diagram for wide area controls</w:t>
      </w:r>
    </w:p>
    <w:p w:rsidR="000E7AD7" w:rsidRPr="001C4C31" w:rsidRDefault="000E7AD7" w:rsidP="000E7AD7">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723"/>
        <w:gridCol w:w="5621"/>
      </w:tblGrid>
      <w:tr w:rsidR="000E7AD7" w:rsidTr="00A71B0E">
        <w:tc>
          <w:tcPr>
            <w:tcW w:w="3723" w:type="dxa"/>
          </w:tcPr>
          <w:p w:rsidR="000E7AD7" w:rsidRPr="00EF2D2B" w:rsidRDefault="000E7AD7"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5621" w:type="dxa"/>
          </w:tcPr>
          <w:p w:rsidR="000E7AD7" w:rsidRPr="00EF2D2B" w:rsidRDefault="000E7AD7" w:rsidP="00A71B0E">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0E7AD7" w:rsidTr="00A71B0E">
        <w:tc>
          <w:tcPr>
            <w:tcW w:w="3723" w:type="dxa"/>
          </w:tcPr>
          <w:p w:rsidR="000E7AD7" w:rsidRPr="00EF2D2B" w:rsidRDefault="000E7AD7" w:rsidP="000E7AD7">
            <w:pPr>
              <w:pStyle w:val="TableParagraph"/>
              <w:tabs>
                <w:tab w:val="left" w:pos="0"/>
              </w:tabs>
              <w:spacing w:before="58" w:line="276" w:lineRule="auto"/>
              <w:rPr>
                <w:sz w:val="20"/>
                <w:szCs w:val="20"/>
                <w:lang w:val="mn-MN"/>
              </w:rPr>
            </w:pPr>
            <w:r w:rsidRPr="00EF2D2B">
              <w:rPr>
                <w:sz w:val="20"/>
                <w:szCs w:val="20"/>
                <w:lang w:val="mn-MN"/>
              </w:rPr>
              <w:t>PMU</w:t>
            </w:r>
          </w:p>
        </w:tc>
        <w:tc>
          <w:tcPr>
            <w:tcW w:w="5621"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Сонхрофазор ба давтамжийг тооцоолно</w:t>
            </w:r>
          </w:p>
        </w:tc>
      </w:tr>
      <w:tr w:rsidR="000E7AD7" w:rsidTr="00A71B0E">
        <w:tc>
          <w:tcPr>
            <w:tcW w:w="3723"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ssPDC</w:t>
            </w:r>
          </w:p>
        </w:tc>
        <w:tc>
          <w:tcPr>
            <w:tcW w:w="5621" w:type="dxa"/>
          </w:tcPr>
          <w:p w:rsidR="000E7AD7" w:rsidRPr="000E7AD7" w:rsidRDefault="000E7AD7" w:rsidP="000E7AD7">
            <w:pPr>
              <w:tabs>
                <w:tab w:val="left" w:pos="0"/>
              </w:tabs>
              <w:ind w:left="0" w:firstLine="0"/>
              <w:rPr>
                <w:sz w:val="20"/>
                <w:szCs w:val="20"/>
              </w:rPr>
            </w:pPr>
            <w:r w:rsidRPr="000E7AD7">
              <w:rPr>
                <w:rFonts w:eastAsia="Calibri"/>
                <w:bCs/>
                <w:sz w:val="20"/>
                <w:szCs w:val="20"/>
              </w:rPr>
              <w:t>Дэд станцын фазор өгөгдлийн хуримтлуулагч – дэд станц дахь хэд хэдэн PMU-ээс цуглуулдаг, тохируулдаг, сонгодог ба задалдаг.</w:t>
            </w:r>
          </w:p>
        </w:tc>
      </w:tr>
      <w:tr w:rsidR="000E7AD7" w:rsidTr="00A71B0E">
        <w:tc>
          <w:tcPr>
            <w:tcW w:w="3723"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PDC</w:t>
            </w:r>
          </w:p>
        </w:tc>
        <w:tc>
          <w:tcPr>
            <w:tcW w:w="5621"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Фазор Өгөгдлийн Хуримтлуулагч – хэд хэдэн PMU буюу бусад PDC-ээс өгөгдлийг цуглуулдаг, тохируулдаг, сонгодог ба задалдаг.</w:t>
            </w:r>
          </w:p>
        </w:tc>
      </w:tr>
      <w:tr w:rsidR="000E7AD7" w:rsidTr="00A71B0E">
        <w:tc>
          <w:tcPr>
            <w:tcW w:w="3723"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lastRenderedPageBreak/>
              <w:t>Удирдлага</w:t>
            </w:r>
          </w:p>
        </w:tc>
        <w:tc>
          <w:tcPr>
            <w:tcW w:w="5621"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Сужийн PDC-ээс өгөгдлийг хүлээн авах, удирдлагын функцийг хэрэгжүүлэх алгоритмуудыг гүйцэтгэх</w:t>
            </w:r>
          </w:p>
        </w:tc>
      </w:tr>
      <w:tr w:rsidR="000E7AD7" w:rsidTr="00A71B0E">
        <w:tc>
          <w:tcPr>
            <w:tcW w:w="3723"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Удирдлагын системийн төхөөрөмж</w:t>
            </w:r>
          </w:p>
        </w:tc>
        <w:tc>
          <w:tcPr>
            <w:tcW w:w="5621"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Таслуур, сэлгэн залгагч, FACTS хянагч, DCудирдлага, түүнтэй адилтгах тоног төхөөрөмжийг багтаасан эрчим хүчний системийн удирдлагын элементүүд</w:t>
            </w:r>
          </w:p>
        </w:tc>
      </w:tr>
    </w:tbl>
    <w:p w:rsidR="000E7AD7" w:rsidRPr="001C4C31" w:rsidRDefault="000E7AD7" w:rsidP="000E7AD7">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486"/>
        <w:gridCol w:w="5858"/>
      </w:tblGrid>
      <w:tr w:rsidR="000E7AD7" w:rsidTr="00A71B0E">
        <w:tc>
          <w:tcPr>
            <w:tcW w:w="3486" w:type="dxa"/>
          </w:tcPr>
          <w:p w:rsidR="000E7AD7" w:rsidRPr="00EF2D2B" w:rsidRDefault="000E7AD7"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858" w:type="dxa"/>
          </w:tcPr>
          <w:p w:rsidR="000E7AD7" w:rsidRPr="00EF2D2B" w:rsidRDefault="000E7AD7" w:rsidP="00A71B0E">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0E7AD7" w:rsidTr="00A71B0E">
        <w:tc>
          <w:tcPr>
            <w:tcW w:w="3486" w:type="dxa"/>
          </w:tcPr>
          <w:p w:rsidR="000E7AD7" w:rsidRPr="00EF2D2B" w:rsidRDefault="000E7AD7" w:rsidP="000E7AD7">
            <w:pPr>
              <w:pStyle w:val="TableParagraph"/>
              <w:tabs>
                <w:tab w:val="left" w:pos="0"/>
              </w:tabs>
              <w:spacing w:before="58" w:line="276" w:lineRule="auto"/>
              <w:rPr>
                <w:sz w:val="20"/>
                <w:szCs w:val="20"/>
                <w:lang w:val="mn-MN"/>
              </w:rPr>
            </w:pPr>
            <w:r w:rsidRPr="00EF2D2B">
              <w:rPr>
                <w:sz w:val="20"/>
                <w:szCs w:val="20"/>
                <w:lang w:val="mn-MN"/>
              </w:rPr>
              <w:t>PMU</w:t>
            </w:r>
          </w:p>
        </w:tc>
        <w:tc>
          <w:tcPr>
            <w:tcW w:w="5858"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Computes synchrophasors &amp; frequency</w:t>
            </w:r>
          </w:p>
        </w:tc>
      </w:tr>
      <w:tr w:rsidR="000E7AD7" w:rsidTr="00A71B0E">
        <w:tc>
          <w:tcPr>
            <w:tcW w:w="3486"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ssPDC</w:t>
            </w:r>
          </w:p>
        </w:tc>
        <w:tc>
          <w:tcPr>
            <w:tcW w:w="5858"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Substation Phasor Data Concentrator – collects, aligns, selects &amp; possibly decimates data from several PMUs in the substation</w:t>
            </w:r>
          </w:p>
        </w:tc>
      </w:tr>
      <w:tr w:rsidR="000E7AD7" w:rsidTr="00A71B0E">
        <w:tc>
          <w:tcPr>
            <w:tcW w:w="3486"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PDC</w:t>
            </w:r>
          </w:p>
        </w:tc>
        <w:tc>
          <w:tcPr>
            <w:tcW w:w="5858"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Phasor Data Concentrator – collects, aligns, selects &amp; possibly decimates data from several PMUs or other PDCs</w:t>
            </w:r>
          </w:p>
        </w:tc>
      </w:tr>
      <w:tr w:rsidR="000E7AD7" w:rsidTr="00A71B0E">
        <w:tc>
          <w:tcPr>
            <w:tcW w:w="3486"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Controller</w:t>
            </w:r>
          </w:p>
        </w:tc>
        <w:tc>
          <w:tcPr>
            <w:tcW w:w="5858"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Receive data from the local PDC &amp; execute algorithms that implement control functions</w:t>
            </w:r>
          </w:p>
        </w:tc>
      </w:tr>
      <w:tr w:rsidR="000E7AD7" w:rsidTr="00A71B0E">
        <w:tc>
          <w:tcPr>
            <w:tcW w:w="3486"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System control equipment</w:t>
            </w:r>
          </w:p>
        </w:tc>
        <w:tc>
          <w:tcPr>
            <w:tcW w:w="5858"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Power system control elements including breakers, switches, FACTS power controllers, DC controls, and similar equipment</w:t>
            </w:r>
          </w:p>
        </w:tc>
      </w:tr>
    </w:tbl>
    <w:p w:rsidR="000E7AD7" w:rsidRDefault="000E7AD7" w:rsidP="000E7AD7">
      <w:pPr>
        <w:ind w:left="0" w:firstLine="0"/>
        <w:rPr>
          <w:b/>
          <w:lang w:val="en-US"/>
        </w:rPr>
      </w:pPr>
    </w:p>
    <w:p w:rsidR="000E7AD7" w:rsidRDefault="000E7AD7" w:rsidP="000E7AD7">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539"/>
        <w:gridCol w:w="5805"/>
      </w:tblGrid>
      <w:tr w:rsidR="000E7AD7" w:rsidRPr="00EF2D2B" w:rsidTr="00A71B0E">
        <w:tc>
          <w:tcPr>
            <w:tcW w:w="3539" w:type="dxa"/>
          </w:tcPr>
          <w:p w:rsidR="000E7AD7" w:rsidRPr="00EF2D2B" w:rsidRDefault="000E7AD7"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805" w:type="dxa"/>
          </w:tcPr>
          <w:p w:rsidR="000E7AD7" w:rsidRPr="00EF2D2B" w:rsidRDefault="000E7AD7" w:rsidP="00A71B0E">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0E7AD7" w:rsidRPr="00731F96" w:rsidTr="00A71B0E">
        <w:tc>
          <w:tcPr>
            <w:tcW w:w="3539"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Өгөгдлийн түүвэр ба Фазор тооцоо</w:t>
            </w:r>
          </w:p>
        </w:tc>
        <w:tc>
          <w:tcPr>
            <w:tcW w:w="5805"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PMU нь хүчдэл ба гүйдлээс синхрофазор ба давтамжийн утгыг тооцдог</w:t>
            </w:r>
          </w:p>
        </w:tc>
      </w:tr>
      <w:tr w:rsidR="000E7AD7" w:rsidRPr="00731F96" w:rsidTr="00A71B0E">
        <w:tc>
          <w:tcPr>
            <w:tcW w:w="3539"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Өгөгдөл илгээх</w:t>
            </w:r>
          </w:p>
        </w:tc>
        <w:tc>
          <w:tcPr>
            <w:tcW w:w="5805"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PMU нь синхрофазор ба давтамжийн утгыг тасралтгүй өгөгдлийн урсгал буюу үйл ажиллагааг тайлагнах аргуудаар илгээдэг</w:t>
            </w:r>
          </w:p>
        </w:tc>
      </w:tr>
      <w:tr w:rsidR="000E7AD7" w:rsidRPr="00731F96" w:rsidTr="00A71B0E">
        <w:tc>
          <w:tcPr>
            <w:tcW w:w="3539"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Өгөгдөл хүлээн авах/илгээх</w:t>
            </w:r>
          </w:p>
        </w:tc>
        <w:tc>
          <w:tcPr>
            <w:tcW w:w="5805"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Хэрэв ssPDC байгаа бол өгөгдлийг дэд станцад хүлээн авч, бусад PMU-ийн өгөгдөлтэй нэгтгэж, очих газрын PDC руу дамжуулна</w:t>
            </w:r>
          </w:p>
        </w:tc>
      </w:tr>
      <w:tr w:rsidR="000E7AD7" w:rsidRPr="00731F96" w:rsidTr="00A71B0E">
        <w:tc>
          <w:tcPr>
            <w:tcW w:w="3539"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Өгөгдөл хүлээн авах</w:t>
            </w:r>
          </w:p>
        </w:tc>
        <w:tc>
          <w:tcPr>
            <w:tcW w:w="5805"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PDC нь PMU эсвэл ssPDC-ээс өгөгдлийг хүлээн авч, бусад хэмжих нэгжүүдийн өгөгдөлтэй нэгтгэж, хянагч руу илгээдэг</w:t>
            </w:r>
          </w:p>
        </w:tc>
      </w:tr>
      <w:tr w:rsidR="000E7AD7" w:rsidRPr="00731F96" w:rsidTr="00A71B0E">
        <w:tc>
          <w:tcPr>
            <w:tcW w:w="3539"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Эрчим хүчний системийн удирдлага</w:t>
            </w:r>
          </w:p>
        </w:tc>
        <w:tc>
          <w:tcPr>
            <w:tcW w:w="5805"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Удирдлагууд өгөгдөл хүлээн авч, өгөгдөл баудирдлагын алгоритм дээр үндэслэн үйл ажиллагааг тодорхойлдог</w:t>
            </w:r>
          </w:p>
        </w:tc>
      </w:tr>
    </w:tbl>
    <w:p w:rsidR="000E7AD7" w:rsidRPr="00EF2D2B" w:rsidRDefault="000E7AD7" w:rsidP="000E7AD7">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0E7AD7" w:rsidRPr="00EF2D2B" w:rsidTr="00A71B0E">
        <w:tc>
          <w:tcPr>
            <w:tcW w:w="3723" w:type="dxa"/>
          </w:tcPr>
          <w:p w:rsidR="000E7AD7" w:rsidRPr="00EF2D2B" w:rsidRDefault="000E7AD7"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0E7AD7" w:rsidRPr="00EF2D2B" w:rsidRDefault="000E7AD7" w:rsidP="00A71B0E">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0E7AD7" w:rsidRPr="00EF2D2B" w:rsidTr="00A71B0E">
        <w:tc>
          <w:tcPr>
            <w:tcW w:w="3723"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Data sampling &amp; phasor estimate</w:t>
            </w:r>
          </w:p>
        </w:tc>
        <w:tc>
          <w:tcPr>
            <w:tcW w:w="5621"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PMU samples current and voltage and estimates synchrophasor and frequency values</w:t>
            </w:r>
          </w:p>
        </w:tc>
      </w:tr>
      <w:tr w:rsidR="000E7AD7" w:rsidRPr="00731F96" w:rsidTr="00A71B0E">
        <w:tc>
          <w:tcPr>
            <w:tcW w:w="3723"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Data sending</w:t>
            </w:r>
          </w:p>
        </w:tc>
        <w:tc>
          <w:tcPr>
            <w:tcW w:w="5621"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PMU sends synchrophasor &amp; frequency values in continuous data stream or event reporting methods</w:t>
            </w:r>
          </w:p>
        </w:tc>
      </w:tr>
      <w:tr w:rsidR="000E7AD7" w:rsidRPr="00731F96" w:rsidTr="00A71B0E">
        <w:tc>
          <w:tcPr>
            <w:tcW w:w="3723"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Data receiving/sending</w:t>
            </w:r>
          </w:p>
        </w:tc>
        <w:tc>
          <w:tcPr>
            <w:tcW w:w="5621"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If there is an ssPDC, the data is received in the substation, combined with data from other PMUs, and forwarded to the destination PDC</w:t>
            </w:r>
          </w:p>
        </w:tc>
      </w:tr>
      <w:tr w:rsidR="000E7AD7" w:rsidRPr="00731F96" w:rsidTr="00A71B0E">
        <w:tc>
          <w:tcPr>
            <w:tcW w:w="3723"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Data receiving</w:t>
            </w:r>
          </w:p>
        </w:tc>
        <w:tc>
          <w:tcPr>
            <w:tcW w:w="5621"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PDC receives data from PMU or ssPDC, combines with data from other measuring units, and sends on to a controller</w:t>
            </w:r>
          </w:p>
        </w:tc>
      </w:tr>
      <w:tr w:rsidR="000E7AD7" w:rsidRPr="00731F96" w:rsidTr="00A71B0E">
        <w:tc>
          <w:tcPr>
            <w:tcW w:w="3723"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Power system controls</w:t>
            </w:r>
          </w:p>
        </w:tc>
        <w:tc>
          <w:tcPr>
            <w:tcW w:w="5621" w:type="dxa"/>
          </w:tcPr>
          <w:p w:rsidR="000E7AD7" w:rsidRPr="000E7AD7" w:rsidRDefault="000E7AD7" w:rsidP="000E7AD7">
            <w:pPr>
              <w:tabs>
                <w:tab w:val="left" w:pos="0"/>
              </w:tabs>
              <w:ind w:left="0" w:firstLine="0"/>
              <w:rPr>
                <w:rFonts w:eastAsia="Calibri"/>
                <w:bCs/>
                <w:sz w:val="20"/>
                <w:szCs w:val="20"/>
              </w:rPr>
            </w:pPr>
            <w:r w:rsidRPr="000E7AD7">
              <w:rPr>
                <w:rFonts w:eastAsia="Calibri"/>
                <w:bCs/>
                <w:sz w:val="20"/>
                <w:szCs w:val="20"/>
              </w:rPr>
              <w:t>Controllers receive data and determine actions based on data and control algorithms</w:t>
            </w:r>
          </w:p>
        </w:tc>
      </w:tr>
    </w:tbl>
    <w:p w:rsidR="000E7AD7" w:rsidRPr="00EF2D2B" w:rsidRDefault="000E7AD7" w:rsidP="000E7AD7">
      <w:pPr>
        <w:tabs>
          <w:tab w:val="left" w:pos="0"/>
        </w:tabs>
        <w:spacing w:before="93"/>
        <w:rPr>
          <w:b/>
        </w:rPr>
      </w:pPr>
    </w:p>
    <w:p w:rsidR="000E7AD7" w:rsidRPr="00731F96" w:rsidRDefault="000E7AD7" w:rsidP="000E7AD7">
      <w:pPr>
        <w:tabs>
          <w:tab w:val="left" w:pos="0"/>
        </w:tabs>
        <w:spacing w:before="93"/>
        <w:ind w:left="0" w:firstLine="0"/>
        <w:rPr>
          <w:b/>
        </w:rPr>
      </w:pPr>
      <w:r w:rsidRPr="00731F96">
        <w:rPr>
          <w:b/>
        </w:rPr>
        <w:t>Үндсэн</w:t>
      </w:r>
      <w:r>
        <w:rPr>
          <w:b/>
        </w:rPr>
        <w:t xml:space="preserve"> урсгал:</w:t>
      </w:r>
    </w:p>
    <w:p w:rsidR="000E7AD7" w:rsidRPr="00453EF5" w:rsidRDefault="000E7AD7" w:rsidP="000E7AD7">
      <w:pPr>
        <w:tabs>
          <w:tab w:val="left" w:pos="0"/>
        </w:tabs>
        <w:spacing w:before="93"/>
        <w:ind w:left="0" w:firstLine="0"/>
      </w:pPr>
      <w:r w:rsidRPr="00453EF5">
        <w:t>Өгөгдөл үүсгэх ба илгээх</w:t>
      </w:r>
    </w:p>
    <w:tbl>
      <w:tblPr>
        <w:tblStyle w:val="TableGrid"/>
        <w:tblW w:w="0" w:type="auto"/>
        <w:tblLook w:val="04A0" w:firstRow="1" w:lastRow="0" w:firstColumn="1" w:lastColumn="0" w:noHBand="0" w:noVBand="1"/>
      </w:tblPr>
      <w:tblGrid>
        <w:gridCol w:w="1696"/>
        <w:gridCol w:w="7648"/>
      </w:tblGrid>
      <w:tr w:rsidR="000E7AD7" w:rsidRPr="00EF2D2B" w:rsidTr="00A71B0E">
        <w:tc>
          <w:tcPr>
            <w:tcW w:w="1696" w:type="dxa"/>
          </w:tcPr>
          <w:p w:rsidR="000E7AD7" w:rsidRPr="00EF2D2B" w:rsidRDefault="000E7AD7" w:rsidP="00A71B0E">
            <w:pPr>
              <w:pStyle w:val="TableParagraph"/>
              <w:tabs>
                <w:tab w:val="left" w:pos="0"/>
              </w:tabs>
              <w:spacing w:line="276" w:lineRule="auto"/>
              <w:ind w:left="309"/>
              <w:rPr>
                <w:b/>
                <w:sz w:val="20"/>
                <w:szCs w:val="20"/>
                <w:lang w:val="mn-MN"/>
              </w:rPr>
            </w:pPr>
            <w:r>
              <w:rPr>
                <w:b/>
                <w:sz w:val="20"/>
                <w:szCs w:val="20"/>
                <w:lang w:val="mn-MN"/>
              </w:rPr>
              <w:lastRenderedPageBreak/>
              <w:t>Алхмууд</w:t>
            </w:r>
          </w:p>
        </w:tc>
        <w:tc>
          <w:tcPr>
            <w:tcW w:w="7648" w:type="dxa"/>
          </w:tcPr>
          <w:p w:rsidR="000E7AD7" w:rsidRPr="00731F96" w:rsidRDefault="000E7AD7" w:rsidP="00A71B0E">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0E7AD7" w:rsidRPr="00731F96" w:rsidTr="00A71B0E">
        <w:tc>
          <w:tcPr>
            <w:tcW w:w="1696"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1</w:t>
            </w:r>
          </w:p>
        </w:tc>
        <w:tc>
          <w:tcPr>
            <w:tcW w:w="7648"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PMU нь V ба I –ээс синхрофазор ба системийн давтамжийг тооцоолдог</w:t>
            </w:r>
          </w:p>
        </w:tc>
      </w:tr>
      <w:tr w:rsidR="000E7AD7" w:rsidRPr="00731F96" w:rsidTr="00A71B0E">
        <w:tc>
          <w:tcPr>
            <w:tcW w:w="1696"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2</w:t>
            </w:r>
          </w:p>
        </w:tc>
        <w:tc>
          <w:tcPr>
            <w:tcW w:w="7648"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PMU нь өгөгдсөн гаралтын хурдаар фазууд болон давтамжийг сонгоно</w:t>
            </w:r>
          </w:p>
        </w:tc>
      </w:tr>
      <w:tr w:rsidR="000E7AD7" w:rsidRPr="00731F96" w:rsidTr="00A71B0E">
        <w:tc>
          <w:tcPr>
            <w:tcW w:w="1696"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3</w:t>
            </w:r>
          </w:p>
        </w:tc>
        <w:tc>
          <w:tcPr>
            <w:tcW w:w="7648"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PMU нь тохирох төлөв, цаг хугацааны тэмдэг бүхий өгөгдлийг багцалдаг</w:t>
            </w:r>
          </w:p>
        </w:tc>
      </w:tr>
      <w:tr w:rsidR="000E7AD7" w:rsidRPr="00731F96" w:rsidTr="00A71B0E">
        <w:tc>
          <w:tcPr>
            <w:tcW w:w="1696" w:type="dxa"/>
          </w:tcPr>
          <w:p w:rsidR="000E7AD7" w:rsidRPr="00EF2D2B" w:rsidRDefault="000E7AD7" w:rsidP="000E7AD7">
            <w:pPr>
              <w:pStyle w:val="TableParagraph"/>
              <w:tabs>
                <w:tab w:val="left" w:pos="0"/>
              </w:tabs>
              <w:spacing w:before="58" w:line="276" w:lineRule="auto"/>
              <w:rPr>
                <w:sz w:val="20"/>
                <w:szCs w:val="20"/>
                <w:lang w:val="mn-MN"/>
              </w:rPr>
            </w:pPr>
            <w:r w:rsidRPr="00EF2D2B">
              <w:rPr>
                <w:sz w:val="20"/>
                <w:szCs w:val="20"/>
                <w:lang w:val="mn-MN"/>
              </w:rPr>
              <w:t>Алхам 4</w:t>
            </w:r>
          </w:p>
        </w:tc>
        <w:tc>
          <w:tcPr>
            <w:tcW w:w="7648"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PMU нь өгөгдлийг ssPDC, PDC эсвэл удирдлага руу илгээдэг</w:t>
            </w:r>
          </w:p>
        </w:tc>
      </w:tr>
    </w:tbl>
    <w:p w:rsidR="000E7AD7" w:rsidRPr="00731F96" w:rsidRDefault="000E7AD7" w:rsidP="000E7AD7">
      <w:pPr>
        <w:tabs>
          <w:tab w:val="left" w:pos="0"/>
        </w:tabs>
        <w:spacing w:before="93"/>
        <w:ind w:left="0" w:firstLine="0"/>
        <w:rPr>
          <w:b/>
        </w:rPr>
      </w:pPr>
      <w:r>
        <w:rPr>
          <w:b/>
        </w:rPr>
        <w:t>Basic flow:</w:t>
      </w:r>
    </w:p>
    <w:p w:rsidR="000E7AD7" w:rsidRPr="00453EF5" w:rsidRDefault="000E7AD7" w:rsidP="000E7AD7">
      <w:pPr>
        <w:tabs>
          <w:tab w:val="left" w:pos="0"/>
        </w:tabs>
        <w:spacing w:before="93"/>
        <w:ind w:left="0" w:firstLine="0"/>
      </w:pPr>
      <w:r w:rsidRPr="00453EF5">
        <w:t>Data origination &amp; sending</w:t>
      </w:r>
    </w:p>
    <w:tbl>
      <w:tblPr>
        <w:tblStyle w:val="TableGrid"/>
        <w:tblW w:w="0" w:type="auto"/>
        <w:tblLook w:val="04A0" w:firstRow="1" w:lastRow="0" w:firstColumn="1" w:lastColumn="0" w:noHBand="0" w:noVBand="1"/>
      </w:tblPr>
      <w:tblGrid>
        <w:gridCol w:w="1980"/>
        <w:gridCol w:w="7364"/>
      </w:tblGrid>
      <w:tr w:rsidR="000E7AD7" w:rsidRPr="00731F96" w:rsidTr="00A71B0E">
        <w:tc>
          <w:tcPr>
            <w:tcW w:w="1980" w:type="dxa"/>
          </w:tcPr>
          <w:p w:rsidR="000E7AD7" w:rsidRPr="00EF2D2B" w:rsidRDefault="000E7AD7"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0E7AD7" w:rsidRPr="00EF2D2B" w:rsidRDefault="000E7AD7" w:rsidP="00A71B0E">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0E7AD7" w:rsidRPr="00731F96" w:rsidTr="00A71B0E">
        <w:tc>
          <w:tcPr>
            <w:tcW w:w="19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1</w:t>
            </w:r>
          </w:p>
        </w:tc>
        <w:tc>
          <w:tcPr>
            <w:tcW w:w="73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PMU computes V &amp; I synchrophasors &amp; system frequency</w:t>
            </w:r>
          </w:p>
        </w:tc>
      </w:tr>
      <w:tr w:rsidR="000E7AD7" w:rsidRPr="00731F96" w:rsidTr="00A71B0E">
        <w:tc>
          <w:tcPr>
            <w:tcW w:w="1980" w:type="dxa"/>
          </w:tcPr>
          <w:p w:rsidR="000E7AD7" w:rsidRPr="00EF2D2B" w:rsidRDefault="000E7AD7" w:rsidP="000E7AD7">
            <w:pPr>
              <w:pStyle w:val="TableParagraph"/>
              <w:tabs>
                <w:tab w:val="left" w:pos="0"/>
              </w:tabs>
              <w:spacing w:before="58" w:line="276" w:lineRule="auto"/>
              <w:rPr>
                <w:sz w:val="20"/>
                <w:szCs w:val="20"/>
                <w:lang w:val="mn-MN"/>
              </w:rPr>
            </w:pPr>
            <w:r w:rsidRPr="00EF2D2B">
              <w:rPr>
                <w:sz w:val="20"/>
                <w:szCs w:val="20"/>
                <w:lang w:val="mn-MN"/>
              </w:rPr>
              <w:t>Step 2</w:t>
            </w:r>
          </w:p>
        </w:tc>
        <w:tc>
          <w:tcPr>
            <w:tcW w:w="7364" w:type="dxa"/>
          </w:tcPr>
          <w:p w:rsidR="000E7AD7" w:rsidRPr="00731F96" w:rsidRDefault="000E7AD7" w:rsidP="000E7AD7">
            <w:pPr>
              <w:pStyle w:val="TableParagraph"/>
              <w:tabs>
                <w:tab w:val="left" w:pos="0"/>
              </w:tabs>
              <w:spacing w:before="58" w:line="276" w:lineRule="auto"/>
              <w:rPr>
                <w:sz w:val="20"/>
                <w:szCs w:val="20"/>
                <w:lang w:val="mn-MN"/>
              </w:rPr>
            </w:pPr>
            <w:r w:rsidRPr="00731F96">
              <w:rPr>
                <w:sz w:val="20"/>
                <w:szCs w:val="20"/>
                <w:lang w:val="mn-MN"/>
              </w:rPr>
              <w:t>PMU selects phasors and frequency at given output rate</w:t>
            </w:r>
          </w:p>
        </w:tc>
      </w:tr>
      <w:tr w:rsidR="000E7AD7" w:rsidRPr="00731F96" w:rsidTr="00A71B0E">
        <w:tc>
          <w:tcPr>
            <w:tcW w:w="19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3</w:t>
            </w:r>
          </w:p>
        </w:tc>
        <w:tc>
          <w:tcPr>
            <w:tcW w:w="73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PMU packages data with appropriate status and time stamp</w:t>
            </w:r>
          </w:p>
        </w:tc>
      </w:tr>
      <w:tr w:rsidR="000E7AD7" w:rsidRPr="00731F96" w:rsidTr="00A71B0E">
        <w:tc>
          <w:tcPr>
            <w:tcW w:w="19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4</w:t>
            </w:r>
          </w:p>
        </w:tc>
        <w:tc>
          <w:tcPr>
            <w:tcW w:w="73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PMU sends data to the ssPDC or PDC or controller</w:t>
            </w:r>
          </w:p>
        </w:tc>
      </w:tr>
    </w:tbl>
    <w:p w:rsidR="000E7AD7" w:rsidRDefault="000E7AD7" w:rsidP="000E7AD7">
      <w:pPr>
        <w:spacing w:after="0" w:line="240" w:lineRule="auto"/>
        <w:ind w:left="0" w:firstLine="0"/>
        <w:rPr>
          <w:b/>
          <w:bCs/>
          <w:color w:val="000000"/>
          <w:shd w:val="clear" w:color="auto" w:fill="FFFFFF"/>
          <w:lang w:val="en-US"/>
        </w:rPr>
      </w:pPr>
    </w:p>
    <w:p w:rsidR="000E7AD7" w:rsidRPr="00EF2D2B" w:rsidRDefault="000E7AD7" w:rsidP="000E7AD7">
      <w:pPr>
        <w:widowControl w:val="0"/>
        <w:tabs>
          <w:tab w:val="left" w:pos="0"/>
          <w:tab w:val="left" w:pos="1524"/>
          <w:tab w:val="right" w:leader="dot" w:pos="9618"/>
        </w:tabs>
        <w:autoSpaceDE w:val="0"/>
        <w:autoSpaceDN w:val="0"/>
        <w:spacing w:before="60" w:after="0"/>
        <w:ind w:left="0" w:firstLine="0"/>
      </w:pPr>
      <w:r w:rsidRPr="00EF2D2B">
        <w:t>Завсрын өгөгдөл хүлээн авах (сэлгэх арга)</w:t>
      </w:r>
    </w:p>
    <w:tbl>
      <w:tblPr>
        <w:tblStyle w:val="TableGrid"/>
        <w:tblW w:w="0" w:type="auto"/>
        <w:tblLook w:val="04A0" w:firstRow="1" w:lastRow="0" w:firstColumn="1" w:lastColumn="0" w:noHBand="0" w:noVBand="1"/>
      </w:tblPr>
      <w:tblGrid>
        <w:gridCol w:w="1880"/>
        <w:gridCol w:w="7464"/>
      </w:tblGrid>
      <w:tr w:rsidR="000E7AD7" w:rsidRPr="00EF2D2B" w:rsidTr="00A71B0E">
        <w:tc>
          <w:tcPr>
            <w:tcW w:w="1880" w:type="dxa"/>
          </w:tcPr>
          <w:p w:rsidR="000E7AD7" w:rsidRPr="00EF2D2B" w:rsidRDefault="000E7AD7"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0E7AD7" w:rsidRPr="00731F96" w:rsidRDefault="000E7AD7"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PDC нь синхрофазор өгөгдлийг хүлээн авах</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PDC нь гаралтын өгөгдлийг харьцуулах ба сонгох</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ssPDC нь гаралтын өгөгдлийг PDC эсвэл удирдлага руу илгээх</w:t>
            </w:r>
          </w:p>
        </w:tc>
      </w:tr>
    </w:tbl>
    <w:p w:rsidR="000E7AD7" w:rsidRPr="00EF2D2B" w:rsidRDefault="000E7AD7" w:rsidP="000E7AD7">
      <w:pPr>
        <w:widowControl w:val="0"/>
        <w:tabs>
          <w:tab w:val="left" w:pos="0"/>
          <w:tab w:val="left" w:pos="1524"/>
          <w:tab w:val="right" w:leader="dot" w:pos="9618"/>
        </w:tabs>
        <w:autoSpaceDE w:val="0"/>
        <w:autoSpaceDN w:val="0"/>
        <w:spacing w:before="60" w:after="0"/>
        <w:ind w:left="0" w:firstLine="0"/>
      </w:pPr>
      <w:r w:rsidRPr="00EF2D2B">
        <w:t>Data receiving intermediate (alternate path)</w:t>
      </w:r>
    </w:p>
    <w:tbl>
      <w:tblPr>
        <w:tblStyle w:val="TableGrid"/>
        <w:tblW w:w="0" w:type="auto"/>
        <w:tblLook w:val="04A0" w:firstRow="1" w:lastRow="0" w:firstColumn="1" w:lastColumn="0" w:noHBand="0" w:noVBand="1"/>
      </w:tblPr>
      <w:tblGrid>
        <w:gridCol w:w="1880"/>
        <w:gridCol w:w="7464"/>
      </w:tblGrid>
      <w:tr w:rsidR="000E7AD7" w:rsidRPr="00731F96" w:rsidTr="00A71B0E">
        <w:tc>
          <w:tcPr>
            <w:tcW w:w="1880" w:type="dxa"/>
          </w:tcPr>
          <w:p w:rsidR="000E7AD7" w:rsidRPr="00EF2D2B" w:rsidRDefault="000E7AD7"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0E7AD7" w:rsidRPr="00EF2D2B" w:rsidRDefault="000E7AD7"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ssPDC receives synchrophasor data</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ssPDC correlates and selects output data</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0E7AD7" w:rsidRPr="00731F96" w:rsidRDefault="000E7AD7" w:rsidP="000E7AD7">
            <w:pPr>
              <w:pStyle w:val="TableParagraph"/>
              <w:tabs>
                <w:tab w:val="left" w:pos="0"/>
              </w:tabs>
              <w:spacing w:before="58" w:line="276" w:lineRule="auto"/>
              <w:rPr>
                <w:sz w:val="20"/>
                <w:szCs w:val="20"/>
                <w:lang w:val="mn-MN"/>
              </w:rPr>
            </w:pPr>
            <w:r w:rsidRPr="00731F96">
              <w:rPr>
                <w:sz w:val="20"/>
                <w:szCs w:val="20"/>
                <w:lang w:val="mn-MN"/>
              </w:rPr>
              <w:t>ssPDC resends output data to PDC or controller</w:t>
            </w:r>
          </w:p>
        </w:tc>
      </w:tr>
    </w:tbl>
    <w:p w:rsidR="000E7AD7" w:rsidRDefault="000E7AD7" w:rsidP="000E7AD7">
      <w:pPr>
        <w:ind w:left="0" w:firstLine="0"/>
        <w:rPr>
          <w:b/>
          <w:lang w:val="en-US"/>
        </w:rPr>
      </w:pPr>
    </w:p>
    <w:p w:rsidR="000E7AD7" w:rsidRPr="00EF2D2B" w:rsidRDefault="000E7AD7" w:rsidP="000E7AD7">
      <w:pPr>
        <w:widowControl w:val="0"/>
        <w:tabs>
          <w:tab w:val="left" w:pos="0"/>
          <w:tab w:val="left" w:pos="1524"/>
          <w:tab w:val="right" w:leader="dot" w:pos="9618"/>
        </w:tabs>
        <w:autoSpaceDE w:val="0"/>
        <w:autoSpaceDN w:val="0"/>
        <w:spacing w:before="60" w:after="0"/>
        <w:ind w:left="0" w:firstLine="0"/>
      </w:pPr>
      <w:r w:rsidRPr="00EF2D2B">
        <w:t>Өгөгдөл хүлээн авах</w:t>
      </w:r>
    </w:p>
    <w:tbl>
      <w:tblPr>
        <w:tblStyle w:val="TableGrid"/>
        <w:tblW w:w="0" w:type="auto"/>
        <w:tblLook w:val="04A0" w:firstRow="1" w:lastRow="0" w:firstColumn="1" w:lastColumn="0" w:noHBand="0" w:noVBand="1"/>
      </w:tblPr>
      <w:tblGrid>
        <w:gridCol w:w="1880"/>
        <w:gridCol w:w="7464"/>
      </w:tblGrid>
      <w:tr w:rsidR="000E7AD7" w:rsidRPr="00EF2D2B" w:rsidTr="00A71B0E">
        <w:tc>
          <w:tcPr>
            <w:tcW w:w="1880" w:type="dxa"/>
          </w:tcPr>
          <w:p w:rsidR="000E7AD7" w:rsidRPr="00EF2D2B" w:rsidRDefault="000E7AD7"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0E7AD7" w:rsidRPr="00731F96" w:rsidRDefault="000E7AD7"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PDC нь синхрофазор өгөгдлийг хүлээн авах</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PDC нь гаралтын өгөгдлийг харьцуулах ба сонгох</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ssPDC нь гаралтын өгөгдлийг удирдлага руу илгээх</w:t>
            </w:r>
          </w:p>
        </w:tc>
      </w:tr>
    </w:tbl>
    <w:p w:rsidR="000E7AD7" w:rsidRPr="00EF2D2B" w:rsidRDefault="000E7AD7" w:rsidP="000E7AD7">
      <w:pPr>
        <w:widowControl w:val="0"/>
        <w:tabs>
          <w:tab w:val="left" w:pos="0"/>
          <w:tab w:val="left" w:pos="1524"/>
          <w:tab w:val="right" w:leader="dot" w:pos="9618"/>
        </w:tabs>
        <w:autoSpaceDE w:val="0"/>
        <w:autoSpaceDN w:val="0"/>
        <w:spacing w:before="60" w:after="0"/>
        <w:ind w:left="0" w:firstLine="0"/>
      </w:pPr>
      <w:r w:rsidRPr="00EF2D2B">
        <w:t>Data receiving</w:t>
      </w:r>
    </w:p>
    <w:tbl>
      <w:tblPr>
        <w:tblStyle w:val="TableGrid"/>
        <w:tblW w:w="0" w:type="auto"/>
        <w:tblLook w:val="04A0" w:firstRow="1" w:lastRow="0" w:firstColumn="1" w:lastColumn="0" w:noHBand="0" w:noVBand="1"/>
      </w:tblPr>
      <w:tblGrid>
        <w:gridCol w:w="1880"/>
        <w:gridCol w:w="7464"/>
      </w:tblGrid>
      <w:tr w:rsidR="000E7AD7" w:rsidRPr="00731F96" w:rsidTr="00A71B0E">
        <w:tc>
          <w:tcPr>
            <w:tcW w:w="1880" w:type="dxa"/>
          </w:tcPr>
          <w:p w:rsidR="000E7AD7" w:rsidRPr="00EF2D2B" w:rsidRDefault="000E7AD7"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0E7AD7" w:rsidRPr="00EF2D2B" w:rsidRDefault="000E7AD7"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0E7AD7" w:rsidRPr="00731F96" w:rsidTr="00A71B0E">
        <w:tc>
          <w:tcPr>
            <w:tcW w:w="1880" w:type="dxa"/>
          </w:tcPr>
          <w:p w:rsidR="000E7AD7" w:rsidRPr="00EF2D2B" w:rsidRDefault="000E7AD7" w:rsidP="000E7AD7">
            <w:pPr>
              <w:pStyle w:val="TableParagraph"/>
              <w:tabs>
                <w:tab w:val="left" w:pos="0"/>
              </w:tabs>
              <w:spacing w:before="58" w:line="276" w:lineRule="auto"/>
              <w:rPr>
                <w:sz w:val="20"/>
                <w:szCs w:val="20"/>
                <w:lang w:val="mn-MN"/>
              </w:rPr>
            </w:pPr>
            <w:r w:rsidRPr="00EF2D2B">
              <w:rPr>
                <w:sz w:val="20"/>
                <w:szCs w:val="20"/>
                <w:lang w:val="mn-MN"/>
              </w:rPr>
              <w:t>Step 1</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PDC receives synchrophasor data</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PDC correlates and selects output data</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PDC resends output data to controller</w:t>
            </w:r>
          </w:p>
        </w:tc>
      </w:tr>
    </w:tbl>
    <w:p w:rsidR="000E7AD7" w:rsidRDefault="000E7AD7" w:rsidP="000E7AD7">
      <w:pPr>
        <w:ind w:left="0" w:firstLine="0"/>
        <w:rPr>
          <w:b/>
          <w:lang w:val="en-US"/>
        </w:rPr>
      </w:pPr>
    </w:p>
    <w:p w:rsidR="000E7AD7" w:rsidRPr="000E7AD7" w:rsidRDefault="000E7AD7" w:rsidP="000E7AD7">
      <w:pPr>
        <w:widowControl w:val="0"/>
        <w:tabs>
          <w:tab w:val="left" w:pos="0"/>
          <w:tab w:val="left" w:pos="1524"/>
          <w:tab w:val="right" w:leader="dot" w:pos="9618"/>
        </w:tabs>
        <w:autoSpaceDE w:val="0"/>
        <w:autoSpaceDN w:val="0"/>
        <w:spacing w:before="60" w:after="0"/>
        <w:ind w:left="0" w:firstLine="0"/>
      </w:pPr>
      <w:r w:rsidRPr="000E7AD7">
        <w:t>Удирдлагын үйл ажиллагаа</w:t>
      </w:r>
    </w:p>
    <w:tbl>
      <w:tblPr>
        <w:tblStyle w:val="TableGrid"/>
        <w:tblW w:w="0" w:type="auto"/>
        <w:tblLook w:val="04A0" w:firstRow="1" w:lastRow="0" w:firstColumn="1" w:lastColumn="0" w:noHBand="0" w:noVBand="1"/>
      </w:tblPr>
      <w:tblGrid>
        <w:gridCol w:w="1880"/>
        <w:gridCol w:w="7464"/>
      </w:tblGrid>
      <w:tr w:rsidR="000E7AD7" w:rsidRPr="00EF2D2B" w:rsidTr="00A71B0E">
        <w:tc>
          <w:tcPr>
            <w:tcW w:w="1880" w:type="dxa"/>
          </w:tcPr>
          <w:p w:rsidR="000E7AD7" w:rsidRPr="00EF2D2B" w:rsidRDefault="000E7AD7"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0E7AD7" w:rsidRPr="00731F96" w:rsidRDefault="000E7AD7"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Удирдлага нь өгөгдлийг хүлээн авч баталгаажуулдаг</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0E7AD7" w:rsidRPr="00EF2D2B" w:rsidRDefault="000E7AD7" w:rsidP="000E7AD7">
            <w:pPr>
              <w:pStyle w:val="TableParagraph"/>
              <w:tabs>
                <w:tab w:val="left" w:pos="0"/>
              </w:tabs>
              <w:spacing w:line="276" w:lineRule="auto"/>
              <w:ind w:right="315"/>
              <w:rPr>
                <w:sz w:val="20"/>
                <w:szCs w:val="20"/>
                <w:lang w:val="mn-MN"/>
              </w:rPr>
            </w:pPr>
            <w:r w:rsidRPr="00731F96">
              <w:rPr>
                <w:sz w:val="20"/>
                <w:szCs w:val="20"/>
                <w:lang w:val="mn-MN"/>
              </w:rPr>
              <w:t>Упирдлага нь удирдлагын алгоритм хайх эсвэл удирдлагын функци</w:t>
            </w:r>
            <w:r w:rsidRPr="00EF2D2B">
              <w:rPr>
                <w:sz w:val="20"/>
                <w:szCs w:val="20"/>
                <w:lang w:val="mn-MN"/>
              </w:rPr>
              <w:t>йндагуу гүйцэтгэдэг</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0E7AD7">
              <w:rPr>
                <w:sz w:val="20"/>
                <w:szCs w:val="20"/>
                <w:lang w:val="mn-MN"/>
              </w:rPr>
              <w:t>Алхам 3</w:t>
            </w:r>
          </w:p>
        </w:tc>
        <w:tc>
          <w:tcPr>
            <w:tcW w:w="7464" w:type="dxa"/>
          </w:tcPr>
          <w:p w:rsidR="000E7AD7" w:rsidRPr="00731F96" w:rsidRDefault="000E7AD7" w:rsidP="000E7AD7">
            <w:pPr>
              <w:pStyle w:val="TableParagraph"/>
              <w:tabs>
                <w:tab w:val="left" w:pos="0"/>
              </w:tabs>
              <w:spacing w:line="276" w:lineRule="auto"/>
              <w:ind w:right="385"/>
              <w:rPr>
                <w:sz w:val="20"/>
                <w:szCs w:val="20"/>
                <w:lang w:val="mn-MN"/>
              </w:rPr>
            </w:pPr>
            <w:r w:rsidRPr="00731F96">
              <w:rPr>
                <w:spacing w:val="4"/>
                <w:sz w:val="20"/>
                <w:szCs w:val="20"/>
                <w:lang w:val="mn-MN"/>
              </w:rPr>
              <w:t>Удирдлагын функцийг шаардлагатай тохиололд удирдлага нь удирдлагын командыг заасан удирдлагынтөхөөрөмж рүү илгээдэг</w:t>
            </w:r>
          </w:p>
        </w:tc>
      </w:tr>
    </w:tbl>
    <w:p w:rsidR="000E7AD7" w:rsidRPr="000E7AD7" w:rsidRDefault="000E7AD7" w:rsidP="000E7AD7">
      <w:pPr>
        <w:widowControl w:val="0"/>
        <w:tabs>
          <w:tab w:val="left" w:pos="0"/>
          <w:tab w:val="left" w:pos="1524"/>
          <w:tab w:val="right" w:leader="dot" w:pos="9618"/>
        </w:tabs>
        <w:autoSpaceDE w:val="0"/>
        <w:autoSpaceDN w:val="0"/>
        <w:spacing w:before="60" w:after="0"/>
        <w:ind w:left="0" w:firstLine="0"/>
      </w:pPr>
      <w:r w:rsidRPr="000E7AD7">
        <w:lastRenderedPageBreak/>
        <w:t>Controller actions</w:t>
      </w:r>
    </w:p>
    <w:tbl>
      <w:tblPr>
        <w:tblStyle w:val="TableGrid"/>
        <w:tblW w:w="0" w:type="auto"/>
        <w:tblLook w:val="04A0" w:firstRow="1" w:lastRow="0" w:firstColumn="1" w:lastColumn="0" w:noHBand="0" w:noVBand="1"/>
      </w:tblPr>
      <w:tblGrid>
        <w:gridCol w:w="1880"/>
        <w:gridCol w:w="7464"/>
      </w:tblGrid>
      <w:tr w:rsidR="000E7AD7" w:rsidRPr="00731F96" w:rsidTr="00A71B0E">
        <w:tc>
          <w:tcPr>
            <w:tcW w:w="1880" w:type="dxa"/>
          </w:tcPr>
          <w:p w:rsidR="000E7AD7" w:rsidRPr="00EF2D2B" w:rsidRDefault="000E7AD7"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0E7AD7" w:rsidRPr="00EF2D2B" w:rsidRDefault="000E7AD7"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0E7AD7" w:rsidRPr="00731F96" w:rsidRDefault="000E7AD7" w:rsidP="000E7AD7">
            <w:pPr>
              <w:pStyle w:val="TableParagraph"/>
              <w:tabs>
                <w:tab w:val="left" w:pos="0"/>
              </w:tabs>
              <w:spacing w:line="276" w:lineRule="auto"/>
              <w:rPr>
                <w:sz w:val="20"/>
                <w:szCs w:val="20"/>
                <w:lang w:val="mn-MN"/>
              </w:rPr>
            </w:pPr>
            <w:r w:rsidRPr="00731F96">
              <w:rPr>
                <w:sz w:val="20"/>
                <w:szCs w:val="20"/>
                <w:lang w:val="mn-MN"/>
              </w:rPr>
              <w:t>Controller receives and validates the data</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0E7AD7" w:rsidRPr="00731F96" w:rsidRDefault="000E7AD7" w:rsidP="000E7AD7">
            <w:pPr>
              <w:pStyle w:val="TableParagraph"/>
              <w:tabs>
                <w:tab w:val="left" w:pos="0"/>
              </w:tabs>
              <w:spacing w:line="276" w:lineRule="auto"/>
              <w:ind w:right="315"/>
              <w:rPr>
                <w:sz w:val="20"/>
                <w:szCs w:val="20"/>
                <w:lang w:val="mn-MN"/>
              </w:rPr>
            </w:pPr>
            <w:r w:rsidRPr="00731F96">
              <w:rPr>
                <w:sz w:val="20"/>
                <w:szCs w:val="20"/>
                <w:lang w:val="mn-MN"/>
              </w:rPr>
              <w:t>Controller executes control algorithms searching for conditions that require executing control functions</w:t>
            </w:r>
          </w:p>
        </w:tc>
      </w:tr>
      <w:tr w:rsidR="000E7AD7" w:rsidRPr="00731F96" w:rsidTr="00A71B0E">
        <w:tc>
          <w:tcPr>
            <w:tcW w:w="1880" w:type="dxa"/>
          </w:tcPr>
          <w:p w:rsidR="000E7AD7" w:rsidRPr="00EF2D2B" w:rsidRDefault="000E7AD7" w:rsidP="000E7AD7">
            <w:pPr>
              <w:pStyle w:val="TableParagraph"/>
              <w:tabs>
                <w:tab w:val="left" w:pos="0"/>
              </w:tabs>
              <w:spacing w:line="276" w:lineRule="auto"/>
              <w:rPr>
                <w:sz w:val="20"/>
                <w:szCs w:val="20"/>
                <w:lang w:val="mn-MN"/>
              </w:rPr>
            </w:pPr>
            <w:r w:rsidRPr="000E7AD7">
              <w:rPr>
                <w:sz w:val="20"/>
                <w:szCs w:val="20"/>
                <w:lang w:val="mn-MN"/>
              </w:rPr>
              <w:t>Step 3</w:t>
            </w:r>
          </w:p>
        </w:tc>
        <w:tc>
          <w:tcPr>
            <w:tcW w:w="7464" w:type="dxa"/>
          </w:tcPr>
          <w:p w:rsidR="000E7AD7" w:rsidRPr="00EF2D2B" w:rsidRDefault="000E7AD7" w:rsidP="000E7AD7">
            <w:pPr>
              <w:pStyle w:val="TableParagraph"/>
              <w:tabs>
                <w:tab w:val="left" w:pos="0"/>
              </w:tabs>
              <w:spacing w:line="276" w:lineRule="auto"/>
              <w:ind w:right="385"/>
              <w:rPr>
                <w:sz w:val="20"/>
                <w:szCs w:val="20"/>
                <w:lang w:val="mn-MN"/>
              </w:rPr>
            </w:pPr>
            <w:r w:rsidRPr="00731F96">
              <w:rPr>
                <w:spacing w:val="4"/>
                <w:sz w:val="20"/>
                <w:szCs w:val="20"/>
                <w:lang w:val="mn-MN"/>
              </w:rPr>
              <w:t xml:space="preserve">If </w:t>
            </w:r>
            <w:r w:rsidRPr="00731F96">
              <w:rPr>
                <w:sz w:val="20"/>
                <w:szCs w:val="20"/>
                <w:lang w:val="mn-MN"/>
              </w:rPr>
              <w:t xml:space="preserve">a </w:t>
            </w:r>
            <w:r w:rsidRPr="00731F96">
              <w:rPr>
                <w:spacing w:val="6"/>
                <w:sz w:val="20"/>
                <w:szCs w:val="20"/>
                <w:lang w:val="mn-MN"/>
              </w:rPr>
              <w:t xml:space="preserve">situation </w:t>
            </w:r>
            <w:r w:rsidRPr="00EF2D2B">
              <w:rPr>
                <w:spacing w:val="3"/>
                <w:sz w:val="20"/>
                <w:szCs w:val="20"/>
                <w:lang w:val="mn-MN"/>
              </w:rPr>
              <w:t xml:space="preserve">is </w:t>
            </w:r>
            <w:r w:rsidRPr="00EF2D2B">
              <w:rPr>
                <w:spacing w:val="5"/>
                <w:sz w:val="20"/>
                <w:szCs w:val="20"/>
                <w:lang w:val="mn-MN"/>
              </w:rPr>
              <w:t xml:space="preserve">found that requires </w:t>
            </w:r>
            <w:r w:rsidRPr="00EF2D2B">
              <w:rPr>
                <w:sz w:val="20"/>
                <w:szCs w:val="20"/>
                <w:lang w:val="mn-MN"/>
              </w:rPr>
              <w:t xml:space="preserve">a </w:t>
            </w:r>
            <w:r w:rsidRPr="00EF2D2B">
              <w:rPr>
                <w:spacing w:val="6"/>
                <w:sz w:val="20"/>
                <w:szCs w:val="20"/>
                <w:lang w:val="mn-MN"/>
              </w:rPr>
              <w:t xml:space="preserve">control function, controller </w:t>
            </w:r>
            <w:r w:rsidRPr="00EF2D2B">
              <w:rPr>
                <w:spacing w:val="5"/>
                <w:sz w:val="20"/>
                <w:szCs w:val="20"/>
                <w:lang w:val="mn-MN"/>
              </w:rPr>
              <w:t xml:space="preserve">sends </w:t>
            </w:r>
            <w:r w:rsidRPr="00EF2D2B">
              <w:rPr>
                <w:spacing w:val="6"/>
                <w:sz w:val="20"/>
                <w:szCs w:val="20"/>
                <w:lang w:val="mn-MN"/>
              </w:rPr>
              <w:t xml:space="preserve">control </w:t>
            </w:r>
            <w:r w:rsidRPr="00EF2D2B">
              <w:rPr>
                <w:spacing w:val="7"/>
                <w:sz w:val="20"/>
                <w:szCs w:val="20"/>
                <w:lang w:val="mn-MN"/>
              </w:rPr>
              <w:t xml:space="preserve">command  </w:t>
            </w:r>
            <w:r w:rsidRPr="00EF2D2B">
              <w:rPr>
                <w:spacing w:val="4"/>
                <w:sz w:val="20"/>
                <w:szCs w:val="20"/>
                <w:lang w:val="mn-MN"/>
              </w:rPr>
              <w:t xml:space="preserve">to </w:t>
            </w:r>
            <w:r w:rsidRPr="00EF2D2B">
              <w:rPr>
                <w:spacing w:val="6"/>
                <w:sz w:val="20"/>
                <w:szCs w:val="20"/>
                <w:lang w:val="mn-MN"/>
              </w:rPr>
              <w:t>indicated control</w:t>
            </w:r>
            <w:r w:rsidRPr="00EF2D2B">
              <w:rPr>
                <w:spacing w:val="36"/>
                <w:sz w:val="20"/>
                <w:szCs w:val="20"/>
                <w:lang w:val="mn-MN"/>
              </w:rPr>
              <w:t xml:space="preserve"> </w:t>
            </w:r>
            <w:r w:rsidRPr="00EF2D2B">
              <w:rPr>
                <w:spacing w:val="6"/>
                <w:sz w:val="20"/>
                <w:szCs w:val="20"/>
                <w:lang w:val="mn-MN"/>
              </w:rPr>
              <w:t>equipment</w:t>
            </w:r>
          </w:p>
        </w:tc>
      </w:tr>
    </w:tbl>
    <w:p w:rsidR="000E7AD7" w:rsidRDefault="000E7AD7" w:rsidP="000E7AD7">
      <w:pPr>
        <w:ind w:left="0" w:firstLine="0"/>
        <w:rPr>
          <w:b/>
          <w:lang w:val="en-US"/>
        </w:rPr>
      </w:pPr>
    </w:p>
    <w:tbl>
      <w:tblPr>
        <w:tblStyle w:val="TableGrid"/>
        <w:tblW w:w="0" w:type="auto"/>
        <w:tblLook w:val="04A0" w:firstRow="1" w:lastRow="0" w:firstColumn="1" w:lastColumn="0" w:noHBand="0" w:noVBand="1"/>
      </w:tblPr>
      <w:tblGrid>
        <w:gridCol w:w="4672"/>
        <w:gridCol w:w="4672"/>
      </w:tblGrid>
      <w:tr w:rsidR="000E7AD7" w:rsidTr="000E7AD7">
        <w:tc>
          <w:tcPr>
            <w:tcW w:w="4672" w:type="dxa"/>
          </w:tcPr>
          <w:p w:rsidR="000E7AD7" w:rsidRPr="000E7AD7" w:rsidRDefault="000E7AD7" w:rsidP="000E7AD7">
            <w:pPr>
              <w:tabs>
                <w:tab w:val="left" w:pos="0"/>
              </w:tabs>
              <w:ind w:left="0" w:firstLine="0"/>
              <w:rPr>
                <w:rFonts w:eastAsia="Calibri"/>
                <w:b/>
                <w:bCs/>
                <w:szCs w:val="22"/>
              </w:rPr>
            </w:pPr>
            <w:r w:rsidRPr="000E7AD7">
              <w:rPr>
                <w:rFonts w:eastAsia="Calibri"/>
                <w:b/>
                <w:bCs/>
                <w:szCs w:val="22"/>
              </w:rPr>
              <w:t>Хязгаарын шаардлага:</w:t>
            </w:r>
          </w:p>
          <w:p w:rsidR="000E7AD7" w:rsidRPr="000E7AD7" w:rsidRDefault="000E7AD7" w:rsidP="000E7AD7">
            <w:pPr>
              <w:tabs>
                <w:tab w:val="left" w:pos="0"/>
              </w:tabs>
              <w:ind w:left="0" w:firstLine="0"/>
              <w:rPr>
                <w:rFonts w:eastAsia="Calibri"/>
                <w:bCs/>
                <w:szCs w:val="22"/>
              </w:rPr>
            </w:pPr>
            <w:r w:rsidRPr="000E7AD7">
              <w:rPr>
                <w:rFonts w:eastAsia="Calibri"/>
                <w:bCs/>
                <w:szCs w:val="22"/>
              </w:rPr>
              <w:t>Удирдлагын үйл ажиллагаатодорхой хугацаанд хийгдэх ёстой ба миллисекундын дотор, хэдхэн секундын дотор гүйцэтгэх шаардлагатай болж магадгүй юм.Өгөгдлийн хурд ба хоцролт нь тодорхой удирдлагын үйл ажиллагааны шаардлагыг хангах ёстой. Удирдлагын үйл ажиллагааны хурд нь өгөгдлийг хэр олон удаа илгээх (өгөгдлийн хурд) ба өгөгдлийг илгээсний дараа хүлээн авах хугацаа (хоцролт) -аар хязгаарлагдана.Синхрофазор дээр суурилсан өргөн хүрээнийсистемийг ашиглан олон төрлийн удирдлагынүйл ажиллагааг гүйцэтгэх боломжтой. Зарим удирдлагын ажилллагааныжишээг дараах хүснэгтэд харуулав, гэхдээ энэ нь бүх нөхцлийг хамарч чадахгүй болно. Үүнийг хэмжилтийн дамжуулах хурд, хугацааны хаягийн алдаа, хоцролтын хүрээ, хэмжилтийн хугацааны алдаатай холбоотойгоор илүү өндөр хурдтай аппликейшнуудад удирдамж болгон ашиглах хэрэгтэй</w:t>
            </w:r>
          </w:p>
        </w:tc>
        <w:tc>
          <w:tcPr>
            <w:tcW w:w="4672" w:type="dxa"/>
          </w:tcPr>
          <w:p w:rsidR="000E7AD7" w:rsidRPr="000E7AD7" w:rsidRDefault="000E7AD7" w:rsidP="000E7AD7">
            <w:pPr>
              <w:tabs>
                <w:tab w:val="left" w:pos="0"/>
              </w:tabs>
              <w:ind w:left="0" w:firstLine="0"/>
              <w:rPr>
                <w:rFonts w:eastAsia="Calibri"/>
                <w:b/>
                <w:bCs/>
                <w:szCs w:val="22"/>
              </w:rPr>
            </w:pPr>
            <w:r w:rsidRPr="000E7AD7">
              <w:rPr>
                <w:rFonts w:eastAsia="Calibri"/>
                <w:b/>
                <w:bCs/>
                <w:szCs w:val="22"/>
              </w:rPr>
              <w:t>Constraints:</w:t>
            </w:r>
          </w:p>
          <w:p w:rsidR="000E7AD7" w:rsidRPr="000E7AD7" w:rsidRDefault="000E7AD7" w:rsidP="000E7AD7">
            <w:pPr>
              <w:tabs>
                <w:tab w:val="left" w:pos="0"/>
              </w:tabs>
              <w:ind w:left="0" w:firstLine="0"/>
              <w:rPr>
                <w:rFonts w:eastAsia="Calibri"/>
                <w:bCs/>
                <w:szCs w:val="22"/>
              </w:rPr>
            </w:pPr>
            <w:r w:rsidRPr="000E7AD7">
              <w:rPr>
                <w:rFonts w:eastAsia="Calibri"/>
                <w:bCs/>
                <w:szCs w:val="22"/>
              </w:rPr>
              <w:t>Control actions must take place within a limited time. Some may need to be executed within milliseconds, and some only within seconds. The data rate and latency must support requirements of the particular control action. Control action speed will be limited by how frequently data are sent (data rate) and the time it takes to receive the data after it has been sent (latency). A wide variety of control actions can be implemented using a synchrophasor based wide area system. The following table is only an example for  some control actions  but by no means covers all situations. It should be used as a guideline for the higher-speed applications regarding measurement transmission rate, timetag error, latency range, and measurement timing error.</w:t>
            </w:r>
          </w:p>
        </w:tc>
      </w:tr>
    </w:tbl>
    <w:p w:rsidR="000E7AD7" w:rsidRDefault="000E7AD7" w:rsidP="00440B2A">
      <w:pPr>
        <w:ind w:left="0" w:firstLine="0"/>
        <w:jc w:val="center"/>
        <w:rPr>
          <w:b/>
          <w:lang w:val="en-US"/>
        </w:rPr>
      </w:pPr>
    </w:p>
    <w:p w:rsidR="000E7AD7" w:rsidRDefault="000E7AD7" w:rsidP="00440B2A">
      <w:pPr>
        <w:ind w:left="0" w:firstLine="0"/>
        <w:jc w:val="center"/>
        <w:rPr>
          <w:b/>
          <w:lang w:val="en-US"/>
        </w:rPr>
      </w:pPr>
    </w:p>
    <w:tbl>
      <w:tblPr>
        <w:tblStyle w:val="TableGrid"/>
        <w:tblW w:w="0" w:type="auto"/>
        <w:tblLook w:val="04A0" w:firstRow="1" w:lastRow="0" w:firstColumn="1" w:lastColumn="0" w:noHBand="0" w:noVBand="1"/>
      </w:tblPr>
      <w:tblGrid>
        <w:gridCol w:w="2485"/>
        <w:gridCol w:w="3706"/>
        <w:gridCol w:w="3153"/>
      </w:tblGrid>
      <w:tr w:rsidR="00E2763A" w:rsidTr="00E2763A">
        <w:tc>
          <w:tcPr>
            <w:tcW w:w="2485"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Хамгийн бага хурд</w:t>
            </w:r>
          </w:p>
        </w:tc>
        <w:tc>
          <w:tcPr>
            <w:tcW w:w="3706"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Дамжуулах хугацааны анги</w:t>
            </w:r>
          </w:p>
        </w:tc>
        <w:tc>
          <w:tcPr>
            <w:tcW w:w="3153"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Хугацааны синхрончлолын нарийвчлалын анги</w:t>
            </w:r>
          </w:p>
        </w:tc>
      </w:tr>
      <w:tr w:rsidR="00E2763A" w:rsidTr="00E2763A">
        <w:tc>
          <w:tcPr>
            <w:tcW w:w="2485" w:type="dxa"/>
          </w:tcPr>
          <w:p w:rsidR="00E2763A" w:rsidRPr="00EF2D2B" w:rsidRDefault="00E2763A" w:rsidP="00E2763A">
            <w:pPr>
              <w:pStyle w:val="TableParagraph"/>
              <w:tabs>
                <w:tab w:val="left" w:pos="0"/>
              </w:tabs>
              <w:spacing w:line="276" w:lineRule="auto"/>
              <w:ind w:left="263" w:right="264"/>
              <w:jc w:val="center"/>
              <w:rPr>
                <w:sz w:val="20"/>
                <w:szCs w:val="20"/>
                <w:lang w:val="mn-MN"/>
              </w:rPr>
            </w:pPr>
            <w:r w:rsidRPr="00EF2D2B">
              <w:rPr>
                <w:sz w:val="20"/>
                <w:szCs w:val="20"/>
                <w:lang w:val="mn-MN"/>
              </w:rPr>
              <w:t>10/секунд</w:t>
            </w:r>
          </w:p>
        </w:tc>
        <w:tc>
          <w:tcPr>
            <w:tcW w:w="3706" w:type="dxa"/>
          </w:tcPr>
          <w:p w:rsidR="00E2763A" w:rsidRPr="00731F96" w:rsidRDefault="00E2763A" w:rsidP="00E2763A">
            <w:pPr>
              <w:pStyle w:val="TableParagraph"/>
              <w:tabs>
                <w:tab w:val="left" w:pos="0"/>
              </w:tabs>
              <w:spacing w:line="276" w:lineRule="auto"/>
              <w:ind w:left="1184" w:right="1185"/>
              <w:jc w:val="center"/>
              <w:rPr>
                <w:sz w:val="20"/>
                <w:szCs w:val="20"/>
                <w:lang w:val="mn-MN"/>
              </w:rPr>
            </w:pPr>
            <w:r w:rsidRPr="00731F96">
              <w:rPr>
                <w:sz w:val="20"/>
                <w:szCs w:val="20"/>
                <w:lang w:val="mn-MN"/>
              </w:rPr>
              <w:t>TT2 0,5 s</w:t>
            </w:r>
          </w:p>
        </w:tc>
        <w:tc>
          <w:tcPr>
            <w:tcW w:w="3153" w:type="dxa"/>
          </w:tcPr>
          <w:p w:rsidR="00E2763A" w:rsidRPr="00EF2D2B" w:rsidRDefault="00E2763A" w:rsidP="00E2763A">
            <w:pPr>
              <w:pStyle w:val="TableParagraph"/>
              <w:tabs>
                <w:tab w:val="left" w:pos="0"/>
              </w:tabs>
              <w:spacing w:line="276" w:lineRule="auto"/>
              <w:ind w:left="343" w:right="344"/>
              <w:jc w:val="center"/>
              <w:rPr>
                <w:sz w:val="20"/>
                <w:szCs w:val="20"/>
                <w:lang w:val="mn-MN"/>
              </w:rPr>
            </w:pPr>
            <w:r w:rsidRPr="00EF2D2B">
              <w:rPr>
                <w:sz w:val="20"/>
                <w:szCs w:val="20"/>
                <w:lang w:val="mn-MN"/>
              </w:rPr>
              <w:t>T3 0,025 ms</w:t>
            </w:r>
          </w:p>
        </w:tc>
      </w:tr>
    </w:tbl>
    <w:p w:rsidR="000E7AD7" w:rsidRDefault="000E7AD7" w:rsidP="000E7AD7">
      <w:pPr>
        <w:ind w:left="0" w:firstLine="0"/>
        <w:jc w:val="center"/>
        <w:rPr>
          <w:b/>
          <w:lang w:val="en-US"/>
        </w:rPr>
      </w:pPr>
    </w:p>
    <w:p w:rsidR="000E7AD7" w:rsidRDefault="000E7AD7" w:rsidP="00440B2A">
      <w:pPr>
        <w:ind w:left="0" w:firstLine="0"/>
        <w:jc w:val="center"/>
        <w:rPr>
          <w:b/>
          <w:lang w:val="en-US"/>
        </w:rPr>
      </w:pPr>
    </w:p>
    <w:p w:rsidR="00E2763A" w:rsidRDefault="00E2763A" w:rsidP="00440B2A">
      <w:pPr>
        <w:ind w:left="0" w:firstLine="0"/>
        <w:jc w:val="center"/>
        <w:rPr>
          <w:b/>
          <w:lang w:val="en-US"/>
        </w:rPr>
      </w:pPr>
    </w:p>
    <w:tbl>
      <w:tblPr>
        <w:tblStyle w:val="TableGrid"/>
        <w:tblW w:w="0" w:type="auto"/>
        <w:tblLook w:val="04A0" w:firstRow="1" w:lastRow="0" w:firstColumn="1" w:lastColumn="0" w:noHBand="0" w:noVBand="1"/>
      </w:tblPr>
      <w:tblGrid>
        <w:gridCol w:w="2485"/>
        <w:gridCol w:w="3706"/>
        <w:gridCol w:w="3153"/>
      </w:tblGrid>
      <w:tr w:rsidR="00E2763A" w:rsidRPr="00E2763A" w:rsidTr="00A71B0E">
        <w:tc>
          <w:tcPr>
            <w:tcW w:w="2485"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Minimum rate</w:t>
            </w:r>
          </w:p>
        </w:tc>
        <w:tc>
          <w:tcPr>
            <w:tcW w:w="3706"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Transfer time class</w:t>
            </w:r>
          </w:p>
        </w:tc>
        <w:tc>
          <w:tcPr>
            <w:tcW w:w="3153"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Time synchronization accuracy class</w:t>
            </w:r>
          </w:p>
        </w:tc>
      </w:tr>
      <w:tr w:rsidR="00E2763A" w:rsidRPr="00EF2D2B" w:rsidTr="00A71B0E">
        <w:tc>
          <w:tcPr>
            <w:tcW w:w="2485" w:type="dxa"/>
          </w:tcPr>
          <w:p w:rsidR="00E2763A" w:rsidRPr="00EF2D2B" w:rsidRDefault="00E2763A" w:rsidP="00E2763A">
            <w:pPr>
              <w:pStyle w:val="TableParagraph"/>
              <w:tabs>
                <w:tab w:val="left" w:pos="0"/>
              </w:tabs>
              <w:spacing w:line="276" w:lineRule="auto"/>
              <w:ind w:left="263" w:right="264"/>
              <w:jc w:val="center"/>
              <w:rPr>
                <w:sz w:val="20"/>
                <w:szCs w:val="20"/>
                <w:lang w:val="mn-MN"/>
              </w:rPr>
            </w:pPr>
            <w:r w:rsidRPr="00EF2D2B">
              <w:rPr>
                <w:sz w:val="20"/>
                <w:szCs w:val="20"/>
                <w:lang w:val="mn-MN"/>
              </w:rPr>
              <w:lastRenderedPageBreak/>
              <w:t>10/second</w:t>
            </w:r>
          </w:p>
        </w:tc>
        <w:tc>
          <w:tcPr>
            <w:tcW w:w="3706" w:type="dxa"/>
          </w:tcPr>
          <w:p w:rsidR="00E2763A" w:rsidRPr="00731F96" w:rsidRDefault="00E2763A" w:rsidP="00E2763A">
            <w:pPr>
              <w:pStyle w:val="TableParagraph"/>
              <w:tabs>
                <w:tab w:val="left" w:pos="0"/>
              </w:tabs>
              <w:spacing w:line="276" w:lineRule="auto"/>
              <w:ind w:left="1184" w:right="1185"/>
              <w:jc w:val="center"/>
              <w:rPr>
                <w:sz w:val="20"/>
                <w:szCs w:val="20"/>
                <w:lang w:val="mn-MN"/>
              </w:rPr>
            </w:pPr>
            <w:r w:rsidRPr="00731F96">
              <w:rPr>
                <w:sz w:val="20"/>
                <w:szCs w:val="20"/>
                <w:lang w:val="mn-MN"/>
              </w:rPr>
              <w:t>TT2 0,5 s</w:t>
            </w:r>
          </w:p>
        </w:tc>
        <w:tc>
          <w:tcPr>
            <w:tcW w:w="3153" w:type="dxa"/>
          </w:tcPr>
          <w:p w:rsidR="00E2763A" w:rsidRPr="00EF2D2B" w:rsidRDefault="00E2763A" w:rsidP="00E2763A">
            <w:pPr>
              <w:pStyle w:val="TableParagraph"/>
              <w:tabs>
                <w:tab w:val="left" w:pos="0"/>
              </w:tabs>
              <w:spacing w:line="276" w:lineRule="auto"/>
              <w:ind w:left="343" w:right="344"/>
              <w:jc w:val="center"/>
              <w:rPr>
                <w:sz w:val="20"/>
                <w:szCs w:val="20"/>
                <w:lang w:val="mn-MN"/>
              </w:rPr>
            </w:pPr>
            <w:r w:rsidRPr="00EF2D2B">
              <w:rPr>
                <w:sz w:val="20"/>
                <w:szCs w:val="20"/>
                <w:lang w:val="mn-MN"/>
              </w:rPr>
              <w:t>T3 0,025 ms</w:t>
            </w:r>
          </w:p>
        </w:tc>
      </w:tr>
    </w:tbl>
    <w:p w:rsidR="00E2763A" w:rsidRDefault="00E2763A" w:rsidP="00440B2A">
      <w:pPr>
        <w:ind w:left="0" w:firstLine="0"/>
        <w:jc w:val="center"/>
        <w:rPr>
          <w:b/>
          <w:lang w:val="en-US"/>
        </w:rPr>
      </w:pPr>
    </w:p>
    <w:p w:rsidR="00E2763A" w:rsidRDefault="00E2763A" w:rsidP="00440B2A">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E2763A" w:rsidTr="00E2763A">
        <w:tc>
          <w:tcPr>
            <w:tcW w:w="4672" w:type="dxa"/>
          </w:tcPr>
          <w:p w:rsidR="00E2763A" w:rsidRPr="00E2763A" w:rsidRDefault="00E2763A" w:rsidP="00E2763A">
            <w:pPr>
              <w:tabs>
                <w:tab w:val="left" w:pos="0"/>
              </w:tabs>
              <w:ind w:left="0" w:firstLine="0"/>
              <w:rPr>
                <w:rFonts w:eastAsia="Calibri"/>
                <w:b/>
                <w:bCs/>
                <w:szCs w:val="22"/>
              </w:rPr>
            </w:pPr>
            <w:r w:rsidRPr="00E2763A">
              <w:rPr>
                <w:rFonts w:eastAsia="Calibri"/>
                <w:b/>
                <w:bCs/>
                <w:szCs w:val="22"/>
              </w:rPr>
              <w:t>5.9.3 Динамик тогтворжилтыг хангах, урьдчилан тооцох систем</w:t>
            </w:r>
          </w:p>
          <w:p w:rsidR="00E2763A" w:rsidRPr="00E2763A" w:rsidRDefault="00E2763A" w:rsidP="00E2763A">
            <w:pPr>
              <w:tabs>
                <w:tab w:val="left" w:pos="0"/>
              </w:tabs>
              <w:ind w:left="0" w:firstLine="0"/>
              <w:rPr>
                <w:rFonts w:eastAsia="Calibri"/>
                <w:bCs/>
                <w:szCs w:val="22"/>
              </w:rPr>
            </w:pPr>
            <w:r w:rsidRPr="00E2763A">
              <w:rPr>
                <w:rFonts w:eastAsia="Calibri"/>
                <w:bCs/>
                <w:szCs w:val="22"/>
              </w:rPr>
              <w:t>Хоёр үндсэн эрчим хүчний системийг холбосон тойрон болон торон сүлжээнд гэмтэл гарсан тохиолдолд хоёр системийн хооронд хязгаараас гарах нөхцөл үүсч болно. 5-аас 10 сек-ийн хооронд аажмаар эхлэх гэмтэлийг илэрхийлж чадах үзүүлэлтүүдээр шалгаснаар хязгаараас гарах нөхцөлийг тодорхойлж дараа нь системийг тодорхой цэгт таслах замаар хязгаараас гарахаас урьдчилан сэргийлэх боломжтой.Систем нь мэдээлэл цуглуулахад ашиглагддаг PMU-ээс бүрдэх бөгөөд эрчим хүчний системийн гол цэг бүрт байрладаг; IED нь эрчим хүчний системийг хуваах боломжийг олгодог. IED ба PMU нь холбооны сүлжээнд холбогдсон байна.</w:t>
            </w:r>
          </w:p>
          <w:p w:rsidR="00E2763A" w:rsidRPr="00E2763A" w:rsidRDefault="00E2763A" w:rsidP="00E2763A">
            <w:pPr>
              <w:tabs>
                <w:tab w:val="left" w:pos="0"/>
              </w:tabs>
              <w:ind w:left="0" w:firstLine="0"/>
              <w:rPr>
                <w:rFonts w:eastAsia="Calibri"/>
                <w:bCs/>
                <w:szCs w:val="22"/>
              </w:rPr>
            </w:pPr>
            <w:r w:rsidRPr="00E2763A">
              <w:rPr>
                <w:rFonts w:eastAsia="Calibri"/>
                <w:bCs/>
                <w:szCs w:val="22"/>
              </w:rPr>
              <w:t>PMU бүр нь эрчим хүчний системийн өөрийн хэсгийн хүчдэлийн өнцгийг IED руу илгээдэг. IED нь PMU-ийн хоорондох өнцгийг харьцуулж ба цаашид өнцгийг урьдчилан тодорхойлно. Хэрэв А систем дэх PMU ба В систем дэх PMU-ийн урьдчилан тооцоолсон өнцгүүд нь урьдчилан тодорхойлсон утгаас давсан тохиолдолд IED нь хязгаараас гарах нөхцөл үүссэнийг тодорхойлж таслах сигналыг CB-д дамжуулна.</w:t>
            </w:r>
          </w:p>
          <w:p w:rsidR="00E2763A" w:rsidRPr="00E2763A" w:rsidRDefault="00E2763A" w:rsidP="00E2763A">
            <w:pPr>
              <w:tabs>
                <w:tab w:val="left" w:pos="0"/>
              </w:tabs>
              <w:ind w:left="0" w:firstLine="0"/>
              <w:rPr>
                <w:rFonts w:eastAsia="Calibri"/>
                <w:bCs/>
                <w:szCs w:val="22"/>
              </w:rPr>
            </w:pPr>
            <w:r w:rsidRPr="00E2763A">
              <w:rPr>
                <w:rFonts w:eastAsia="Calibri"/>
                <w:bCs/>
                <w:szCs w:val="22"/>
              </w:rPr>
              <w:t>Сэлгэх арга: IED нь хэвийн горимд PMU-ийн өнцгийн зөрүүг хэмждэг. Ямар нэгэн хэвийн бус горим үүссэн тохиолдолд өнцгийн зөрүүний өөрчлөлтийг генераторын роторын өнцөг (хурд) эсвэл давтамжийн хазайлтаас тооцно.</w:t>
            </w:r>
          </w:p>
          <w:p w:rsidR="00E2763A" w:rsidRPr="00E2763A" w:rsidRDefault="00E2763A" w:rsidP="00E2763A">
            <w:pPr>
              <w:tabs>
                <w:tab w:val="left" w:pos="0"/>
              </w:tabs>
              <w:ind w:left="0" w:firstLine="0"/>
              <w:rPr>
                <w:rFonts w:eastAsia="Calibri"/>
                <w:bCs/>
                <w:szCs w:val="22"/>
              </w:rPr>
            </w:pPr>
            <w:r w:rsidRPr="00E2763A">
              <w:rPr>
                <w:rFonts w:eastAsia="Calibri"/>
                <w:bCs/>
                <w:szCs w:val="22"/>
              </w:rPr>
              <w:t>Ерөнхий мэдээллийн урсгалыг 8-р зурагт үзүүлэв.</w:t>
            </w:r>
          </w:p>
        </w:tc>
        <w:tc>
          <w:tcPr>
            <w:tcW w:w="4672" w:type="dxa"/>
          </w:tcPr>
          <w:p w:rsidR="00E2763A" w:rsidRPr="00E2763A" w:rsidRDefault="00E2763A" w:rsidP="00E2763A">
            <w:pPr>
              <w:tabs>
                <w:tab w:val="left" w:pos="0"/>
              </w:tabs>
              <w:ind w:left="0" w:firstLine="0"/>
              <w:rPr>
                <w:rFonts w:eastAsia="Calibri"/>
                <w:b/>
                <w:bCs/>
                <w:szCs w:val="22"/>
              </w:rPr>
            </w:pPr>
            <w:r w:rsidRPr="00E2763A">
              <w:rPr>
                <w:rFonts w:eastAsia="Calibri"/>
                <w:b/>
                <w:bCs/>
                <w:szCs w:val="22"/>
              </w:rPr>
              <w:t>5.9.3 Predictive dynamic stability maintaining system</w:t>
            </w:r>
          </w:p>
          <w:p w:rsidR="00E2763A" w:rsidRPr="00E2763A" w:rsidRDefault="00E2763A" w:rsidP="00E2763A">
            <w:pPr>
              <w:tabs>
                <w:tab w:val="left" w:pos="0"/>
              </w:tabs>
              <w:ind w:left="0" w:firstLine="0"/>
              <w:rPr>
                <w:rFonts w:eastAsia="Calibri"/>
                <w:bCs/>
                <w:szCs w:val="22"/>
              </w:rPr>
            </w:pPr>
            <w:r w:rsidRPr="00E2763A">
              <w:rPr>
                <w:rFonts w:eastAsia="Calibri"/>
                <w:bCs/>
                <w:szCs w:val="22"/>
              </w:rPr>
              <w:t>When a severe fault occurs in a  loop or  mesh network connecting two major power systems,  an out-of-step condition can occur between the two systems. By checking for a suitable indicator that would denote the occurrence of a disturbance having a  gradual  onset  of between 5 s to 10 s, an  out-of-step condition can be  detected and by subsequently splitting the system at a specific point it is possible to prevent the out-of-step occurring. The system is composed of PMUs which are used to  gather information and are located  at  each major point of the power system; the IED enables the splitting of the power system. The IED and PMU are connected within a communication network.</w:t>
            </w:r>
          </w:p>
          <w:p w:rsidR="00E2763A" w:rsidRPr="00E2763A" w:rsidRDefault="00E2763A" w:rsidP="00E2763A">
            <w:pPr>
              <w:tabs>
                <w:tab w:val="left" w:pos="0"/>
              </w:tabs>
              <w:ind w:left="0" w:firstLine="0"/>
              <w:rPr>
                <w:rFonts w:eastAsia="Calibri"/>
                <w:bCs/>
                <w:szCs w:val="22"/>
              </w:rPr>
            </w:pPr>
            <w:r w:rsidRPr="00E2763A">
              <w:rPr>
                <w:rFonts w:eastAsia="Calibri"/>
                <w:bCs/>
                <w:szCs w:val="22"/>
              </w:rPr>
              <w:t>Each PMU sends the voltage angle for its own part of the power system to the IED. The IED compares the angles between the PMUs and predicts the future angle. If the predicted angles between the PMUs in system A and the PMUs in system B exceed pre-determined values, the IED determines that an out-of-step condition will occur and trips the CB.</w:t>
            </w:r>
          </w:p>
          <w:p w:rsidR="00E2763A" w:rsidRPr="00E2763A" w:rsidRDefault="00E2763A" w:rsidP="00E2763A">
            <w:pPr>
              <w:tabs>
                <w:tab w:val="left" w:pos="0"/>
              </w:tabs>
              <w:ind w:left="0" w:firstLine="0"/>
              <w:rPr>
                <w:rFonts w:eastAsia="Calibri"/>
                <w:bCs/>
                <w:szCs w:val="22"/>
              </w:rPr>
            </w:pPr>
            <w:r w:rsidRPr="00E2763A">
              <w:rPr>
                <w:rFonts w:eastAsia="Calibri"/>
                <w:bCs/>
                <w:szCs w:val="22"/>
              </w:rPr>
              <w:t>Alternative method: The IED measures the angular difference between PMUs under normal conditions. When a disturbance occurs, the change in angular  difference is  calculated from  the generator rotor angle (speed) or from frequency deviation.</w:t>
            </w:r>
          </w:p>
          <w:p w:rsidR="00E2763A" w:rsidRPr="00E2763A" w:rsidRDefault="00E2763A" w:rsidP="00E2763A">
            <w:pPr>
              <w:tabs>
                <w:tab w:val="left" w:pos="0"/>
              </w:tabs>
              <w:ind w:left="0" w:firstLine="0"/>
              <w:rPr>
                <w:rFonts w:eastAsia="Calibri"/>
                <w:bCs/>
                <w:szCs w:val="22"/>
              </w:rPr>
            </w:pPr>
            <w:r w:rsidRPr="00E2763A">
              <w:rPr>
                <w:rFonts w:eastAsia="Calibri"/>
                <w:bCs/>
                <w:szCs w:val="22"/>
              </w:rPr>
              <w:t>The general information flow is shown in Figure 8.</w:t>
            </w:r>
          </w:p>
        </w:tc>
      </w:tr>
    </w:tbl>
    <w:p w:rsidR="00E2763A" w:rsidRDefault="00E2763A" w:rsidP="00440B2A">
      <w:pPr>
        <w:ind w:left="0" w:firstLine="0"/>
        <w:jc w:val="center"/>
        <w:rPr>
          <w:b/>
          <w:lang w:val="en-US"/>
        </w:rPr>
      </w:pPr>
    </w:p>
    <w:p w:rsidR="00E2763A" w:rsidRDefault="00E2763A" w:rsidP="00440B2A">
      <w:pPr>
        <w:ind w:left="0" w:firstLine="0"/>
        <w:jc w:val="center"/>
        <w:rPr>
          <w:b/>
          <w:lang w:val="en-US"/>
        </w:rPr>
      </w:pPr>
    </w:p>
    <w:p w:rsidR="00E2763A" w:rsidRDefault="00E2763A" w:rsidP="00440B2A">
      <w:pPr>
        <w:ind w:left="0" w:firstLine="0"/>
        <w:jc w:val="center"/>
      </w:pPr>
      <w:r w:rsidRPr="00EF2D2B">
        <w:object w:dxaOrig="6520" w:dyaOrig="3345">
          <v:shape id="_x0000_i1066" type="#_x0000_t75" style="width:364.2pt;height:186.7pt" o:ole="">
            <v:imagedata r:id="rId30" o:title=""/>
          </v:shape>
          <o:OLEObject Type="Embed" ProgID="Visio.Drawing.11" ShapeID="_x0000_i1066" DrawAspect="Content" ObjectID="_1701177456" r:id="rId31"/>
        </w:object>
      </w:r>
    </w:p>
    <w:p w:rsidR="00E2763A" w:rsidRDefault="00E2763A" w:rsidP="00440B2A">
      <w:pPr>
        <w:ind w:left="0" w:firstLine="0"/>
        <w:jc w:val="center"/>
      </w:pPr>
    </w:p>
    <w:p w:rsidR="00E2763A" w:rsidRDefault="00E2763A" w:rsidP="00440B2A">
      <w:pPr>
        <w:ind w:left="0" w:firstLine="0"/>
        <w:jc w:val="center"/>
        <w:rPr>
          <w:b/>
          <w:lang w:val="en-US"/>
        </w:rPr>
      </w:pPr>
      <w:r w:rsidRPr="00E2763A">
        <w:rPr>
          <w:b/>
          <w:lang w:val="en-US"/>
        </w:rPr>
        <w:t>8</w:t>
      </w:r>
      <w:r>
        <w:rPr>
          <w:b/>
        </w:rPr>
        <w:t>-р зураг</w:t>
      </w:r>
      <w:r w:rsidRPr="00E2763A">
        <w:rPr>
          <w:b/>
          <w:lang w:val="en-US"/>
        </w:rPr>
        <w:t xml:space="preserve"> – Динамик тогтворжилтыг урьдчилан тооцоход ашиглах схем</w:t>
      </w:r>
    </w:p>
    <w:p w:rsidR="00E2763A" w:rsidRDefault="00E2763A" w:rsidP="00440B2A">
      <w:pPr>
        <w:ind w:left="0" w:firstLine="0"/>
        <w:jc w:val="center"/>
        <w:rPr>
          <w:b/>
          <w:lang w:val="en-US"/>
        </w:rPr>
      </w:pPr>
    </w:p>
    <w:p w:rsidR="00E2763A" w:rsidRDefault="00E2763A" w:rsidP="00440B2A">
      <w:pPr>
        <w:ind w:left="0" w:firstLine="0"/>
        <w:jc w:val="center"/>
        <w:rPr>
          <w:b/>
          <w:lang w:val="en-US"/>
        </w:rPr>
      </w:pPr>
      <w:r w:rsidRPr="00EF2D2B">
        <w:rPr>
          <w:noProof/>
          <w:lang w:val="en-US"/>
        </w:rPr>
        <w:drawing>
          <wp:inline distT="0" distB="0" distL="0" distR="0" wp14:anchorId="69B93A78" wp14:editId="02050EB3">
            <wp:extent cx="4796635" cy="2617076"/>
            <wp:effectExtent l="0" t="0" r="444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9955" cy="2629800"/>
                    </a:xfrm>
                    <a:prstGeom prst="rect">
                      <a:avLst/>
                    </a:prstGeom>
                  </pic:spPr>
                </pic:pic>
              </a:graphicData>
            </a:graphic>
          </wp:inline>
        </w:drawing>
      </w:r>
    </w:p>
    <w:p w:rsidR="00E2763A" w:rsidRDefault="00E2763A" w:rsidP="00440B2A">
      <w:pPr>
        <w:ind w:left="0" w:firstLine="0"/>
        <w:jc w:val="center"/>
        <w:rPr>
          <w:lang w:val="en-US"/>
        </w:rPr>
      </w:pPr>
    </w:p>
    <w:p w:rsidR="00E2763A" w:rsidRDefault="00E2763A" w:rsidP="00440B2A">
      <w:pPr>
        <w:ind w:left="0" w:firstLine="0"/>
        <w:jc w:val="center"/>
        <w:rPr>
          <w:b/>
          <w:lang w:val="en-US"/>
        </w:rPr>
      </w:pPr>
      <w:r w:rsidRPr="00E2763A">
        <w:rPr>
          <w:b/>
          <w:lang w:val="en-US"/>
        </w:rPr>
        <w:t>Figure 8 – Use case diagram for predictive dynamic stability</w:t>
      </w:r>
    </w:p>
    <w:p w:rsidR="00E2763A" w:rsidRDefault="00E2763A" w:rsidP="00440B2A">
      <w:pPr>
        <w:ind w:left="0" w:firstLine="0"/>
        <w:jc w:val="center"/>
        <w:rPr>
          <w:b/>
          <w:lang w:val="en-US"/>
        </w:rPr>
      </w:pPr>
    </w:p>
    <w:p w:rsidR="00E2763A" w:rsidRPr="00E2763A" w:rsidRDefault="00E2763A" w:rsidP="00E2763A">
      <w:pPr>
        <w:ind w:left="0" w:firstLine="0"/>
        <w:jc w:val="left"/>
        <w:rPr>
          <w:b/>
          <w:lang w:val="en-US"/>
        </w:rPr>
      </w:pPr>
      <w:r w:rsidRPr="00E2763A">
        <w:rPr>
          <w:lang w:val="en-US"/>
        </w:rPr>
        <w:t>Харилцаа холбоонд тавигдах шаардлагыг дараах байдлаар нэгтгэж болно:</w:t>
      </w:r>
    </w:p>
    <w:p w:rsidR="00E2763A" w:rsidRDefault="00E2763A" w:rsidP="00E2763A">
      <w:pPr>
        <w:ind w:left="0" w:firstLine="0"/>
        <w:jc w:val="left"/>
        <w:rPr>
          <w:lang w:val="en-US"/>
        </w:rPr>
      </w:pPr>
      <w:r w:rsidRPr="00E2763A">
        <w:rPr>
          <w:lang w:val="en-US"/>
        </w:rPr>
        <w:t>The communication requirements can    be summarized as follows:</w:t>
      </w:r>
    </w:p>
    <w:p w:rsidR="00E2763A" w:rsidRPr="001C4C31" w:rsidRDefault="00E2763A" w:rsidP="00E2763A">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096"/>
        <w:gridCol w:w="6248"/>
      </w:tblGrid>
      <w:tr w:rsidR="00E2763A" w:rsidTr="00E2763A">
        <w:tc>
          <w:tcPr>
            <w:tcW w:w="2263" w:type="dxa"/>
          </w:tcPr>
          <w:p w:rsidR="00E2763A" w:rsidRPr="00EF2D2B" w:rsidRDefault="00E2763A"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7081" w:type="dxa"/>
          </w:tcPr>
          <w:p w:rsidR="00E2763A" w:rsidRPr="00EF2D2B" w:rsidRDefault="00E2763A" w:rsidP="00A71B0E">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E2763A" w:rsidTr="00E2763A">
        <w:tc>
          <w:tcPr>
            <w:tcW w:w="2263" w:type="dxa"/>
          </w:tcPr>
          <w:p w:rsidR="00E2763A" w:rsidRPr="00EF2D2B" w:rsidRDefault="00E2763A" w:rsidP="00E2763A">
            <w:pPr>
              <w:pStyle w:val="TableParagraph"/>
              <w:tabs>
                <w:tab w:val="left" w:pos="0"/>
              </w:tabs>
              <w:spacing w:before="58" w:line="276" w:lineRule="auto"/>
              <w:rPr>
                <w:sz w:val="20"/>
                <w:szCs w:val="20"/>
                <w:lang w:val="mn-MN"/>
              </w:rPr>
            </w:pPr>
            <w:r w:rsidRPr="00EF2D2B">
              <w:rPr>
                <w:sz w:val="20"/>
                <w:szCs w:val="20"/>
                <w:lang w:val="mn-MN"/>
              </w:rPr>
              <w:t>PMU</w:t>
            </w:r>
          </w:p>
        </w:tc>
        <w:tc>
          <w:tcPr>
            <w:tcW w:w="7081" w:type="dxa"/>
          </w:tcPr>
          <w:p w:rsidR="00E2763A" w:rsidRPr="00731F96" w:rsidRDefault="00E2763A" w:rsidP="00E2763A">
            <w:pPr>
              <w:pStyle w:val="TableParagraph"/>
              <w:tabs>
                <w:tab w:val="left" w:pos="0"/>
              </w:tabs>
              <w:spacing w:before="58" w:line="276" w:lineRule="auto"/>
              <w:rPr>
                <w:sz w:val="20"/>
                <w:szCs w:val="20"/>
                <w:lang w:val="mn-MN"/>
              </w:rPr>
            </w:pPr>
            <w:r w:rsidRPr="00731F96">
              <w:rPr>
                <w:sz w:val="20"/>
                <w:szCs w:val="20"/>
                <w:lang w:val="mn-MN"/>
              </w:rPr>
              <w:t>Синхрофазорыг тооцоолдог</w:t>
            </w:r>
          </w:p>
        </w:tc>
      </w:tr>
      <w:tr w:rsidR="00E2763A" w:rsidTr="00E2763A">
        <w:tc>
          <w:tcPr>
            <w:tcW w:w="2263"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IED</w:t>
            </w:r>
          </w:p>
        </w:tc>
        <w:tc>
          <w:tcPr>
            <w:tcW w:w="7081" w:type="dxa"/>
          </w:tcPr>
          <w:p w:rsidR="00E2763A" w:rsidRPr="00EF2D2B" w:rsidRDefault="00E2763A" w:rsidP="00E2763A">
            <w:pPr>
              <w:pStyle w:val="TableParagraph"/>
              <w:tabs>
                <w:tab w:val="left" w:pos="0"/>
              </w:tabs>
              <w:spacing w:line="276" w:lineRule="auto"/>
              <w:rPr>
                <w:sz w:val="20"/>
                <w:szCs w:val="20"/>
                <w:lang w:val="mn-MN"/>
              </w:rPr>
            </w:pPr>
            <w:r w:rsidRPr="00731F96">
              <w:rPr>
                <w:sz w:val="20"/>
                <w:szCs w:val="20"/>
                <w:lang w:val="mn-MN"/>
              </w:rPr>
              <w:t>PMU-ээс өгөгдөл хүлээн авах, эрчим хүчний системийн удирдлага</w:t>
            </w:r>
            <w:r w:rsidRPr="00EF2D2B">
              <w:rPr>
                <w:sz w:val="20"/>
                <w:szCs w:val="20"/>
                <w:lang w:val="mn-MN"/>
              </w:rPr>
              <w:t xml:space="preserve"> ба динамик тогтворжилтыг урьдчилан тооцолдог</w:t>
            </w:r>
          </w:p>
        </w:tc>
      </w:tr>
    </w:tbl>
    <w:p w:rsidR="00E2763A" w:rsidRPr="001C4C31" w:rsidRDefault="00E2763A" w:rsidP="00E2763A">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263"/>
        <w:gridCol w:w="6081"/>
      </w:tblGrid>
      <w:tr w:rsidR="00E2763A" w:rsidTr="00E2763A">
        <w:tc>
          <w:tcPr>
            <w:tcW w:w="2972" w:type="dxa"/>
          </w:tcPr>
          <w:p w:rsidR="00E2763A" w:rsidRPr="00EF2D2B" w:rsidRDefault="00E2763A"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6372" w:type="dxa"/>
          </w:tcPr>
          <w:p w:rsidR="00E2763A" w:rsidRPr="00EF2D2B" w:rsidRDefault="00E2763A" w:rsidP="00A71B0E">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E2763A" w:rsidTr="00E2763A">
        <w:tc>
          <w:tcPr>
            <w:tcW w:w="2972" w:type="dxa"/>
          </w:tcPr>
          <w:p w:rsidR="00E2763A" w:rsidRPr="00EF2D2B" w:rsidRDefault="00E2763A" w:rsidP="00E2763A">
            <w:pPr>
              <w:pStyle w:val="TableParagraph"/>
              <w:tabs>
                <w:tab w:val="left" w:pos="0"/>
              </w:tabs>
              <w:spacing w:before="58" w:line="276" w:lineRule="auto"/>
              <w:rPr>
                <w:sz w:val="20"/>
                <w:szCs w:val="20"/>
                <w:lang w:val="mn-MN"/>
              </w:rPr>
            </w:pPr>
            <w:r w:rsidRPr="00EF2D2B">
              <w:rPr>
                <w:sz w:val="20"/>
                <w:szCs w:val="20"/>
                <w:lang w:val="mn-MN"/>
              </w:rPr>
              <w:t>PMU</w:t>
            </w:r>
          </w:p>
        </w:tc>
        <w:tc>
          <w:tcPr>
            <w:tcW w:w="6372" w:type="dxa"/>
          </w:tcPr>
          <w:p w:rsidR="00E2763A" w:rsidRPr="00731F96" w:rsidRDefault="00E2763A" w:rsidP="00E2763A">
            <w:pPr>
              <w:pStyle w:val="TableParagraph"/>
              <w:tabs>
                <w:tab w:val="left" w:pos="0"/>
              </w:tabs>
              <w:spacing w:before="58" w:line="276" w:lineRule="auto"/>
              <w:rPr>
                <w:sz w:val="20"/>
                <w:szCs w:val="20"/>
                <w:lang w:val="mn-MN"/>
              </w:rPr>
            </w:pPr>
            <w:r w:rsidRPr="00731F96">
              <w:rPr>
                <w:sz w:val="20"/>
                <w:szCs w:val="20"/>
                <w:lang w:val="mn-MN"/>
              </w:rPr>
              <w:t>Computes synchrophasors</w:t>
            </w:r>
          </w:p>
        </w:tc>
      </w:tr>
      <w:tr w:rsidR="00E2763A" w:rsidTr="00E2763A">
        <w:tc>
          <w:tcPr>
            <w:tcW w:w="2972"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IED</w:t>
            </w:r>
          </w:p>
        </w:tc>
        <w:tc>
          <w:tcPr>
            <w:tcW w:w="6372" w:type="dxa"/>
          </w:tcPr>
          <w:p w:rsidR="00E2763A" w:rsidRPr="00731F96" w:rsidRDefault="00E2763A" w:rsidP="00E2763A">
            <w:pPr>
              <w:pStyle w:val="TableParagraph"/>
              <w:tabs>
                <w:tab w:val="left" w:pos="0"/>
              </w:tabs>
              <w:spacing w:line="276" w:lineRule="auto"/>
              <w:rPr>
                <w:sz w:val="20"/>
                <w:szCs w:val="20"/>
                <w:lang w:val="mn-MN"/>
              </w:rPr>
            </w:pPr>
            <w:r w:rsidRPr="00731F96">
              <w:rPr>
                <w:sz w:val="20"/>
                <w:szCs w:val="20"/>
                <w:lang w:val="mn-MN"/>
              </w:rPr>
              <w:t xml:space="preserve">Receives data from PMUs, predicts dynamic stability &amp; power </w:t>
            </w:r>
            <w:r w:rsidRPr="00731F96">
              <w:rPr>
                <w:sz w:val="20"/>
                <w:szCs w:val="20"/>
                <w:lang w:val="mn-MN"/>
              </w:rPr>
              <w:lastRenderedPageBreak/>
              <w:t>system control</w:t>
            </w:r>
          </w:p>
        </w:tc>
      </w:tr>
    </w:tbl>
    <w:p w:rsidR="00E2763A" w:rsidRDefault="00E2763A" w:rsidP="00E2763A">
      <w:pPr>
        <w:ind w:left="0" w:firstLine="0"/>
        <w:rPr>
          <w:b/>
          <w:lang w:val="en-US"/>
        </w:rPr>
      </w:pPr>
    </w:p>
    <w:p w:rsidR="00E2763A" w:rsidRDefault="00E2763A" w:rsidP="00E2763A">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539"/>
        <w:gridCol w:w="5805"/>
      </w:tblGrid>
      <w:tr w:rsidR="00E2763A" w:rsidRPr="00EF2D2B" w:rsidTr="00A71B0E">
        <w:tc>
          <w:tcPr>
            <w:tcW w:w="3539" w:type="dxa"/>
          </w:tcPr>
          <w:p w:rsidR="00E2763A" w:rsidRPr="00EF2D2B" w:rsidRDefault="00E2763A"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805" w:type="dxa"/>
          </w:tcPr>
          <w:p w:rsidR="00E2763A" w:rsidRPr="00EF2D2B" w:rsidRDefault="00E2763A" w:rsidP="00A71B0E">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E2763A" w:rsidRPr="00731F96" w:rsidTr="00A71B0E">
        <w:tc>
          <w:tcPr>
            <w:tcW w:w="3539"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Өгөгдлийн түүвэр ба Фазор тооцоо</w:t>
            </w:r>
          </w:p>
        </w:tc>
        <w:tc>
          <w:tcPr>
            <w:tcW w:w="5805"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PMU нь хүчдэл ба гүйдлээс синхрофазор ба давтамжийн утгыг тооцдог</w:t>
            </w:r>
          </w:p>
        </w:tc>
      </w:tr>
      <w:tr w:rsidR="00E2763A" w:rsidRPr="00731F96" w:rsidTr="00A71B0E">
        <w:tc>
          <w:tcPr>
            <w:tcW w:w="3539"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Өгөгдөл илгээх/хүлээн авах</w:t>
            </w:r>
          </w:p>
        </w:tc>
        <w:tc>
          <w:tcPr>
            <w:tcW w:w="5805"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PMU нь IED-ийн хүлээн авсан утгыг илгээдэг</w:t>
            </w:r>
          </w:p>
        </w:tc>
      </w:tr>
      <w:tr w:rsidR="00E2763A" w:rsidRPr="00731F96" w:rsidTr="00A71B0E">
        <w:tc>
          <w:tcPr>
            <w:tcW w:w="3539"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Эрчим хүчний системийн удирдлага</w:t>
            </w:r>
          </w:p>
        </w:tc>
        <w:tc>
          <w:tcPr>
            <w:tcW w:w="5805"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IED нь бүх PMU-ийн өгөгдлийг харьцуулдаг</w:t>
            </w:r>
          </w:p>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IED нь хоёр системийн (системA ба B) хоорондын хязгаараас гарахаас урьдчилан тооцох боломжтой.</w:t>
            </w:r>
          </w:p>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Хязгаараас гарахыг урьдчилан тооцоолохдоо IED нь A ба B системийн хоорондох хязгаараас гарахаас урьдчилан сэргийлэхийн тулд A эсвэл B системийн аль нэгийг таслахаар шийдвэрлэдэг.</w:t>
            </w:r>
          </w:p>
        </w:tc>
      </w:tr>
    </w:tbl>
    <w:p w:rsidR="00E2763A" w:rsidRPr="00EF2D2B" w:rsidRDefault="00E2763A" w:rsidP="00E2763A">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E2763A" w:rsidRPr="00EF2D2B" w:rsidTr="00A71B0E">
        <w:tc>
          <w:tcPr>
            <w:tcW w:w="3723" w:type="dxa"/>
          </w:tcPr>
          <w:p w:rsidR="00E2763A" w:rsidRPr="00EF2D2B" w:rsidRDefault="00E2763A"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E2763A" w:rsidRPr="00EF2D2B" w:rsidRDefault="00E2763A" w:rsidP="00A71B0E">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E2763A" w:rsidRPr="00EF2D2B" w:rsidTr="00A71B0E">
        <w:tc>
          <w:tcPr>
            <w:tcW w:w="3723"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Data sampling &amp; phasor estimate</w:t>
            </w:r>
          </w:p>
        </w:tc>
        <w:tc>
          <w:tcPr>
            <w:tcW w:w="5621"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PMU samples current and voltage and estimates synchrophasor values</w:t>
            </w:r>
          </w:p>
        </w:tc>
      </w:tr>
      <w:tr w:rsidR="00E2763A" w:rsidRPr="00731F96" w:rsidTr="00A71B0E">
        <w:tc>
          <w:tcPr>
            <w:tcW w:w="3723"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Data sending &amp; receiving</w:t>
            </w:r>
          </w:p>
        </w:tc>
        <w:tc>
          <w:tcPr>
            <w:tcW w:w="5621"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PMU sends values that are received by the IED</w:t>
            </w:r>
          </w:p>
        </w:tc>
      </w:tr>
      <w:tr w:rsidR="00E2763A" w:rsidRPr="00731F96" w:rsidTr="00A71B0E">
        <w:tc>
          <w:tcPr>
            <w:tcW w:w="3723"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Power system control</w:t>
            </w:r>
          </w:p>
        </w:tc>
        <w:tc>
          <w:tcPr>
            <w:tcW w:w="5621" w:type="dxa"/>
          </w:tcPr>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The IED compares the data from all PMUs</w:t>
            </w:r>
          </w:p>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The IED is able to predict an out of step between two systems, System A and B.</w:t>
            </w:r>
          </w:p>
          <w:p w:rsidR="00E2763A" w:rsidRPr="00E2763A" w:rsidRDefault="00E2763A" w:rsidP="00E2763A">
            <w:pPr>
              <w:tabs>
                <w:tab w:val="left" w:pos="0"/>
              </w:tabs>
              <w:ind w:left="0" w:firstLine="0"/>
              <w:rPr>
                <w:rFonts w:eastAsia="Calibri"/>
                <w:bCs/>
                <w:sz w:val="20"/>
                <w:szCs w:val="20"/>
              </w:rPr>
            </w:pPr>
            <w:r w:rsidRPr="00E2763A">
              <w:rPr>
                <w:rFonts w:eastAsia="Calibri"/>
                <w:bCs/>
                <w:sz w:val="20"/>
                <w:szCs w:val="20"/>
              </w:rPr>
              <w:t>When an out of step is predicted, the IED determines to split a  part of either system   A or B in order to prevent an out of step occurring between System A and B.</w:t>
            </w:r>
          </w:p>
        </w:tc>
      </w:tr>
    </w:tbl>
    <w:p w:rsidR="00E2763A" w:rsidRPr="00EF2D2B" w:rsidRDefault="00E2763A" w:rsidP="00E2763A">
      <w:pPr>
        <w:tabs>
          <w:tab w:val="left" w:pos="0"/>
        </w:tabs>
        <w:spacing w:before="93"/>
        <w:rPr>
          <w:b/>
        </w:rPr>
      </w:pPr>
    </w:p>
    <w:p w:rsidR="00E2763A" w:rsidRPr="00731F96" w:rsidRDefault="00E2763A" w:rsidP="00E2763A">
      <w:pPr>
        <w:tabs>
          <w:tab w:val="left" w:pos="0"/>
        </w:tabs>
        <w:spacing w:before="93"/>
        <w:ind w:left="0" w:firstLine="0"/>
        <w:rPr>
          <w:b/>
        </w:rPr>
      </w:pPr>
      <w:r w:rsidRPr="00731F96">
        <w:rPr>
          <w:b/>
        </w:rPr>
        <w:t>Үндсэн</w:t>
      </w:r>
      <w:r>
        <w:rPr>
          <w:b/>
        </w:rPr>
        <w:t xml:space="preserve"> урсгал:</w:t>
      </w:r>
    </w:p>
    <w:p w:rsidR="00E2763A" w:rsidRPr="00453EF5" w:rsidRDefault="00E2763A" w:rsidP="00E2763A">
      <w:pPr>
        <w:tabs>
          <w:tab w:val="left" w:pos="0"/>
        </w:tabs>
        <w:spacing w:before="93"/>
        <w:ind w:left="0" w:firstLine="0"/>
      </w:pPr>
      <w:r w:rsidRPr="00453EF5">
        <w:t>Өгөгдөл үүсгэх ба илгээх</w:t>
      </w:r>
    </w:p>
    <w:tbl>
      <w:tblPr>
        <w:tblStyle w:val="TableGrid"/>
        <w:tblW w:w="0" w:type="auto"/>
        <w:tblLook w:val="04A0" w:firstRow="1" w:lastRow="0" w:firstColumn="1" w:lastColumn="0" w:noHBand="0" w:noVBand="1"/>
      </w:tblPr>
      <w:tblGrid>
        <w:gridCol w:w="1696"/>
        <w:gridCol w:w="7648"/>
      </w:tblGrid>
      <w:tr w:rsidR="00E2763A" w:rsidRPr="00EF2D2B" w:rsidTr="00A71B0E">
        <w:tc>
          <w:tcPr>
            <w:tcW w:w="1696" w:type="dxa"/>
          </w:tcPr>
          <w:p w:rsidR="00E2763A" w:rsidRPr="00EF2D2B" w:rsidRDefault="00E2763A"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E2763A" w:rsidRPr="00731F96" w:rsidRDefault="00E2763A" w:rsidP="00A71B0E">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E2763A" w:rsidRPr="00731F96" w:rsidTr="00A71B0E">
        <w:tc>
          <w:tcPr>
            <w:tcW w:w="1696"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Алхам 1</w:t>
            </w:r>
          </w:p>
        </w:tc>
        <w:tc>
          <w:tcPr>
            <w:tcW w:w="7648"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PMU нь V ба I –ээс синхрофазорыг тооцдог</w:t>
            </w:r>
          </w:p>
        </w:tc>
      </w:tr>
      <w:tr w:rsidR="00E2763A" w:rsidRPr="00731F96" w:rsidTr="00A71B0E">
        <w:tc>
          <w:tcPr>
            <w:tcW w:w="1696"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Алхам 2</w:t>
            </w:r>
          </w:p>
        </w:tc>
        <w:tc>
          <w:tcPr>
            <w:tcW w:w="7648"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PMU нь гаралтын өгөгдсөн хурдаар фазуудыг сонгоно</w:t>
            </w:r>
          </w:p>
        </w:tc>
      </w:tr>
      <w:tr w:rsidR="00E2763A" w:rsidRPr="00731F96" w:rsidTr="00A71B0E">
        <w:tc>
          <w:tcPr>
            <w:tcW w:w="1696"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Алхам 3</w:t>
            </w:r>
          </w:p>
        </w:tc>
        <w:tc>
          <w:tcPr>
            <w:tcW w:w="7648"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PMU нь тохирох төлөв, цаг хугацааны тэмдэг бүхий өгөгдлийг багцалдаг</w:t>
            </w:r>
          </w:p>
        </w:tc>
      </w:tr>
      <w:tr w:rsidR="00E2763A" w:rsidRPr="00731F96" w:rsidTr="00A71B0E">
        <w:tc>
          <w:tcPr>
            <w:tcW w:w="1696" w:type="dxa"/>
          </w:tcPr>
          <w:p w:rsidR="00E2763A" w:rsidRPr="00EF2D2B" w:rsidRDefault="00E2763A" w:rsidP="00E2763A">
            <w:pPr>
              <w:pStyle w:val="TableParagraph"/>
              <w:tabs>
                <w:tab w:val="left" w:pos="0"/>
              </w:tabs>
              <w:spacing w:before="58" w:line="276" w:lineRule="auto"/>
              <w:rPr>
                <w:sz w:val="20"/>
                <w:szCs w:val="20"/>
                <w:lang w:val="mn-MN"/>
              </w:rPr>
            </w:pPr>
            <w:r w:rsidRPr="00EF2D2B">
              <w:rPr>
                <w:sz w:val="20"/>
                <w:szCs w:val="20"/>
                <w:lang w:val="mn-MN"/>
              </w:rPr>
              <w:t>Алхам 4</w:t>
            </w:r>
          </w:p>
        </w:tc>
        <w:tc>
          <w:tcPr>
            <w:tcW w:w="7648"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PMU нь өгөгдлийг IED руу илгээдэг</w:t>
            </w:r>
          </w:p>
        </w:tc>
      </w:tr>
    </w:tbl>
    <w:p w:rsidR="00E2763A" w:rsidRPr="00731F96" w:rsidRDefault="00E2763A" w:rsidP="00E2763A">
      <w:pPr>
        <w:tabs>
          <w:tab w:val="left" w:pos="0"/>
        </w:tabs>
        <w:spacing w:before="93"/>
        <w:ind w:left="0" w:firstLine="0"/>
        <w:rPr>
          <w:b/>
        </w:rPr>
      </w:pPr>
      <w:r>
        <w:rPr>
          <w:b/>
        </w:rPr>
        <w:t>Basic flow:</w:t>
      </w:r>
    </w:p>
    <w:p w:rsidR="00E2763A" w:rsidRPr="00453EF5" w:rsidRDefault="00E2763A" w:rsidP="00E2763A">
      <w:pPr>
        <w:tabs>
          <w:tab w:val="left" w:pos="0"/>
        </w:tabs>
        <w:spacing w:before="93"/>
        <w:ind w:left="0" w:firstLine="0"/>
      </w:pPr>
      <w:r w:rsidRPr="00453EF5">
        <w:t>Data origination &amp; sending</w:t>
      </w:r>
    </w:p>
    <w:tbl>
      <w:tblPr>
        <w:tblStyle w:val="TableGrid"/>
        <w:tblW w:w="0" w:type="auto"/>
        <w:tblLook w:val="04A0" w:firstRow="1" w:lastRow="0" w:firstColumn="1" w:lastColumn="0" w:noHBand="0" w:noVBand="1"/>
      </w:tblPr>
      <w:tblGrid>
        <w:gridCol w:w="1980"/>
        <w:gridCol w:w="7364"/>
      </w:tblGrid>
      <w:tr w:rsidR="00E2763A" w:rsidRPr="00731F96" w:rsidTr="00A71B0E">
        <w:tc>
          <w:tcPr>
            <w:tcW w:w="1980" w:type="dxa"/>
          </w:tcPr>
          <w:p w:rsidR="00E2763A" w:rsidRPr="00EF2D2B" w:rsidRDefault="00E2763A"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E2763A" w:rsidRPr="00EF2D2B" w:rsidRDefault="00E2763A" w:rsidP="00A71B0E">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E2763A" w:rsidRPr="00731F96" w:rsidTr="00A71B0E">
        <w:tc>
          <w:tcPr>
            <w:tcW w:w="19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Step 1</w:t>
            </w:r>
          </w:p>
        </w:tc>
        <w:tc>
          <w:tcPr>
            <w:tcW w:w="7364" w:type="dxa"/>
          </w:tcPr>
          <w:p w:rsidR="00E2763A" w:rsidRPr="00731F96" w:rsidRDefault="00E2763A" w:rsidP="00E2763A">
            <w:pPr>
              <w:pStyle w:val="TableParagraph"/>
              <w:tabs>
                <w:tab w:val="left" w:pos="0"/>
              </w:tabs>
              <w:spacing w:line="276" w:lineRule="auto"/>
              <w:rPr>
                <w:sz w:val="20"/>
                <w:szCs w:val="20"/>
                <w:lang w:val="mn-MN"/>
              </w:rPr>
            </w:pPr>
            <w:r w:rsidRPr="00731F96">
              <w:rPr>
                <w:sz w:val="20"/>
                <w:szCs w:val="20"/>
                <w:lang w:val="mn-MN"/>
              </w:rPr>
              <w:t>PMU computes V &amp; I synchrophasors</w:t>
            </w:r>
          </w:p>
        </w:tc>
      </w:tr>
      <w:tr w:rsidR="00E2763A" w:rsidRPr="00731F96" w:rsidTr="00A71B0E">
        <w:tc>
          <w:tcPr>
            <w:tcW w:w="1980" w:type="dxa"/>
          </w:tcPr>
          <w:p w:rsidR="00E2763A" w:rsidRPr="00EF2D2B" w:rsidRDefault="00E2763A" w:rsidP="00E2763A">
            <w:pPr>
              <w:pStyle w:val="TableParagraph"/>
              <w:tabs>
                <w:tab w:val="left" w:pos="0"/>
              </w:tabs>
              <w:spacing w:before="58" w:line="276" w:lineRule="auto"/>
              <w:rPr>
                <w:sz w:val="20"/>
                <w:szCs w:val="20"/>
                <w:lang w:val="mn-MN"/>
              </w:rPr>
            </w:pPr>
            <w:r w:rsidRPr="00EF2D2B">
              <w:rPr>
                <w:sz w:val="20"/>
                <w:szCs w:val="20"/>
                <w:lang w:val="mn-MN"/>
              </w:rPr>
              <w:t>Step 2</w:t>
            </w:r>
          </w:p>
        </w:tc>
        <w:tc>
          <w:tcPr>
            <w:tcW w:w="7364" w:type="dxa"/>
          </w:tcPr>
          <w:p w:rsidR="00E2763A" w:rsidRPr="00731F96" w:rsidRDefault="00E2763A" w:rsidP="00E2763A">
            <w:pPr>
              <w:pStyle w:val="TableParagraph"/>
              <w:tabs>
                <w:tab w:val="left" w:pos="0"/>
              </w:tabs>
              <w:spacing w:line="276" w:lineRule="auto"/>
              <w:rPr>
                <w:sz w:val="20"/>
                <w:szCs w:val="20"/>
                <w:lang w:val="mn-MN"/>
              </w:rPr>
            </w:pPr>
            <w:r w:rsidRPr="00731F96">
              <w:rPr>
                <w:sz w:val="20"/>
                <w:szCs w:val="20"/>
                <w:lang w:val="mn-MN"/>
              </w:rPr>
              <w:t>PMU selects phasors at given output rate</w:t>
            </w:r>
          </w:p>
        </w:tc>
      </w:tr>
      <w:tr w:rsidR="00E2763A" w:rsidRPr="00731F96" w:rsidTr="00A71B0E">
        <w:tc>
          <w:tcPr>
            <w:tcW w:w="19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Step 3</w:t>
            </w:r>
          </w:p>
        </w:tc>
        <w:tc>
          <w:tcPr>
            <w:tcW w:w="7364" w:type="dxa"/>
          </w:tcPr>
          <w:p w:rsidR="00E2763A" w:rsidRPr="00EF2D2B" w:rsidRDefault="00E2763A" w:rsidP="00E2763A">
            <w:pPr>
              <w:pStyle w:val="TableParagraph"/>
              <w:tabs>
                <w:tab w:val="left" w:pos="0"/>
              </w:tabs>
              <w:spacing w:line="276" w:lineRule="auto"/>
              <w:rPr>
                <w:sz w:val="20"/>
                <w:szCs w:val="20"/>
                <w:lang w:val="mn-MN"/>
              </w:rPr>
            </w:pPr>
            <w:r w:rsidRPr="00731F96">
              <w:rPr>
                <w:sz w:val="20"/>
                <w:szCs w:val="20"/>
                <w:lang w:val="mn-MN"/>
              </w:rPr>
              <w:t>PMU packages d</w:t>
            </w:r>
            <w:r w:rsidRPr="00EF2D2B">
              <w:rPr>
                <w:sz w:val="20"/>
                <w:szCs w:val="20"/>
                <w:lang w:val="mn-MN"/>
              </w:rPr>
              <w:t>ata with appropriate status and time stamp</w:t>
            </w:r>
          </w:p>
        </w:tc>
      </w:tr>
      <w:tr w:rsidR="00E2763A" w:rsidRPr="00731F96" w:rsidTr="00A71B0E">
        <w:tc>
          <w:tcPr>
            <w:tcW w:w="19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Step 4</w:t>
            </w:r>
          </w:p>
        </w:tc>
        <w:tc>
          <w:tcPr>
            <w:tcW w:w="7364" w:type="dxa"/>
          </w:tcPr>
          <w:p w:rsidR="00E2763A" w:rsidRPr="00731F96" w:rsidRDefault="00E2763A" w:rsidP="00E2763A">
            <w:pPr>
              <w:pStyle w:val="TableParagraph"/>
              <w:tabs>
                <w:tab w:val="left" w:pos="0"/>
              </w:tabs>
              <w:spacing w:line="276" w:lineRule="auto"/>
              <w:rPr>
                <w:sz w:val="20"/>
                <w:szCs w:val="20"/>
                <w:lang w:val="mn-MN"/>
              </w:rPr>
            </w:pPr>
            <w:r w:rsidRPr="00731F96">
              <w:rPr>
                <w:sz w:val="20"/>
                <w:szCs w:val="20"/>
                <w:lang w:val="mn-MN"/>
              </w:rPr>
              <w:t>PMU sends data to the IED</w:t>
            </w:r>
          </w:p>
        </w:tc>
      </w:tr>
    </w:tbl>
    <w:p w:rsidR="00E2763A" w:rsidRDefault="00E2763A" w:rsidP="00E2763A">
      <w:pPr>
        <w:spacing w:after="0" w:line="240" w:lineRule="auto"/>
        <w:ind w:left="0" w:firstLine="0"/>
        <w:rPr>
          <w:b/>
          <w:bCs/>
          <w:color w:val="000000"/>
          <w:shd w:val="clear" w:color="auto" w:fill="FFFFFF"/>
          <w:lang w:val="en-US"/>
        </w:rPr>
      </w:pPr>
    </w:p>
    <w:p w:rsidR="00E2763A" w:rsidRPr="00E2763A" w:rsidRDefault="00E2763A" w:rsidP="00E2763A">
      <w:pPr>
        <w:widowControl w:val="0"/>
        <w:tabs>
          <w:tab w:val="left" w:pos="0"/>
          <w:tab w:val="left" w:pos="1524"/>
          <w:tab w:val="right" w:leader="dot" w:pos="9618"/>
        </w:tabs>
        <w:autoSpaceDE w:val="0"/>
        <w:autoSpaceDN w:val="0"/>
        <w:spacing w:before="60" w:after="0"/>
        <w:ind w:left="0" w:firstLine="0"/>
      </w:pPr>
      <w:r w:rsidRPr="00E2763A">
        <w:t>IED –ийн үйл ажиллагаа</w:t>
      </w:r>
    </w:p>
    <w:tbl>
      <w:tblPr>
        <w:tblStyle w:val="TableGrid"/>
        <w:tblW w:w="0" w:type="auto"/>
        <w:tblLook w:val="04A0" w:firstRow="1" w:lastRow="0" w:firstColumn="1" w:lastColumn="0" w:noHBand="0" w:noVBand="1"/>
      </w:tblPr>
      <w:tblGrid>
        <w:gridCol w:w="1880"/>
        <w:gridCol w:w="7464"/>
      </w:tblGrid>
      <w:tr w:rsidR="00E2763A" w:rsidRPr="00EF2D2B" w:rsidTr="00A71B0E">
        <w:tc>
          <w:tcPr>
            <w:tcW w:w="1880" w:type="dxa"/>
          </w:tcPr>
          <w:p w:rsidR="00E2763A" w:rsidRPr="00EF2D2B" w:rsidRDefault="00E2763A"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E2763A" w:rsidRPr="00731F96" w:rsidRDefault="00E2763A"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E2763A" w:rsidRPr="00731F96" w:rsidTr="00A71B0E">
        <w:tc>
          <w:tcPr>
            <w:tcW w:w="18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IED нь синхрофазор өгөгдлийг хүлээн авч, өгөгдлийг баталгаажуулдаг</w:t>
            </w:r>
          </w:p>
        </w:tc>
      </w:tr>
      <w:tr w:rsidR="00E2763A" w:rsidRPr="00731F96" w:rsidTr="00A71B0E">
        <w:tc>
          <w:tcPr>
            <w:tcW w:w="18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lastRenderedPageBreak/>
              <w:t>Алхам 2</w:t>
            </w:r>
          </w:p>
        </w:tc>
        <w:tc>
          <w:tcPr>
            <w:tcW w:w="7464"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IED нь хоёр системийн хоорондох хүчдэлийн өнцгийн зөрүүг тооцоолно</w:t>
            </w:r>
          </w:p>
        </w:tc>
      </w:tr>
      <w:tr w:rsidR="00E2763A" w:rsidRPr="00731F96" w:rsidTr="00A71B0E">
        <w:tc>
          <w:tcPr>
            <w:tcW w:w="18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IED нь хоёр системийн хоорондох хүчдэлийн өнцгийн зөрүүг 150 мс - 200 мс гэж тооцоолно</w:t>
            </w:r>
          </w:p>
        </w:tc>
      </w:tr>
      <w:tr w:rsidR="00E2763A" w:rsidRPr="00731F96" w:rsidTr="00A71B0E">
        <w:tc>
          <w:tcPr>
            <w:tcW w:w="1880" w:type="dxa"/>
          </w:tcPr>
          <w:p w:rsidR="00E2763A" w:rsidRPr="00EF2D2B" w:rsidRDefault="00E2763A" w:rsidP="00E2763A">
            <w:pPr>
              <w:pStyle w:val="TableParagraph"/>
              <w:tabs>
                <w:tab w:val="left" w:pos="0"/>
              </w:tabs>
              <w:spacing w:line="276" w:lineRule="auto"/>
              <w:rPr>
                <w:sz w:val="20"/>
                <w:szCs w:val="20"/>
                <w:lang w:val="mn-MN"/>
              </w:rPr>
            </w:pPr>
            <w:r>
              <w:rPr>
                <w:sz w:val="20"/>
                <w:szCs w:val="20"/>
                <w:lang w:val="mn-MN"/>
              </w:rPr>
              <w:t>Алхам 4</w:t>
            </w:r>
          </w:p>
        </w:tc>
        <w:tc>
          <w:tcPr>
            <w:tcW w:w="7464"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 xml:space="preserve">Хэрэв тооцоолсон өнцгүүд урьдчилан тодорхойлсон утгаас давсан бол IED нь хоёр системийн хоорондоо хязгаараас гарах бөгөөд системийн аль нэг хэсгийг </w:t>
            </w:r>
            <w:r w:rsidRPr="00731F96">
              <w:rPr>
                <w:sz w:val="20"/>
                <w:szCs w:val="20"/>
                <w:lang w:val="mn-MN"/>
              </w:rPr>
              <w:t>тасална</w:t>
            </w:r>
            <w:r w:rsidRPr="00EF2D2B">
              <w:rPr>
                <w:sz w:val="20"/>
                <w:szCs w:val="20"/>
                <w:lang w:val="mn-MN"/>
              </w:rPr>
              <w:t>.</w:t>
            </w:r>
          </w:p>
        </w:tc>
      </w:tr>
    </w:tbl>
    <w:p w:rsidR="00E2763A" w:rsidRPr="00E2763A" w:rsidRDefault="00E2763A" w:rsidP="00E2763A">
      <w:pPr>
        <w:widowControl w:val="0"/>
        <w:tabs>
          <w:tab w:val="left" w:pos="0"/>
          <w:tab w:val="left" w:pos="1524"/>
          <w:tab w:val="right" w:leader="dot" w:pos="9618"/>
        </w:tabs>
        <w:autoSpaceDE w:val="0"/>
        <w:autoSpaceDN w:val="0"/>
        <w:spacing w:before="60" w:after="0"/>
        <w:ind w:left="0" w:firstLine="0"/>
      </w:pPr>
      <w:r w:rsidRPr="00E2763A">
        <w:t>IED actions</w:t>
      </w:r>
    </w:p>
    <w:tbl>
      <w:tblPr>
        <w:tblStyle w:val="TableGrid"/>
        <w:tblW w:w="0" w:type="auto"/>
        <w:tblLook w:val="04A0" w:firstRow="1" w:lastRow="0" w:firstColumn="1" w:lastColumn="0" w:noHBand="0" w:noVBand="1"/>
      </w:tblPr>
      <w:tblGrid>
        <w:gridCol w:w="1880"/>
        <w:gridCol w:w="7464"/>
      </w:tblGrid>
      <w:tr w:rsidR="00E2763A" w:rsidRPr="00731F96" w:rsidTr="00A71B0E">
        <w:tc>
          <w:tcPr>
            <w:tcW w:w="1880" w:type="dxa"/>
          </w:tcPr>
          <w:p w:rsidR="00E2763A" w:rsidRPr="00EF2D2B" w:rsidRDefault="00E2763A"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E2763A" w:rsidRPr="00EF2D2B" w:rsidRDefault="00E2763A"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E2763A" w:rsidRPr="00731F96" w:rsidTr="00A71B0E">
        <w:tc>
          <w:tcPr>
            <w:tcW w:w="18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E2763A" w:rsidRPr="00731F96" w:rsidRDefault="00E2763A" w:rsidP="00E2763A">
            <w:pPr>
              <w:pStyle w:val="TableParagraph"/>
              <w:tabs>
                <w:tab w:val="left" w:pos="0"/>
              </w:tabs>
              <w:spacing w:line="276" w:lineRule="auto"/>
              <w:rPr>
                <w:sz w:val="20"/>
                <w:szCs w:val="20"/>
                <w:lang w:val="mn-MN"/>
              </w:rPr>
            </w:pPr>
            <w:r w:rsidRPr="00731F96">
              <w:rPr>
                <w:sz w:val="20"/>
                <w:szCs w:val="20"/>
                <w:lang w:val="mn-MN"/>
              </w:rPr>
              <w:t>IED receives synchrophasor data and validates the data</w:t>
            </w:r>
          </w:p>
        </w:tc>
      </w:tr>
      <w:tr w:rsidR="00E2763A" w:rsidRPr="00731F96" w:rsidTr="00A71B0E">
        <w:tc>
          <w:tcPr>
            <w:tcW w:w="18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E2763A" w:rsidRPr="00731F96" w:rsidRDefault="00E2763A" w:rsidP="00E2763A">
            <w:pPr>
              <w:pStyle w:val="TableParagraph"/>
              <w:tabs>
                <w:tab w:val="left" w:pos="0"/>
              </w:tabs>
              <w:spacing w:line="276" w:lineRule="auto"/>
              <w:rPr>
                <w:sz w:val="20"/>
                <w:szCs w:val="20"/>
                <w:lang w:val="mn-MN"/>
              </w:rPr>
            </w:pPr>
            <w:r w:rsidRPr="00731F96">
              <w:rPr>
                <w:sz w:val="20"/>
                <w:szCs w:val="20"/>
                <w:lang w:val="mn-MN"/>
              </w:rPr>
              <w:t>IED computes the voltage angular difference between two systems</w:t>
            </w:r>
          </w:p>
        </w:tc>
      </w:tr>
      <w:tr w:rsidR="00E2763A" w:rsidRPr="00731F96" w:rsidTr="00A71B0E">
        <w:tc>
          <w:tcPr>
            <w:tcW w:w="1880" w:type="dxa"/>
          </w:tcPr>
          <w:p w:rsidR="00E2763A" w:rsidRPr="00EF2D2B" w:rsidRDefault="00E2763A" w:rsidP="00E2763A">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E2763A" w:rsidRPr="00EF2D2B" w:rsidRDefault="00E2763A" w:rsidP="00E2763A">
            <w:pPr>
              <w:pStyle w:val="TableParagraph"/>
              <w:tabs>
                <w:tab w:val="left" w:pos="0"/>
              </w:tabs>
              <w:spacing w:line="276" w:lineRule="auto"/>
              <w:rPr>
                <w:sz w:val="20"/>
                <w:szCs w:val="20"/>
                <w:lang w:val="mn-MN"/>
              </w:rPr>
            </w:pPr>
            <w:r w:rsidRPr="00731F96">
              <w:rPr>
                <w:sz w:val="20"/>
                <w:szCs w:val="20"/>
                <w:lang w:val="mn-MN"/>
              </w:rPr>
              <w:t>IED predicts the voltage angular difference b</w:t>
            </w:r>
            <w:r w:rsidRPr="00EF2D2B">
              <w:rPr>
                <w:sz w:val="20"/>
                <w:szCs w:val="20"/>
                <w:lang w:val="mn-MN"/>
              </w:rPr>
              <w:t>etween two systems 150 ms – 200 ms ahead</w:t>
            </w:r>
          </w:p>
        </w:tc>
      </w:tr>
      <w:tr w:rsidR="00E2763A" w:rsidRPr="00731F96" w:rsidTr="00A71B0E">
        <w:tc>
          <w:tcPr>
            <w:tcW w:w="1880" w:type="dxa"/>
          </w:tcPr>
          <w:p w:rsidR="00E2763A" w:rsidRPr="00EF2D2B" w:rsidRDefault="00E2763A" w:rsidP="00E2763A">
            <w:pPr>
              <w:pStyle w:val="TableParagraph"/>
              <w:tabs>
                <w:tab w:val="left" w:pos="0"/>
              </w:tabs>
              <w:spacing w:line="276" w:lineRule="auto"/>
              <w:rPr>
                <w:sz w:val="20"/>
                <w:szCs w:val="20"/>
                <w:lang w:val="mn-MN"/>
              </w:rPr>
            </w:pPr>
            <w:r>
              <w:rPr>
                <w:sz w:val="20"/>
                <w:szCs w:val="20"/>
                <w:lang w:val="mn-MN"/>
              </w:rPr>
              <w:t>Step 4</w:t>
            </w:r>
          </w:p>
        </w:tc>
        <w:tc>
          <w:tcPr>
            <w:tcW w:w="7464" w:type="dxa"/>
          </w:tcPr>
          <w:p w:rsidR="00E2763A" w:rsidRPr="00731F96" w:rsidRDefault="00E2763A" w:rsidP="00E2763A">
            <w:pPr>
              <w:pStyle w:val="TableParagraph"/>
              <w:tabs>
                <w:tab w:val="left" w:pos="0"/>
              </w:tabs>
              <w:spacing w:line="276" w:lineRule="auto"/>
              <w:rPr>
                <w:sz w:val="20"/>
                <w:szCs w:val="20"/>
                <w:lang w:val="mn-MN"/>
              </w:rPr>
            </w:pPr>
            <w:r w:rsidRPr="00731F96">
              <w:rPr>
                <w:sz w:val="20"/>
                <w:szCs w:val="20"/>
                <w:lang w:val="mn-MN"/>
              </w:rPr>
              <w:t>If the predicted angles exceed the pre-determined values, then the IED judges that an out-of- step between two systems will occur and splits part of either system</w:t>
            </w:r>
          </w:p>
        </w:tc>
      </w:tr>
    </w:tbl>
    <w:p w:rsidR="00E2763A" w:rsidRDefault="00E2763A" w:rsidP="00E2763A">
      <w:pPr>
        <w:ind w:left="0" w:firstLine="0"/>
        <w:jc w:val="left"/>
        <w:rPr>
          <w:lang w:val="en-US"/>
        </w:rPr>
      </w:pPr>
    </w:p>
    <w:tbl>
      <w:tblPr>
        <w:tblStyle w:val="TableGrid"/>
        <w:tblW w:w="0" w:type="auto"/>
        <w:tblLook w:val="04A0" w:firstRow="1" w:lastRow="0" w:firstColumn="1" w:lastColumn="0" w:noHBand="0" w:noVBand="1"/>
      </w:tblPr>
      <w:tblGrid>
        <w:gridCol w:w="4672"/>
        <w:gridCol w:w="4672"/>
      </w:tblGrid>
      <w:tr w:rsidR="00E2763A" w:rsidTr="00E2763A">
        <w:tc>
          <w:tcPr>
            <w:tcW w:w="4672" w:type="dxa"/>
          </w:tcPr>
          <w:p w:rsidR="00E2763A" w:rsidRPr="00E2763A" w:rsidRDefault="00E2763A" w:rsidP="00E2763A">
            <w:pPr>
              <w:tabs>
                <w:tab w:val="left" w:pos="0"/>
              </w:tabs>
              <w:ind w:left="0" w:firstLine="0"/>
              <w:rPr>
                <w:rFonts w:eastAsia="Calibri"/>
                <w:b/>
                <w:bCs/>
                <w:szCs w:val="22"/>
              </w:rPr>
            </w:pPr>
            <w:r w:rsidRPr="00E2763A">
              <w:rPr>
                <w:rFonts w:eastAsia="Calibri"/>
                <w:b/>
                <w:bCs/>
                <w:szCs w:val="22"/>
              </w:rPr>
              <w:t>Хязгаарын шаардлага:</w:t>
            </w:r>
          </w:p>
          <w:p w:rsidR="00E2763A" w:rsidRPr="00E2763A" w:rsidRDefault="00E2763A" w:rsidP="00E2763A">
            <w:pPr>
              <w:tabs>
                <w:tab w:val="left" w:pos="0"/>
              </w:tabs>
              <w:ind w:left="0" w:firstLine="0"/>
              <w:rPr>
                <w:rFonts w:eastAsia="Calibri"/>
                <w:bCs/>
                <w:szCs w:val="22"/>
              </w:rPr>
            </w:pPr>
            <w:r w:rsidRPr="00E2763A">
              <w:rPr>
                <w:rFonts w:eastAsia="Calibri"/>
                <w:bCs/>
                <w:szCs w:val="22"/>
              </w:rPr>
              <w:t>Удирдлагын үйл ажиллагаа тодорхой хугацаанд хийгдэх ёстой.Энэ аппликейшин нь цаашид хүчдэлийн өнцгийн зөрүүг 150 м-ээс 200 мс гэж тооцоолно.Урьдчилан тооцоолсон өнцгүүд нь урьдчилан тодорхойлсон утгаас давсан тохиолдолд,системийг хэсгийг таслахыг удирдлага гүйцэтгэдэг.</w:t>
            </w:r>
          </w:p>
          <w:p w:rsidR="00E2763A" w:rsidRPr="00E2763A" w:rsidRDefault="00E2763A" w:rsidP="00E2763A">
            <w:pPr>
              <w:tabs>
                <w:tab w:val="left" w:pos="0"/>
              </w:tabs>
              <w:ind w:left="0" w:firstLine="0"/>
              <w:rPr>
                <w:rFonts w:eastAsia="Calibri"/>
                <w:bCs/>
                <w:szCs w:val="22"/>
              </w:rPr>
            </w:pPr>
            <w:r w:rsidRPr="00E2763A">
              <w:rPr>
                <w:rFonts w:eastAsia="Calibri"/>
                <w:bCs/>
                <w:szCs w:val="22"/>
              </w:rPr>
              <w:t>Харилцаа холбооны саатал (хоцролт)-ын хугацааны шаардлагыг IED-ийн гаралтын хугацаа ба CB-ийн ажиллах хугацааг харгалзан дараах хүснэгтэд үзүүлэв; мэдээлэл дамжуулах өндөр найдвартай байдлыг мөн шаарддаг. Цаашилбал, өндөр нарийвчлалын хэмжилт нь дараах хүснэгтэд заасан зөвшөөрөгдсөн хамгийн их хугацааны алдаатай байх шаардлагатай бөгөөд ингэснээр IED нь олон тооны PMU-ийн хоорондох өнцгийг харьцуулж үзнэ.</w:t>
            </w:r>
          </w:p>
        </w:tc>
        <w:tc>
          <w:tcPr>
            <w:tcW w:w="4672" w:type="dxa"/>
          </w:tcPr>
          <w:p w:rsidR="00E2763A" w:rsidRPr="00E2763A" w:rsidRDefault="00E2763A" w:rsidP="00E2763A">
            <w:pPr>
              <w:tabs>
                <w:tab w:val="left" w:pos="0"/>
              </w:tabs>
              <w:ind w:left="0" w:firstLine="0"/>
              <w:rPr>
                <w:rFonts w:eastAsia="Calibri"/>
                <w:b/>
                <w:bCs/>
                <w:szCs w:val="22"/>
              </w:rPr>
            </w:pPr>
            <w:r w:rsidRPr="00E2763A">
              <w:rPr>
                <w:rFonts w:eastAsia="Calibri"/>
                <w:b/>
                <w:bCs/>
                <w:szCs w:val="22"/>
              </w:rPr>
              <w:t>Constraints:</w:t>
            </w:r>
          </w:p>
          <w:p w:rsidR="00E2763A" w:rsidRPr="00E2763A" w:rsidRDefault="00E2763A" w:rsidP="00E2763A">
            <w:pPr>
              <w:tabs>
                <w:tab w:val="left" w:pos="0"/>
              </w:tabs>
              <w:ind w:left="0" w:firstLine="0"/>
              <w:rPr>
                <w:rFonts w:eastAsia="Calibri"/>
                <w:bCs/>
                <w:szCs w:val="22"/>
              </w:rPr>
            </w:pPr>
            <w:r w:rsidRPr="00E2763A">
              <w:rPr>
                <w:rFonts w:eastAsia="Calibri"/>
                <w:bCs/>
                <w:szCs w:val="22"/>
              </w:rPr>
              <w:t>Control actions must take place within a limited time. This application predicts the voltage angular difference 150 ms to 200 ms in the future. When the predicted angles exceed pre- determined values, control is executed to split part of the systems.</w:t>
            </w:r>
          </w:p>
          <w:p w:rsidR="00E2763A" w:rsidRPr="00E2763A" w:rsidRDefault="00E2763A" w:rsidP="00E2763A">
            <w:pPr>
              <w:tabs>
                <w:tab w:val="left" w:pos="0"/>
              </w:tabs>
              <w:ind w:left="0" w:firstLine="0"/>
              <w:rPr>
                <w:rFonts w:eastAsia="Calibri"/>
                <w:bCs/>
                <w:szCs w:val="22"/>
              </w:rPr>
            </w:pPr>
            <w:r w:rsidRPr="00E2763A">
              <w:rPr>
                <w:rFonts w:eastAsia="Calibri"/>
                <w:bCs/>
                <w:szCs w:val="22"/>
              </w:rPr>
              <w:t>The requirement for communication delay (latency) time is shown in the following table with consideration being given to the output time of the IED and operation time of CBs; high reliability data communication is also required. Furthermore, high accuracy measurement is required with the maximum timing error permissible shown in the following table so that  the  IED compares the angles among plural PMUs</w:t>
            </w:r>
          </w:p>
        </w:tc>
      </w:tr>
    </w:tbl>
    <w:p w:rsidR="00E2763A" w:rsidRDefault="00E2763A" w:rsidP="00E2763A">
      <w:pPr>
        <w:ind w:left="0" w:firstLine="0"/>
        <w:jc w:val="left"/>
        <w:rPr>
          <w:lang w:val="en-US"/>
        </w:rPr>
      </w:pPr>
    </w:p>
    <w:p w:rsidR="00E2763A" w:rsidRDefault="00E2763A" w:rsidP="00E2763A">
      <w:pPr>
        <w:ind w:left="0" w:firstLine="0"/>
        <w:jc w:val="left"/>
        <w:rPr>
          <w:lang w:val="en-US"/>
        </w:rPr>
      </w:pPr>
    </w:p>
    <w:tbl>
      <w:tblPr>
        <w:tblStyle w:val="TableGrid"/>
        <w:tblW w:w="0" w:type="auto"/>
        <w:tblLook w:val="04A0" w:firstRow="1" w:lastRow="0" w:firstColumn="1" w:lastColumn="0" w:noHBand="0" w:noVBand="1"/>
      </w:tblPr>
      <w:tblGrid>
        <w:gridCol w:w="2405"/>
        <w:gridCol w:w="3605"/>
        <w:gridCol w:w="3334"/>
      </w:tblGrid>
      <w:tr w:rsidR="00E2763A" w:rsidTr="00E2763A">
        <w:tc>
          <w:tcPr>
            <w:tcW w:w="2405"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Хамгийн бага хурд</w:t>
            </w:r>
          </w:p>
        </w:tc>
        <w:tc>
          <w:tcPr>
            <w:tcW w:w="3605"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мэдээлэл дамжуулах саатал (хоцролт)-ын зөвшөөрөгдөх хугацаа</w:t>
            </w:r>
          </w:p>
        </w:tc>
        <w:tc>
          <w:tcPr>
            <w:tcW w:w="3334" w:type="dxa"/>
          </w:tcPr>
          <w:p w:rsidR="00E2763A" w:rsidRPr="00E2763A" w:rsidRDefault="00E2763A" w:rsidP="00E2763A">
            <w:pPr>
              <w:tabs>
                <w:tab w:val="left" w:pos="0"/>
              </w:tabs>
              <w:ind w:left="0" w:firstLine="0"/>
              <w:jc w:val="center"/>
              <w:rPr>
                <w:rFonts w:eastAsia="Calibri"/>
                <w:b/>
                <w:bCs/>
                <w:sz w:val="20"/>
                <w:szCs w:val="20"/>
              </w:rPr>
            </w:pPr>
            <w:r w:rsidRPr="00E2763A">
              <w:rPr>
                <w:rFonts w:eastAsia="Calibri"/>
                <w:b/>
                <w:bCs/>
                <w:sz w:val="20"/>
                <w:szCs w:val="20"/>
              </w:rPr>
              <w:t>Хэмжилтийн хугацааны хамгийн их алдаа</w:t>
            </w:r>
          </w:p>
        </w:tc>
      </w:tr>
      <w:tr w:rsidR="00E2763A" w:rsidTr="00E2763A">
        <w:tc>
          <w:tcPr>
            <w:tcW w:w="2405" w:type="dxa"/>
          </w:tcPr>
          <w:p w:rsidR="00E2763A" w:rsidRPr="00EF2D2B" w:rsidRDefault="00E2763A" w:rsidP="00E2763A">
            <w:pPr>
              <w:pStyle w:val="TableParagraph"/>
              <w:tabs>
                <w:tab w:val="left" w:pos="0"/>
              </w:tabs>
              <w:spacing w:line="276" w:lineRule="auto"/>
              <w:ind w:left="98"/>
              <w:jc w:val="center"/>
              <w:rPr>
                <w:sz w:val="20"/>
                <w:szCs w:val="20"/>
                <w:lang w:val="mn-MN"/>
              </w:rPr>
            </w:pPr>
            <w:r w:rsidRPr="00EF2D2B">
              <w:rPr>
                <w:spacing w:val="6"/>
                <w:sz w:val="20"/>
                <w:szCs w:val="20"/>
                <w:lang w:val="mn-MN"/>
              </w:rPr>
              <w:t>25/секунд</w:t>
            </w:r>
            <w:r w:rsidRPr="00EF2D2B">
              <w:rPr>
                <w:sz w:val="20"/>
                <w:szCs w:val="20"/>
                <w:lang w:val="mn-MN"/>
              </w:rPr>
              <w:t xml:space="preserve">  </w:t>
            </w:r>
            <w:r w:rsidRPr="00EF2D2B">
              <w:rPr>
                <w:spacing w:val="3"/>
                <w:sz w:val="20"/>
                <w:szCs w:val="20"/>
                <w:lang w:val="mn-MN"/>
              </w:rPr>
              <w:t xml:space="preserve">50 </w:t>
            </w:r>
            <w:r w:rsidRPr="00EF2D2B">
              <w:rPr>
                <w:spacing w:val="6"/>
                <w:sz w:val="20"/>
                <w:szCs w:val="20"/>
                <w:lang w:val="mn-MN"/>
              </w:rPr>
              <w:t>Hz</w:t>
            </w:r>
          </w:p>
          <w:p w:rsidR="00E2763A" w:rsidRPr="00EF2D2B" w:rsidRDefault="00E2763A" w:rsidP="00E2763A">
            <w:pPr>
              <w:pStyle w:val="TableParagraph"/>
              <w:tabs>
                <w:tab w:val="left" w:pos="0"/>
              </w:tabs>
              <w:spacing w:before="121" w:line="276" w:lineRule="auto"/>
              <w:ind w:left="98"/>
              <w:jc w:val="center"/>
              <w:rPr>
                <w:sz w:val="20"/>
                <w:szCs w:val="20"/>
                <w:lang w:val="mn-MN"/>
              </w:rPr>
            </w:pPr>
            <w:r w:rsidRPr="00731F96">
              <w:rPr>
                <w:spacing w:val="6"/>
                <w:sz w:val="20"/>
                <w:szCs w:val="20"/>
                <w:lang w:val="mn-MN"/>
              </w:rPr>
              <w:t>30/ секунд</w:t>
            </w:r>
            <w:r w:rsidRPr="00EF2D2B">
              <w:rPr>
                <w:sz w:val="20"/>
                <w:szCs w:val="20"/>
                <w:lang w:val="mn-MN"/>
              </w:rPr>
              <w:t xml:space="preserve">  </w:t>
            </w:r>
            <w:r w:rsidRPr="00EF2D2B">
              <w:rPr>
                <w:spacing w:val="3"/>
                <w:sz w:val="20"/>
                <w:szCs w:val="20"/>
                <w:lang w:val="mn-MN"/>
              </w:rPr>
              <w:t xml:space="preserve">60 </w:t>
            </w:r>
            <w:r w:rsidRPr="00EF2D2B">
              <w:rPr>
                <w:spacing w:val="6"/>
                <w:sz w:val="20"/>
                <w:szCs w:val="20"/>
                <w:lang w:val="mn-MN"/>
              </w:rPr>
              <w:t>Hz</w:t>
            </w:r>
          </w:p>
        </w:tc>
        <w:tc>
          <w:tcPr>
            <w:tcW w:w="3605" w:type="dxa"/>
          </w:tcPr>
          <w:p w:rsidR="00E2763A" w:rsidRPr="00EF2D2B" w:rsidRDefault="00E2763A" w:rsidP="00E2763A">
            <w:pPr>
              <w:pStyle w:val="TableParagraph"/>
              <w:tabs>
                <w:tab w:val="left" w:pos="0"/>
              </w:tabs>
              <w:spacing w:line="276" w:lineRule="auto"/>
              <w:ind w:right="1534"/>
              <w:jc w:val="center"/>
              <w:rPr>
                <w:sz w:val="20"/>
                <w:szCs w:val="20"/>
                <w:lang w:val="mn-MN"/>
              </w:rPr>
            </w:pPr>
            <w:r w:rsidRPr="00EF2D2B">
              <w:rPr>
                <w:sz w:val="20"/>
                <w:szCs w:val="20"/>
                <w:lang w:val="mn-MN"/>
              </w:rPr>
              <w:t>20 мс</w:t>
            </w:r>
          </w:p>
        </w:tc>
        <w:tc>
          <w:tcPr>
            <w:tcW w:w="3334" w:type="dxa"/>
          </w:tcPr>
          <w:p w:rsidR="00E2763A" w:rsidRPr="00EF2D2B" w:rsidRDefault="00E2763A" w:rsidP="00E2763A">
            <w:pPr>
              <w:pStyle w:val="TableParagraph"/>
              <w:tabs>
                <w:tab w:val="left" w:pos="0"/>
              </w:tabs>
              <w:spacing w:line="276" w:lineRule="auto"/>
              <w:ind w:right="1364"/>
              <w:jc w:val="center"/>
              <w:rPr>
                <w:sz w:val="20"/>
                <w:szCs w:val="20"/>
                <w:lang w:val="mn-MN"/>
              </w:rPr>
            </w:pPr>
            <w:r w:rsidRPr="00EF2D2B">
              <w:rPr>
                <w:sz w:val="20"/>
                <w:szCs w:val="20"/>
                <w:lang w:val="mn-MN"/>
              </w:rPr>
              <w:t>0,05 мс</w:t>
            </w:r>
          </w:p>
        </w:tc>
      </w:tr>
    </w:tbl>
    <w:p w:rsidR="00E2763A" w:rsidRDefault="00E2763A" w:rsidP="00E2763A">
      <w:pPr>
        <w:ind w:left="0" w:firstLine="0"/>
        <w:jc w:val="center"/>
        <w:rPr>
          <w:b/>
          <w:lang w:val="en-US"/>
        </w:rPr>
      </w:pPr>
    </w:p>
    <w:p w:rsidR="00E2763A" w:rsidRDefault="00E2763A" w:rsidP="00E2763A">
      <w:pPr>
        <w:ind w:left="0" w:firstLine="0"/>
        <w:jc w:val="center"/>
        <w:rPr>
          <w:b/>
          <w:lang w:val="en-US"/>
        </w:rPr>
      </w:pPr>
    </w:p>
    <w:p w:rsidR="00E2763A" w:rsidRDefault="00E2763A" w:rsidP="00E2763A">
      <w:pPr>
        <w:ind w:left="0" w:firstLine="0"/>
        <w:jc w:val="center"/>
        <w:rPr>
          <w:b/>
          <w:lang w:val="en-US"/>
        </w:rPr>
      </w:pPr>
    </w:p>
    <w:tbl>
      <w:tblPr>
        <w:tblStyle w:val="TableGrid"/>
        <w:tblW w:w="0" w:type="auto"/>
        <w:tblLook w:val="04A0" w:firstRow="1" w:lastRow="0" w:firstColumn="1" w:lastColumn="0" w:noHBand="0" w:noVBand="1"/>
      </w:tblPr>
      <w:tblGrid>
        <w:gridCol w:w="2485"/>
        <w:gridCol w:w="3706"/>
        <w:gridCol w:w="3153"/>
      </w:tblGrid>
      <w:tr w:rsidR="00E2763A" w:rsidRPr="00E2763A" w:rsidTr="00A71B0E">
        <w:tc>
          <w:tcPr>
            <w:tcW w:w="2485" w:type="dxa"/>
          </w:tcPr>
          <w:p w:rsidR="00E2763A" w:rsidRPr="00731F96" w:rsidRDefault="00E2763A" w:rsidP="00E2763A">
            <w:pPr>
              <w:pStyle w:val="TableParagraph"/>
              <w:tabs>
                <w:tab w:val="left" w:pos="0"/>
              </w:tabs>
              <w:spacing w:before="53" w:line="276" w:lineRule="auto"/>
              <w:ind w:left="515"/>
              <w:rPr>
                <w:b/>
                <w:sz w:val="20"/>
                <w:szCs w:val="20"/>
                <w:lang w:val="mn-MN"/>
              </w:rPr>
            </w:pPr>
            <w:r w:rsidRPr="00731F96">
              <w:rPr>
                <w:b/>
                <w:sz w:val="20"/>
                <w:szCs w:val="20"/>
                <w:lang w:val="mn-MN"/>
              </w:rPr>
              <w:t>Minimum rate</w:t>
            </w:r>
          </w:p>
        </w:tc>
        <w:tc>
          <w:tcPr>
            <w:tcW w:w="3706" w:type="dxa"/>
          </w:tcPr>
          <w:p w:rsidR="00E2763A" w:rsidRPr="00EF2D2B" w:rsidRDefault="00E2763A" w:rsidP="00E2763A">
            <w:pPr>
              <w:pStyle w:val="TableParagraph"/>
              <w:tabs>
                <w:tab w:val="left" w:pos="0"/>
                <w:tab w:val="left" w:pos="3509"/>
              </w:tabs>
              <w:spacing w:before="53" w:line="276" w:lineRule="auto"/>
              <w:ind w:left="249" w:right="46" w:hanging="257"/>
              <w:jc w:val="center"/>
              <w:rPr>
                <w:b/>
                <w:sz w:val="20"/>
                <w:szCs w:val="20"/>
                <w:lang w:val="mn-MN"/>
              </w:rPr>
            </w:pPr>
            <w:r w:rsidRPr="00EF2D2B">
              <w:rPr>
                <w:b/>
                <w:sz w:val="20"/>
                <w:szCs w:val="20"/>
                <w:lang w:val="mn-MN"/>
              </w:rPr>
              <w:t>Allowable communication delay (latency) time</w:t>
            </w:r>
          </w:p>
        </w:tc>
        <w:tc>
          <w:tcPr>
            <w:tcW w:w="3153" w:type="dxa"/>
          </w:tcPr>
          <w:p w:rsidR="00E2763A" w:rsidRPr="00EF2D2B" w:rsidRDefault="00E2763A" w:rsidP="00E2763A">
            <w:pPr>
              <w:pStyle w:val="TableParagraph"/>
              <w:tabs>
                <w:tab w:val="left" w:pos="0"/>
                <w:tab w:val="left" w:pos="3509"/>
              </w:tabs>
              <w:spacing w:before="53" w:line="276" w:lineRule="auto"/>
              <w:ind w:left="249" w:right="46" w:hanging="490"/>
              <w:jc w:val="center"/>
              <w:rPr>
                <w:b/>
                <w:sz w:val="20"/>
                <w:szCs w:val="20"/>
                <w:lang w:val="mn-MN"/>
              </w:rPr>
            </w:pPr>
            <w:r w:rsidRPr="00EF2D2B">
              <w:rPr>
                <w:b/>
                <w:sz w:val="20"/>
                <w:szCs w:val="20"/>
                <w:lang w:val="mn-MN"/>
              </w:rPr>
              <w:t>Maximum measurement timing error</w:t>
            </w:r>
          </w:p>
        </w:tc>
      </w:tr>
      <w:tr w:rsidR="00E2763A" w:rsidRPr="00EF2D2B" w:rsidTr="00A71B0E">
        <w:tc>
          <w:tcPr>
            <w:tcW w:w="2485" w:type="dxa"/>
          </w:tcPr>
          <w:p w:rsidR="00E2763A" w:rsidRPr="00EF2D2B" w:rsidRDefault="00E2763A" w:rsidP="00E2763A">
            <w:pPr>
              <w:pStyle w:val="TableParagraph"/>
              <w:tabs>
                <w:tab w:val="left" w:pos="0"/>
              </w:tabs>
              <w:spacing w:line="276" w:lineRule="auto"/>
              <w:ind w:left="98"/>
              <w:jc w:val="center"/>
              <w:rPr>
                <w:sz w:val="20"/>
                <w:szCs w:val="20"/>
                <w:lang w:val="mn-MN"/>
              </w:rPr>
            </w:pPr>
            <w:r w:rsidRPr="00EF2D2B">
              <w:rPr>
                <w:spacing w:val="6"/>
                <w:sz w:val="20"/>
                <w:szCs w:val="20"/>
                <w:lang w:val="mn-MN"/>
              </w:rPr>
              <w:t xml:space="preserve">25/second </w:t>
            </w:r>
            <w:r w:rsidRPr="00EF2D2B">
              <w:rPr>
                <w:sz w:val="20"/>
                <w:szCs w:val="20"/>
                <w:lang w:val="mn-MN"/>
              </w:rPr>
              <w:t xml:space="preserve">  </w:t>
            </w:r>
            <w:r w:rsidRPr="00EF2D2B">
              <w:rPr>
                <w:spacing w:val="3"/>
                <w:sz w:val="20"/>
                <w:szCs w:val="20"/>
                <w:lang w:val="mn-MN"/>
              </w:rPr>
              <w:t xml:space="preserve">50 </w:t>
            </w:r>
            <w:r w:rsidRPr="00731F96">
              <w:rPr>
                <w:spacing w:val="6"/>
                <w:sz w:val="20"/>
                <w:szCs w:val="20"/>
                <w:lang w:val="mn-MN"/>
              </w:rPr>
              <w:t>Hz</w:t>
            </w:r>
          </w:p>
          <w:p w:rsidR="00E2763A" w:rsidRPr="00EF2D2B" w:rsidRDefault="00E2763A" w:rsidP="00E2763A">
            <w:pPr>
              <w:pStyle w:val="TableParagraph"/>
              <w:tabs>
                <w:tab w:val="left" w:pos="0"/>
              </w:tabs>
              <w:spacing w:before="121" w:line="276" w:lineRule="auto"/>
              <w:ind w:left="98"/>
              <w:jc w:val="center"/>
              <w:rPr>
                <w:sz w:val="20"/>
                <w:szCs w:val="20"/>
                <w:lang w:val="mn-MN"/>
              </w:rPr>
            </w:pPr>
            <w:r w:rsidRPr="00EF2D2B">
              <w:rPr>
                <w:spacing w:val="6"/>
                <w:sz w:val="20"/>
                <w:szCs w:val="20"/>
                <w:lang w:val="mn-MN"/>
              </w:rPr>
              <w:t xml:space="preserve">30/second </w:t>
            </w:r>
            <w:r w:rsidRPr="00EF2D2B">
              <w:rPr>
                <w:sz w:val="20"/>
                <w:szCs w:val="20"/>
                <w:lang w:val="mn-MN"/>
              </w:rPr>
              <w:t xml:space="preserve">  </w:t>
            </w:r>
            <w:r w:rsidRPr="00EF2D2B">
              <w:rPr>
                <w:spacing w:val="3"/>
                <w:sz w:val="20"/>
                <w:szCs w:val="20"/>
                <w:lang w:val="mn-MN"/>
              </w:rPr>
              <w:t xml:space="preserve">60 </w:t>
            </w:r>
            <w:r w:rsidRPr="00EF2D2B">
              <w:rPr>
                <w:spacing w:val="6"/>
                <w:sz w:val="20"/>
                <w:szCs w:val="20"/>
                <w:lang w:val="mn-MN"/>
              </w:rPr>
              <w:t>Hz</w:t>
            </w:r>
          </w:p>
        </w:tc>
        <w:tc>
          <w:tcPr>
            <w:tcW w:w="3706" w:type="dxa"/>
          </w:tcPr>
          <w:p w:rsidR="00E2763A" w:rsidRPr="00EF2D2B" w:rsidRDefault="00E2763A" w:rsidP="00E2763A">
            <w:pPr>
              <w:pStyle w:val="TableParagraph"/>
              <w:tabs>
                <w:tab w:val="left" w:pos="0"/>
              </w:tabs>
              <w:spacing w:line="276" w:lineRule="auto"/>
              <w:ind w:right="1534"/>
              <w:jc w:val="center"/>
              <w:rPr>
                <w:sz w:val="20"/>
                <w:szCs w:val="20"/>
                <w:lang w:val="mn-MN"/>
              </w:rPr>
            </w:pPr>
            <w:r w:rsidRPr="00EF2D2B">
              <w:rPr>
                <w:sz w:val="20"/>
                <w:szCs w:val="20"/>
                <w:lang w:val="mn-MN"/>
              </w:rPr>
              <w:t>20 ms</w:t>
            </w:r>
          </w:p>
        </w:tc>
        <w:tc>
          <w:tcPr>
            <w:tcW w:w="3153" w:type="dxa"/>
          </w:tcPr>
          <w:p w:rsidR="00E2763A" w:rsidRPr="00EF2D2B" w:rsidRDefault="00E2763A" w:rsidP="00E2763A">
            <w:pPr>
              <w:pStyle w:val="TableParagraph"/>
              <w:tabs>
                <w:tab w:val="left" w:pos="0"/>
              </w:tabs>
              <w:spacing w:line="276" w:lineRule="auto"/>
              <w:ind w:right="1364"/>
              <w:jc w:val="center"/>
              <w:rPr>
                <w:sz w:val="20"/>
                <w:szCs w:val="20"/>
                <w:lang w:val="mn-MN"/>
              </w:rPr>
            </w:pPr>
            <w:r w:rsidRPr="00EF2D2B">
              <w:rPr>
                <w:sz w:val="20"/>
                <w:szCs w:val="20"/>
                <w:lang w:val="mn-MN"/>
              </w:rPr>
              <w:t>0,05 ms</w:t>
            </w:r>
          </w:p>
        </w:tc>
      </w:tr>
    </w:tbl>
    <w:p w:rsidR="00E2763A" w:rsidRDefault="00E2763A" w:rsidP="00E2763A">
      <w:pPr>
        <w:ind w:left="0" w:firstLine="0"/>
        <w:jc w:val="left"/>
        <w:rPr>
          <w:lang w:val="en-US"/>
        </w:rPr>
      </w:pPr>
    </w:p>
    <w:tbl>
      <w:tblPr>
        <w:tblStyle w:val="TableGrid"/>
        <w:tblW w:w="0" w:type="auto"/>
        <w:tblLook w:val="04A0" w:firstRow="1" w:lastRow="0" w:firstColumn="1" w:lastColumn="0" w:noHBand="0" w:noVBand="1"/>
      </w:tblPr>
      <w:tblGrid>
        <w:gridCol w:w="4672"/>
        <w:gridCol w:w="4672"/>
      </w:tblGrid>
      <w:tr w:rsidR="00E2763A" w:rsidTr="00E2763A">
        <w:tc>
          <w:tcPr>
            <w:tcW w:w="4672" w:type="dxa"/>
          </w:tcPr>
          <w:p w:rsidR="00E2763A" w:rsidRPr="00E2763A" w:rsidRDefault="00E2763A" w:rsidP="00E2763A">
            <w:pPr>
              <w:tabs>
                <w:tab w:val="left" w:pos="0"/>
              </w:tabs>
              <w:ind w:left="0" w:firstLine="0"/>
              <w:rPr>
                <w:rFonts w:eastAsia="Calibri"/>
                <w:b/>
                <w:bCs/>
                <w:szCs w:val="22"/>
              </w:rPr>
            </w:pPr>
            <w:r w:rsidRPr="00E2763A">
              <w:rPr>
                <w:rFonts w:eastAsia="Calibri"/>
                <w:b/>
                <w:bCs/>
                <w:szCs w:val="22"/>
              </w:rPr>
              <w:t>5.9.1 Хүчдэлийн уналтаар ачаалал хязгаарлах</w:t>
            </w:r>
          </w:p>
          <w:p w:rsidR="00E2763A" w:rsidRPr="00E2763A" w:rsidRDefault="00E2763A" w:rsidP="00E2763A">
            <w:pPr>
              <w:tabs>
                <w:tab w:val="left" w:pos="0"/>
              </w:tabs>
              <w:ind w:left="0" w:firstLine="0"/>
              <w:rPr>
                <w:rFonts w:eastAsia="Calibri"/>
                <w:bCs/>
                <w:szCs w:val="22"/>
              </w:rPr>
            </w:pPr>
            <w:r w:rsidRPr="00E2763A">
              <w:rPr>
                <w:rFonts w:eastAsia="Calibri"/>
                <w:bCs/>
                <w:szCs w:val="22"/>
              </w:rPr>
              <w:t>1987 онд Токио, Францад ба 2003 онд Хойд Америкийн Зүүн болон Өмнөд Европын зангилаанд болсон томоохон тасралт хүчдэлийн хэлбэлзэлтэй  холбоотой байв.</w:t>
            </w:r>
          </w:p>
          <w:p w:rsidR="00E2763A" w:rsidRPr="00E2763A" w:rsidRDefault="00E2763A" w:rsidP="00E2763A">
            <w:pPr>
              <w:tabs>
                <w:tab w:val="left" w:pos="0"/>
              </w:tabs>
              <w:ind w:left="0" w:firstLine="0"/>
              <w:rPr>
                <w:rFonts w:eastAsia="Calibri"/>
                <w:bCs/>
                <w:szCs w:val="22"/>
              </w:rPr>
            </w:pPr>
            <w:r w:rsidRPr="00E2763A">
              <w:rPr>
                <w:rFonts w:eastAsia="Calibri"/>
                <w:bCs/>
                <w:szCs w:val="22"/>
              </w:rPr>
              <w:t>Дамжуулах арматурыг хүчдэлийн хэлбэлзэл ба эрс тэс нөхцөлд гарч буй тасралтгүй тасалдалтыг бууруулахад хүндрэлтэй байдаг бөгөөд үүнийг шийдвэрлэхдээ хүчдэлийн бууралтаар ачаалал хязгаарлах нь тохиромжтой хувилбар гэж үзэж байна.</w:t>
            </w:r>
          </w:p>
          <w:p w:rsidR="00E2763A" w:rsidRPr="00E2763A" w:rsidRDefault="00E2763A" w:rsidP="00E2763A">
            <w:pPr>
              <w:tabs>
                <w:tab w:val="left" w:pos="0"/>
              </w:tabs>
              <w:ind w:left="0" w:firstLine="0"/>
              <w:rPr>
                <w:rFonts w:eastAsia="Calibri"/>
                <w:bCs/>
                <w:szCs w:val="22"/>
              </w:rPr>
            </w:pPr>
            <w:r w:rsidRPr="00E2763A">
              <w:rPr>
                <w:rFonts w:eastAsia="Calibri"/>
                <w:bCs/>
                <w:szCs w:val="22"/>
              </w:rPr>
              <w:t>Жишээлбэл, систем нь 500 кВ-ын дөрвөн дэд станц дээр суурилуулсан PMU, хэд хэдэн 275 эсвэл 154/66 кВ дэд станцуудад суурилуулсан IED-ээс бүрдэнэ. IED-ууд нь бүх PMU-уудтай холбогдсон.</w:t>
            </w:r>
          </w:p>
          <w:p w:rsidR="00E2763A" w:rsidRPr="00E2763A" w:rsidRDefault="00E2763A" w:rsidP="00E2763A">
            <w:pPr>
              <w:tabs>
                <w:tab w:val="left" w:pos="0"/>
              </w:tabs>
              <w:ind w:left="0" w:firstLine="0"/>
              <w:rPr>
                <w:rFonts w:eastAsia="Calibri"/>
                <w:bCs/>
                <w:szCs w:val="22"/>
              </w:rPr>
            </w:pPr>
            <w:r w:rsidRPr="00E2763A">
              <w:rPr>
                <w:rFonts w:eastAsia="Calibri"/>
                <w:bCs/>
                <w:szCs w:val="22"/>
              </w:rPr>
              <w:t>IED-ийн зорилтуудын нэг нь урт хугацааны хүчдэлийн уналтыг илрүүлэх явдал юм; үүнийг 500/275 кВ буюу 154 кВ трансформаторууд дээр байрлах автоматаар хүчдэл тохируулгаар дамжуулан 275 кВ ба түүнээс доош нам хүчдэлийн сүлжээг  500 кВ сүлжээний түвшинд гүйцэтгэдэг</w:t>
            </w:r>
          </w:p>
          <w:p w:rsidR="00E2763A" w:rsidRPr="00E2763A" w:rsidRDefault="00E2763A" w:rsidP="00E2763A">
            <w:pPr>
              <w:tabs>
                <w:tab w:val="left" w:pos="0"/>
              </w:tabs>
              <w:ind w:left="0" w:firstLine="0"/>
              <w:rPr>
                <w:rFonts w:eastAsia="Calibri"/>
                <w:bCs/>
                <w:szCs w:val="22"/>
              </w:rPr>
            </w:pPr>
            <w:r w:rsidRPr="00E2763A">
              <w:rPr>
                <w:rFonts w:eastAsia="Calibri"/>
                <w:bCs/>
                <w:szCs w:val="22"/>
              </w:rPr>
              <w:t xml:space="preserve">IED нь дараах аргачлалуудыг ашиглан өндөр найдваржилтыг хангадаг. IED-ууд нь тасралтгүй ∆V/∆t утгыг тодорхойлох замаар найман секундээс хоёр минутын хооронд удаан хугацааны хүчдэлийн уналтыг тодорхойлдог. Богино хугацааны хүчдэлийн уналтыг мөн нэг секундийн өгөгдлийн </w:t>
            </w:r>
            <w:r w:rsidRPr="00E2763A">
              <w:rPr>
                <w:rFonts w:eastAsia="Calibri"/>
                <w:bCs/>
                <w:szCs w:val="22"/>
              </w:rPr>
              <w:lastRenderedPageBreak/>
              <w:t>интервалаар  ∆V / ∆t тооцоог ашиглан тодорхойлж болно. IED бүр нэгээс олон шугамыг таслах боломжтой. IED нь хүчдэлийн уналтыг тодорхойлсноор саатлын хугацаа дууссаны дараа CB шугам бүрийг тасалж, шугам бүр дээр бие даан тохируулж болно. (Шугам бүрийн хувьд бие даасан хугацааны тохиргоог ашигладаг.)</w:t>
            </w:r>
          </w:p>
        </w:tc>
        <w:tc>
          <w:tcPr>
            <w:tcW w:w="4672" w:type="dxa"/>
          </w:tcPr>
          <w:p w:rsidR="00E2763A" w:rsidRPr="00E2763A" w:rsidRDefault="00E2763A" w:rsidP="00E2763A">
            <w:pPr>
              <w:tabs>
                <w:tab w:val="left" w:pos="0"/>
              </w:tabs>
              <w:ind w:left="0" w:firstLine="0"/>
              <w:rPr>
                <w:rFonts w:eastAsia="Calibri"/>
                <w:b/>
                <w:bCs/>
                <w:szCs w:val="22"/>
              </w:rPr>
            </w:pPr>
            <w:r w:rsidRPr="00E2763A">
              <w:rPr>
                <w:rFonts w:eastAsia="Calibri"/>
                <w:b/>
                <w:bCs/>
                <w:szCs w:val="22"/>
              </w:rPr>
              <w:lastRenderedPageBreak/>
              <w:t>5.9.1 Under voltage load shedding</w:t>
            </w:r>
          </w:p>
          <w:p w:rsidR="00E2763A" w:rsidRPr="00E2763A" w:rsidRDefault="00E2763A" w:rsidP="00E2763A">
            <w:pPr>
              <w:tabs>
                <w:tab w:val="left" w:pos="0"/>
              </w:tabs>
              <w:ind w:left="0" w:firstLine="0"/>
              <w:rPr>
                <w:rFonts w:eastAsia="Calibri"/>
                <w:bCs/>
                <w:szCs w:val="22"/>
              </w:rPr>
            </w:pPr>
            <w:r w:rsidRPr="00E2763A">
              <w:rPr>
                <w:rFonts w:eastAsia="Calibri"/>
                <w:bCs/>
                <w:szCs w:val="22"/>
              </w:rPr>
              <w:t>Major blackouts such as those that occurred in Tokyo and France in 1987 and those in the North American Eastern interconnections and Southern Europe in 2003 were  related  to  voltage instability.</w:t>
            </w:r>
          </w:p>
          <w:p w:rsidR="00E2763A" w:rsidRPr="00E2763A" w:rsidRDefault="00E2763A" w:rsidP="00E2763A">
            <w:pPr>
              <w:tabs>
                <w:tab w:val="left" w:pos="0"/>
              </w:tabs>
              <w:ind w:left="0" w:firstLine="0"/>
              <w:rPr>
                <w:rFonts w:eastAsia="Calibri"/>
                <w:bCs/>
                <w:szCs w:val="22"/>
              </w:rPr>
            </w:pPr>
          </w:p>
          <w:p w:rsidR="00E2763A" w:rsidRPr="00E2763A" w:rsidRDefault="00E2763A" w:rsidP="00E2763A">
            <w:pPr>
              <w:tabs>
                <w:tab w:val="left" w:pos="0"/>
              </w:tabs>
              <w:ind w:left="0" w:firstLine="0"/>
              <w:rPr>
                <w:rFonts w:eastAsia="Calibri"/>
                <w:bCs/>
                <w:szCs w:val="22"/>
              </w:rPr>
            </w:pPr>
            <w:r w:rsidRPr="00E2763A">
              <w:rPr>
                <w:rFonts w:eastAsia="Calibri"/>
                <w:bCs/>
                <w:szCs w:val="22"/>
              </w:rPr>
              <w:t>Since transmission reinforcements are hard to justify as solutions to voltage instability and cascading outages experienced under extreme conditions, under voltage load shedding would seem to be a suitable alternative contingency.</w:t>
            </w:r>
          </w:p>
          <w:p w:rsidR="00E2763A" w:rsidRPr="00E2763A" w:rsidRDefault="00E2763A" w:rsidP="00E2763A">
            <w:pPr>
              <w:tabs>
                <w:tab w:val="left" w:pos="0"/>
              </w:tabs>
              <w:ind w:left="0" w:firstLine="0"/>
              <w:rPr>
                <w:rFonts w:eastAsia="Calibri"/>
                <w:bCs/>
                <w:szCs w:val="22"/>
              </w:rPr>
            </w:pPr>
            <w:r w:rsidRPr="00E2763A">
              <w:rPr>
                <w:rFonts w:eastAsia="Calibri"/>
                <w:bCs/>
                <w:szCs w:val="22"/>
              </w:rPr>
              <w:t>The example system is composed of PMUs installed at four 500 kV substations and IEDs installed at several 275 or 154/66 kV substations. The IEDs are connected to all PMUs.</w:t>
            </w:r>
          </w:p>
          <w:p w:rsidR="00E2763A" w:rsidRPr="00E2763A" w:rsidRDefault="00E2763A" w:rsidP="00E2763A">
            <w:pPr>
              <w:tabs>
                <w:tab w:val="left" w:pos="0"/>
              </w:tabs>
              <w:ind w:left="0" w:firstLine="0"/>
              <w:rPr>
                <w:rFonts w:eastAsia="Calibri"/>
                <w:bCs/>
                <w:szCs w:val="22"/>
              </w:rPr>
            </w:pPr>
            <w:r w:rsidRPr="00E2763A">
              <w:rPr>
                <w:rFonts w:eastAsia="Calibri"/>
                <w:bCs/>
                <w:szCs w:val="22"/>
              </w:rPr>
              <w:t>One of the purposes of the IED is to detect long-term voltage collapse; this is executed at the 500 kV network level as opposed to the 275 kV or lower voltage networks which are automatically regulated by tap changing on the 500/275 kV or 154 kV transformers.</w:t>
            </w:r>
          </w:p>
          <w:p w:rsidR="00E2763A" w:rsidRPr="00E2763A" w:rsidRDefault="00E2763A" w:rsidP="00E2763A">
            <w:pPr>
              <w:tabs>
                <w:tab w:val="left" w:pos="0"/>
              </w:tabs>
              <w:ind w:left="0" w:firstLine="0"/>
              <w:rPr>
                <w:rFonts w:eastAsia="Calibri"/>
                <w:bCs/>
                <w:szCs w:val="22"/>
              </w:rPr>
            </w:pPr>
            <w:r w:rsidRPr="00E2763A">
              <w:rPr>
                <w:rFonts w:eastAsia="Calibri"/>
                <w:bCs/>
                <w:szCs w:val="22"/>
              </w:rPr>
              <w:t xml:space="preserve">The IED affords high reliability by use of the following procedure.  The IEDs detect slow types  of voltage collapse, in the range of eight seconds to two minutes, by detecting unusual continuous  ∆V/ ∆t values. Fast voltage collapse can also be detected using a  ∆V/ ∆t calculation with a  one second data window. Each IED can trip more than one line. When the IED detects    a voltage collapse, it trips each line CB following expiration of an on-delay </w:t>
            </w:r>
            <w:r w:rsidRPr="00E2763A">
              <w:rPr>
                <w:rFonts w:eastAsia="Calibri"/>
                <w:bCs/>
                <w:szCs w:val="22"/>
              </w:rPr>
              <w:lastRenderedPageBreak/>
              <w:t>timer which can be set independently for each line. (Independent time settings are applied for each line.)</w:t>
            </w:r>
          </w:p>
        </w:tc>
      </w:tr>
    </w:tbl>
    <w:p w:rsidR="00E2763A" w:rsidRDefault="00E2763A" w:rsidP="00E2763A">
      <w:pPr>
        <w:ind w:left="0" w:firstLine="0"/>
        <w:jc w:val="left"/>
        <w:rPr>
          <w:lang w:val="en-US"/>
        </w:rPr>
      </w:pPr>
    </w:p>
    <w:p w:rsidR="00E2763A" w:rsidRDefault="00E2763A" w:rsidP="00E2763A">
      <w:pPr>
        <w:ind w:left="0" w:firstLine="0"/>
        <w:jc w:val="left"/>
        <w:rPr>
          <w:lang w:val="en-US"/>
        </w:rPr>
      </w:pPr>
    </w:p>
    <w:p w:rsidR="00E2763A" w:rsidRDefault="00E2763A" w:rsidP="00E2763A">
      <w:pPr>
        <w:ind w:left="0" w:firstLine="0"/>
        <w:jc w:val="center"/>
      </w:pPr>
      <w:r w:rsidRPr="00EF2D2B">
        <w:object w:dxaOrig="8068" w:dyaOrig="3817">
          <v:shape id="_x0000_i1067" type="#_x0000_t75" style="width:402.7pt;height:190.9pt" o:ole="">
            <v:imagedata r:id="rId33" o:title=""/>
          </v:shape>
          <o:OLEObject Type="Embed" ProgID="Visio.Drawing.11" ShapeID="_x0000_i1067" DrawAspect="Content" ObjectID="_1701177457" r:id="rId34"/>
        </w:object>
      </w:r>
    </w:p>
    <w:p w:rsidR="00E2763A" w:rsidRDefault="00E2763A" w:rsidP="00E2763A">
      <w:pPr>
        <w:ind w:left="0" w:firstLine="0"/>
        <w:jc w:val="center"/>
        <w:rPr>
          <w:b/>
          <w:lang w:val="en-US"/>
        </w:rPr>
      </w:pPr>
      <w:r w:rsidRPr="00E2763A">
        <w:rPr>
          <w:b/>
          <w:lang w:val="en-US"/>
        </w:rPr>
        <w:t>9-</w:t>
      </w:r>
      <w:r w:rsidRPr="00E2763A">
        <w:rPr>
          <w:b/>
        </w:rPr>
        <w:t>р зураг</w:t>
      </w:r>
      <w:r w:rsidRPr="00E2763A">
        <w:rPr>
          <w:b/>
          <w:lang w:val="en-US"/>
        </w:rPr>
        <w:t xml:space="preserve"> – Хүчдэлийн уналтаар ачаалал хязгаарлахад ашиглах схем</w:t>
      </w:r>
    </w:p>
    <w:p w:rsidR="00E2763A" w:rsidRDefault="00E2763A" w:rsidP="00E2763A">
      <w:pPr>
        <w:ind w:left="0" w:firstLine="0"/>
        <w:jc w:val="center"/>
        <w:rPr>
          <w:b/>
          <w:lang w:val="en-US"/>
        </w:rPr>
      </w:pPr>
    </w:p>
    <w:p w:rsidR="00E2763A" w:rsidRDefault="00E2763A" w:rsidP="00E2763A">
      <w:pPr>
        <w:ind w:left="0" w:firstLine="0"/>
        <w:jc w:val="center"/>
        <w:rPr>
          <w:b/>
          <w:lang w:val="en-US"/>
        </w:rPr>
      </w:pPr>
      <w:r w:rsidRPr="00EF2D2B">
        <w:rPr>
          <w:noProof/>
          <w:lang w:val="en-US"/>
        </w:rPr>
        <w:drawing>
          <wp:inline distT="0" distB="0" distL="0" distR="0" wp14:anchorId="56AD4611" wp14:editId="5065D49D">
            <wp:extent cx="5219700" cy="25336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9700" cy="2533650"/>
                    </a:xfrm>
                    <a:prstGeom prst="rect">
                      <a:avLst/>
                    </a:prstGeom>
                  </pic:spPr>
                </pic:pic>
              </a:graphicData>
            </a:graphic>
          </wp:inline>
        </w:drawing>
      </w:r>
    </w:p>
    <w:p w:rsidR="00E2763A" w:rsidRDefault="00E2763A" w:rsidP="00E2763A">
      <w:pPr>
        <w:ind w:left="0" w:firstLine="0"/>
        <w:jc w:val="center"/>
        <w:rPr>
          <w:b/>
          <w:lang w:val="en-US"/>
        </w:rPr>
      </w:pPr>
      <w:r w:rsidRPr="00E2763A">
        <w:rPr>
          <w:b/>
          <w:lang w:val="en-US"/>
        </w:rPr>
        <w:t>Figure 9 – Use case diagram for under voltage load shedding</w:t>
      </w:r>
    </w:p>
    <w:p w:rsidR="00A71B0E" w:rsidRDefault="00A71B0E" w:rsidP="00E2763A">
      <w:pPr>
        <w:ind w:left="0" w:firstLine="0"/>
        <w:jc w:val="center"/>
        <w:rPr>
          <w:b/>
          <w:lang w:val="en-US"/>
        </w:rPr>
      </w:pPr>
    </w:p>
    <w:p w:rsidR="00A71B0E" w:rsidRPr="00A71B0E" w:rsidRDefault="00A71B0E" w:rsidP="00A71B0E">
      <w:pPr>
        <w:ind w:left="0" w:firstLine="0"/>
        <w:jc w:val="left"/>
        <w:rPr>
          <w:lang w:val="en-US"/>
        </w:rPr>
      </w:pPr>
      <w:r w:rsidRPr="00A71B0E">
        <w:rPr>
          <w:lang w:val="en-US"/>
        </w:rPr>
        <w:t>Харилцаа холбоонд тавигдах шаардлагыг дараах байдлаар нэгтгэж болно:</w:t>
      </w:r>
    </w:p>
    <w:p w:rsidR="00A71B0E" w:rsidRDefault="00A71B0E" w:rsidP="00A71B0E">
      <w:pPr>
        <w:ind w:left="0" w:firstLine="0"/>
        <w:jc w:val="left"/>
        <w:rPr>
          <w:lang w:val="en-US"/>
        </w:rPr>
      </w:pPr>
      <w:r w:rsidRPr="00A71B0E">
        <w:rPr>
          <w:lang w:val="en-US"/>
        </w:rPr>
        <w:t>The communication rewuirements can be summarized as follows:</w:t>
      </w:r>
    </w:p>
    <w:p w:rsidR="00A71B0E" w:rsidRDefault="00A71B0E" w:rsidP="00A71B0E">
      <w:pPr>
        <w:ind w:left="0" w:firstLine="0"/>
        <w:jc w:val="left"/>
        <w:rPr>
          <w:lang w:val="en-US"/>
        </w:rPr>
      </w:pPr>
    </w:p>
    <w:p w:rsidR="00A71B0E" w:rsidRPr="001C4C31" w:rsidRDefault="00A71B0E" w:rsidP="00A71B0E">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096"/>
        <w:gridCol w:w="6248"/>
      </w:tblGrid>
      <w:tr w:rsidR="00A71B0E" w:rsidTr="00A71B0E">
        <w:tc>
          <w:tcPr>
            <w:tcW w:w="3096" w:type="dxa"/>
          </w:tcPr>
          <w:p w:rsidR="00A71B0E" w:rsidRPr="00EF2D2B" w:rsidRDefault="00A71B0E"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lastRenderedPageBreak/>
              <w:t>Нэр</w:t>
            </w:r>
          </w:p>
        </w:tc>
        <w:tc>
          <w:tcPr>
            <w:tcW w:w="6248" w:type="dxa"/>
          </w:tcPr>
          <w:p w:rsidR="00A71B0E" w:rsidRPr="00EF2D2B" w:rsidRDefault="00A71B0E" w:rsidP="00A71B0E">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A71B0E" w:rsidTr="00A71B0E">
        <w:tc>
          <w:tcPr>
            <w:tcW w:w="3096" w:type="dxa"/>
          </w:tcPr>
          <w:p w:rsidR="00A71B0E" w:rsidRPr="00EF2D2B" w:rsidRDefault="00A71B0E" w:rsidP="00A71B0E">
            <w:pPr>
              <w:pStyle w:val="TableParagraph"/>
              <w:tabs>
                <w:tab w:val="left" w:pos="0"/>
              </w:tabs>
              <w:spacing w:before="58" w:line="276" w:lineRule="auto"/>
              <w:rPr>
                <w:sz w:val="20"/>
                <w:szCs w:val="20"/>
                <w:lang w:val="mn-MN"/>
              </w:rPr>
            </w:pPr>
            <w:r w:rsidRPr="00EF2D2B">
              <w:rPr>
                <w:sz w:val="20"/>
                <w:szCs w:val="20"/>
                <w:lang w:val="mn-MN"/>
              </w:rPr>
              <w:t>PMU</w:t>
            </w:r>
          </w:p>
        </w:tc>
        <w:tc>
          <w:tcPr>
            <w:tcW w:w="6248" w:type="dxa"/>
          </w:tcPr>
          <w:p w:rsidR="00A71B0E" w:rsidRPr="00731F96" w:rsidRDefault="00A71B0E" w:rsidP="00A71B0E">
            <w:pPr>
              <w:pStyle w:val="TableParagraph"/>
              <w:tabs>
                <w:tab w:val="left" w:pos="0"/>
              </w:tabs>
              <w:spacing w:before="58" w:line="276" w:lineRule="auto"/>
              <w:rPr>
                <w:sz w:val="20"/>
                <w:szCs w:val="20"/>
                <w:lang w:val="mn-MN"/>
              </w:rPr>
            </w:pPr>
            <w:r w:rsidRPr="00731F96">
              <w:rPr>
                <w:sz w:val="20"/>
                <w:szCs w:val="20"/>
                <w:lang w:val="mn-MN"/>
              </w:rPr>
              <w:t>Синхрофазорын тооцоолол</w:t>
            </w:r>
          </w:p>
        </w:tc>
      </w:tr>
      <w:tr w:rsidR="00A71B0E" w:rsidTr="00A71B0E">
        <w:tc>
          <w:tcPr>
            <w:tcW w:w="3096"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IED</w:t>
            </w:r>
          </w:p>
        </w:tc>
        <w:tc>
          <w:tcPr>
            <w:tcW w:w="6248" w:type="dxa"/>
          </w:tcPr>
          <w:p w:rsidR="00A71B0E" w:rsidRPr="00EF2D2B" w:rsidRDefault="00A71B0E" w:rsidP="00A71B0E">
            <w:pPr>
              <w:pStyle w:val="TableParagraph"/>
              <w:tabs>
                <w:tab w:val="left" w:pos="0"/>
              </w:tabs>
              <w:spacing w:before="58" w:line="276" w:lineRule="auto"/>
              <w:rPr>
                <w:sz w:val="20"/>
                <w:szCs w:val="20"/>
                <w:lang w:val="mn-MN"/>
              </w:rPr>
            </w:pPr>
            <w:r w:rsidRPr="00731F96">
              <w:rPr>
                <w:sz w:val="20"/>
                <w:szCs w:val="20"/>
                <w:lang w:val="mn-MN"/>
              </w:rPr>
              <w:t xml:space="preserve">PMU-ээс өгөгдөл хүлээн </w:t>
            </w:r>
            <w:r w:rsidRPr="00EF2D2B">
              <w:rPr>
                <w:sz w:val="20"/>
                <w:szCs w:val="20"/>
                <w:lang w:val="mn-MN"/>
              </w:rPr>
              <w:t>авах, эрчим хүчний системийн удирдлагаба хүчдэлийн уналтыг тодорхойлдог</w:t>
            </w:r>
          </w:p>
        </w:tc>
      </w:tr>
    </w:tbl>
    <w:p w:rsidR="00A71B0E" w:rsidRPr="001C4C31" w:rsidRDefault="00A71B0E" w:rsidP="00A71B0E">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263"/>
        <w:gridCol w:w="6081"/>
      </w:tblGrid>
      <w:tr w:rsidR="00A71B0E" w:rsidTr="00A71B0E">
        <w:tc>
          <w:tcPr>
            <w:tcW w:w="3263" w:type="dxa"/>
          </w:tcPr>
          <w:p w:rsidR="00A71B0E" w:rsidRPr="00EF2D2B" w:rsidRDefault="00A71B0E"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6081" w:type="dxa"/>
          </w:tcPr>
          <w:p w:rsidR="00A71B0E" w:rsidRPr="00EF2D2B" w:rsidRDefault="00A71B0E" w:rsidP="00A71B0E">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A71B0E" w:rsidTr="00A71B0E">
        <w:tc>
          <w:tcPr>
            <w:tcW w:w="3263" w:type="dxa"/>
          </w:tcPr>
          <w:p w:rsidR="00A71B0E" w:rsidRPr="00EF2D2B" w:rsidRDefault="00A71B0E" w:rsidP="00A71B0E">
            <w:pPr>
              <w:pStyle w:val="TableParagraph"/>
              <w:tabs>
                <w:tab w:val="left" w:pos="0"/>
              </w:tabs>
              <w:spacing w:before="58" w:line="276" w:lineRule="auto"/>
              <w:rPr>
                <w:sz w:val="20"/>
                <w:szCs w:val="20"/>
                <w:lang w:val="mn-MN"/>
              </w:rPr>
            </w:pPr>
            <w:r w:rsidRPr="00EF2D2B">
              <w:rPr>
                <w:sz w:val="20"/>
                <w:szCs w:val="20"/>
                <w:lang w:val="mn-MN"/>
              </w:rPr>
              <w:t>PMU</w:t>
            </w:r>
          </w:p>
        </w:tc>
        <w:tc>
          <w:tcPr>
            <w:tcW w:w="6081" w:type="dxa"/>
          </w:tcPr>
          <w:p w:rsidR="00A71B0E" w:rsidRPr="00731F96" w:rsidRDefault="00A71B0E" w:rsidP="00A71B0E">
            <w:pPr>
              <w:pStyle w:val="TableParagraph"/>
              <w:tabs>
                <w:tab w:val="left" w:pos="0"/>
              </w:tabs>
              <w:spacing w:before="58" w:line="276" w:lineRule="auto"/>
              <w:rPr>
                <w:sz w:val="20"/>
                <w:szCs w:val="20"/>
                <w:lang w:val="mn-MN"/>
              </w:rPr>
            </w:pPr>
            <w:r w:rsidRPr="00731F96">
              <w:rPr>
                <w:sz w:val="20"/>
                <w:szCs w:val="20"/>
                <w:lang w:val="mn-MN"/>
              </w:rPr>
              <w:t>Computes synchrophasors</w:t>
            </w:r>
          </w:p>
        </w:tc>
      </w:tr>
      <w:tr w:rsidR="00A71B0E" w:rsidTr="00A71B0E">
        <w:tc>
          <w:tcPr>
            <w:tcW w:w="3263"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IED</w:t>
            </w:r>
          </w:p>
        </w:tc>
        <w:tc>
          <w:tcPr>
            <w:tcW w:w="6081" w:type="dxa"/>
          </w:tcPr>
          <w:p w:rsidR="00A71B0E" w:rsidRPr="00731F96" w:rsidRDefault="00A71B0E" w:rsidP="00A71B0E">
            <w:pPr>
              <w:pStyle w:val="TableParagraph"/>
              <w:tabs>
                <w:tab w:val="left" w:pos="0"/>
              </w:tabs>
              <w:spacing w:before="58" w:line="276" w:lineRule="auto"/>
              <w:rPr>
                <w:sz w:val="20"/>
                <w:szCs w:val="20"/>
                <w:lang w:val="mn-MN"/>
              </w:rPr>
            </w:pPr>
            <w:r w:rsidRPr="00731F96">
              <w:rPr>
                <w:sz w:val="20"/>
                <w:szCs w:val="20"/>
                <w:lang w:val="mn-MN"/>
              </w:rPr>
              <w:t>Receives data from the PMU, detects voltage collapse &amp; power system control</w:t>
            </w:r>
          </w:p>
        </w:tc>
      </w:tr>
    </w:tbl>
    <w:p w:rsidR="00A71B0E" w:rsidRDefault="00A71B0E" w:rsidP="00A71B0E">
      <w:pPr>
        <w:ind w:left="0" w:firstLine="0"/>
        <w:rPr>
          <w:b/>
          <w:lang w:val="en-US"/>
        </w:rPr>
      </w:pPr>
    </w:p>
    <w:p w:rsidR="00A71B0E" w:rsidRDefault="00A71B0E" w:rsidP="00A71B0E">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539"/>
        <w:gridCol w:w="5805"/>
      </w:tblGrid>
      <w:tr w:rsidR="00A71B0E" w:rsidRPr="00EF2D2B" w:rsidTr="00A71B0E">
        <w:tc>
          <w:tcPr>
            <w:tcW w:w="3539" w:type="dxa"/>
          </w:tcPr>
          <w:p w:rsidR="00A71B0E" w:rsidRPr="00EF2D2B" w:rsidRDefault="00A71B0E"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805" w:type="dxa"/>
          </w:tcPr>
          <w:p w:rsidR="00A71B0E" w:rsidRPr="00EF2D2B" w:rsidRDefault="00A71B0E" w:rsidP="00A71B0E">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A71B0E" w:rsidRPr="00731F96" w:rsidTr="00A71B0E">
        <w:tc>
          <w:tcPr>
            <w:tcW w:w="3539" w:type="dxa"/>
          </w:tcPr>
          <w:p w:rsidR="00A71B0E" w:rsidRPr="00EF2D2B" w:rsidRDefault="00A71B0E" w:rsidP="00A71B0E">
            <w:pPr>
              <w:pStyle w:val="TableParagraph"/>
              <w:tabs>
                <w:tab w:val="left" w:pos="0"/>
              </w:tabs>
              <w:spacing w:before="58" w:line="276" w:lineRule="auto"/>
              <w:rPr>
                <w:sz w:val="20"/>
                <w:szCs w:val="20"/>
                <w:lang w:val="mn-MN"/>
              </w:rPr>
            </w:pPr>
            <w:r w:rsidRPr="00EF2D2B">
              <w:rPr>
                <w:sz w:val="20"/>
                <w:szCs w:val="20"/>
                <w:lang w:val="mn-MN"/>
              </w:rPr>
              <w:t>Өгөгдлийн түүвэр ба Фазор тооцоо</w:t>
            </w:r>
          </w:p>
        </w:tc>
        <w:tc>
          <w:tcPr>
            <w:tcW w:w="5805" w:type="dxa"/>
          </w:tcPr>
          <w:p w:rsidR="00A71B0E" w:rsidRPr="00731F96" w:rsidRDefault="00A71B0E" w:rsidP="00A71B0E">
            <w:pPr>
              <w:pStyle w:val="TableParagraph"/>
              <w:tabs>
                <w:tab w:val="left" w:pos="0"/>
              </w:tabs>
              <w:spacing w:before="58" w:line="276" w:lineRule="auto"/>
              <w:ind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A71B0E" w:rsidRPr="00731F96" w:rsidTr="00A71B0E">
        <w:tc>
          <w:tcPr>
            <w:tcW w:w="3539" w:type="dxa"/>
          </w:tcPr>
          <w:p w:rsidR="00A71B0E" w:rsidRPr="00EF2D2B" w:rsidRDefault="00A71B0E" w:rsidP="00A71B0E">
            <w:pPr>
              <w:pStyle w:val="TableParagraph"/>
              <w:tabs>
                <w:tab w:val="left" w:pos="0"/>
              </w:tabs>
              <w:spacing w:before="58" w:line="276" w:lineRule="auto"/>
              <w:rPr>
                <w:sz w:val="20"/>
                <w:szCs w:val="20"/>
                <w:lang w:val="mn-MN"/>
              </w:rPr>
            </w:pPr>
            <w:r w:rsidRPr="00EF2D2B">
              <w:rPr>
                <w:sz w:val="20"/>
                <w:szCs w:val="20"/>
                <w:lang w:val="mn-MN"/>
              </w:rPr>
              <w:t>Өгөгдөл илгээх/хүлээн авах</w:t>
            </w:r>
          </w:p>
        </w:tc>
        <w:tc>
          <w:tcPr>
            <w:tcW w:w="5805" w:type="dxa"/>
          </w:tcPr>
          <w:p w:rsidR="00A71B0E" w:rsidRPr="00731F96" w:rsidRDefault="00A71B0E" w:rsidP="00A71B0E">
            <w:pPr>
              <w:pStyle w:val="TableParagraph"/>
              <w:tabs>
                <w:tab w:val="left" w:pos="0"/>
              </w:tabs>
              <w:spacing w:before="58" w:line="276" w:lineRule="auto"/>
              <w:rPr>
                <w:sz w:val="20"/>
                <w:szCs w:val="20"/>
                <w:lang w:val="mn-MN"/>
              </w:rPr>
            </w:pPr>
            <w:r w:rsidRPr="00731F96">
              <w:rPr>
                <w:sz w:val="20"/>
                <w:szCs w:val="20"/>
                <w:lang w:val="mn-MN"/>
              </w:rPr>
              <w:t>PMU нь IED-ийн хүлээн авсан утгыг илгээдэг</w:t>
            </w:r>
          </w:p>
        </w:tc>
      </w:tr>
      <w:tr w:rsidR="00A71B0E" w:rsidRPr="00731F96" w:rsidTr="00A71B0E">
        <w:tc>
          <w:tcPr>
            <w:tcW w:w="3539" w:type="dxa"/>
          </w:tcPr>
          <w:p w:rsidR="00A71B0E" w:rsidRPr="00EF2D2B" w:rsidRDefault="00A71B0E" w:rsidP="00A71B0E">
            <w:pPr>
              <w:pStyle w:val="TableParagraph"/>
              <w:tabs>
                <w:tab w:val="left" w:pos="0"/>
              </w:tabs>
              <w:spacing w:before="58" w:line="276" w:lineRule="auto"/>
              <w:rPr>
                <w:sz w:val="20"/>
                <w:szCs w:val="20"/>
                <w:lang w:val="mn-MN"/>
              </w:rPr>
            </w:pPr>
            <w:r w:rsidRPr="00EF2D2B">
              <w:rPr>
                <w:sz w:val="20"/>
                <w:szCs w:val="20"/>
                <w:lang w:val="mn-MN"/>
              </w:rPr>
              <w:t>Эрчим хүчний системийн удирдлага</w:t>
            </w:r>
          </w:p>
        </w:tc>
        <w:tc>
          <w:tcPr>
            <w:tcW w:w="5805" w:type="dxa"/>
          </w:tcPr>
          <w:p w:rsidR="00A71B0E" w:rsidRPr="00EF2D2B" w:rsidRDefault="00A71B0E" w:rsidP="00A71B0E">
            <w:pPr>
              <w:pStyle w:val="TableParagraph"/>
              <w:tabs>
                <w:tab w:val="left" w:pos="0"/>
              </w:tabs>
              <w:spacing w:before="58" w:line="276" w:lineRule="auto"/>
              <w:ind w:right="288"/>
              <w:rPr>
                <w:sz w:val="20"/>
                <w:szCs w:val="20"/>
                <w:lang w:val="mn-MN"/>
              </w:rPr>
            </w:pPr>
            <w:r w:rsidRPr="00731F96">
              <w:rPr>
                <w:sz w:val="20"/>
                <w:szCs w:val="20"/>
                <w:lang w:val="mn-MN"/>
              </w:rPr>
              <w:t>IED нь бүх PMU-ийн өгөгдлийг ашиглан хүчдэлийн уналтыг тод</w:t>
            </w:r>
            <w:r w:rsidRPr="00EF2D2B">
              <w:rPr>
                <w:sz w:val="20"/>
                <w:szCs w:val="20"/>
                <w:lang w:val="mn-MN"/>
              </w:rPr>
              <w:t>орхойлдог. Хэрэв IED нь хүчдэлийн уналтыг тодорхойлсноор хүчдэл хэвийн хэмжээнд сэргэх хүртэл ачааллыг хязгаарлах.</w:t>
            </w:r>
          </w:p>
        </w:tc>
      </w:tr>
    </w:tbl>
    <w:p w:rsidR="00A71B0E" w:rsidRPr="00EF2D2B" w:rsidRDefault="00A71B0E" w:rsidP="00A71B0E">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A71B0E" w:rsidRPr="00EF2D2B" w:rsidTr="00A71B0E">
        <w:tc>
          <w:tcPr>
            <w:tcW w:w="3723" w:type="dxa"/>
          </w:tcPr>
          <w:p w:rsidR="00A71B0E" w:rsidRPr="00EF2D2B" w:rsidRDefault="00A71B0E" w:rsidP="00A71B0E">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A71B0E" w:rsidRPr="00EF2D2B" w:rsidRDefault="00A71B0E" w:rsidP="00A71B0E">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A71B0E" w:rsidRPr="00EF2D2B" w:rsidTr="00A71B0E">
        <w:tc>
          <w:tcPr>
            <w:tcW w:w="3723"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EF2D2B">
              <w:rPr>
                <w:sz w:val="20"/>
                <w:szCs w:val="20"/>
                <w:lang w:val="mn-MN"/>
              </w:rPr>
              <w:t>Data sampling &amp; phasor estimate</w:t>
            </w:r>
          </w:p>
        </w:tc>
        <w:tc>
          <w:tcPr>
            <w:tcW w:w="5621"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731F96">
              <w:rPr>
                <w:sz w:val="20"/>
                <w:szCs w:val="20"/>
                <w:lang w:val="mn-MN"/>
              </w:rPr>
              <w:t>PMU samples current and voltage and estimates synchrophas</w:t>
            </w:r>
            <w:r w:rsidRPr="00EF2D2B">
              <w:rPr>
                <w:sz w:val="20"/>
                <w:szCs w:val="20"/>
                <w:lang w:val="mn-MN"/>
              </w:rPr>
              <w:t>or values</w:t>
            </w:r>
          </w:p>
        </w:tc>
      </w:tr>
      <w:tr w:rsidR="00A71B0E" w:rsidRPr="00731F96" w:rsidTr="00A71B0E">
        <w:tc>
          <w:tcPr>
            <w:tcW w:w="3723"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EF2D2B">
              <w:rPr>
                <w:sz w:val="20"/>
                <w:szCs w:val="20"/>
                <w:lang w:val="mn-MN"/>
              </w:rPr>
              <w:t>Data sending &amp; receiving</w:t>
            </w:r>
          </w:p>
        </w:tc>
        <w:tc>
          <w:tcPr>
            <w:tcW w:w="5621" w:type="dxa"/>
          </w:tcPr>
          <w:p w:rsidR="00A71B0E" w:rsidRPr="00731F96" w:rsidRDefault="00A71B0E" w:rsidP="00A71B0E">
            <w:pPr>
              <w:pStyle w:val="TableParagraph"/>
              <w:tabs>
                <w:tab w:val="left" w:pos="0"/>
              </w:tabs>
              <w:spacing w:before="58" w:line="276" w:lineRule="auto"/>
              <w:ind w:right="588"/>
              <w:jc w:val="both"/>
              <w:rPr>
                <w:sz w:val="20"/>
                <w:szCs w:val="20"/>
                <w:lang w:val="mn-MN"/>
              </w:rPr>
            </w:pPr>
            <w:r w:rsidRPr="00731F96">
              <w:rPr>
                <w:sz w:val="20"/>
                <w:szCs w:val="20"/>
                <w:lang w:val="mn-MN"/>
              </w:rPr>
              <w:t>PMU sends values that are received by the IED</w:t>
            </w:r>
          </w:p>
        </w:tc>
      </w:tr>
      <w:tr w:rsidR="00A71B0E" w:rsidRPr="00731F96" w:rsidTr="00A71B0E">
        <w:tc>
          <w:tcPr>
            <w:tcW w:w="3723"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EF2D2B">
              <w:rPr>
                <w:sz w:val="20"/>
                <w:szCs w:val="20"/>
                <w:lang w:val="mn-MN"/>
              </w:rPr>
              <w:t>Power system control</w:t>
            </w:r>
          </w:p>
        </w:tc>
        <w:tc>
          <w:tcPr>
            <w:tcW w:w="5621"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731F96">
              <w:rPr>
                <w:sz w:val="20"/>
                <w:szCs w:val="20"/>
                <w:lang w:val="mn-MN"/>
              </w:rPr>
              <w:t>The IED detects a voltage collapse using data from all PMUs. If the IED detects a voltage collapse, load is shed until the voltage recovers its</w:t>
            </w:r>
            <w:r>
              <w:rPr>
                <w:sz w:val="20"/>
                <w:szCs w:val="20"/>
              </w:rPr>
              <w:t xml:space="preserve"> </w:t>
            </w:r>
            <w:r w:rsidRPr="00EF2D2B">
              <w:rPr>
                <w:sz w:val="20"/>
                <w:szCs w:val="20"/>
                <w:lang w:val="mn-MN"/>
              </w:rPr>
              <w:t>normal state.</w:t>
            </w:r>
          </w:p>
        </w:tc>
      </w:tr>
    </w:tbl>
    <w:p w:rsidR="00A71B0E" w:rsidRPr="00EF2D2B" w:rsidRDefault="00A71B0E" w:rsidP="00A71B0E">
      <w:pPr>
        <w:tabs>
          <w:tab w:val="left" w:pos="0"/>
        </w:tabs>
        <w:spacing w:before="93"/>
        <w:rPr>
          <w:b/>
        </w:rPr>
      </w:pPr>
    </w:p>
    <w:p w:rsidR="00A71B0E" w:rsidRPr="00731F96" w:rsidRDefault="00A71B0E" w:rsidP="00A71B0E">
      <w:pPr>
        <w:tabs>
          <w:tab w:val="left" w:pos="0"/>
        </w:tabs>
        <w:spacing w:before="93"/>
        <w:ind w:left="0" w:firstLine="0"/>
        <w:rPr>
          <w:b/>
        </w:rPr>
      </w:pPr>
      <w:r w:rsidRPr="00731F96">
        <w:rPr>
          <w:b/>
        </w:rPr>
        <w:t>Үндсэн</w:t>
      </w:r>
      <w:r>
        <w:rPr>
          <w:b/>
        </w:rPr>
        <w:t xml:space="preserve"> урсгал:</w:t>
      </w:r>
    </w:p>
    <w:p w:rsidR="00A71B0E" w:rsidRPr="00EF2D2B" w:rsidRDefault="00A71B0E" w:rsidP="00A71B0E">
      <w:pPr>
        <w:ind w:left="0" w:firstLine="0"/>
      </w:pPr>
      <w:r w:rsidRPr="00EF2D2B">
        <w:t>PMU-ийн үйл ажиллагаа</w:t>
      </w:r>
    </w:p>
    <w:tbl>
      <w:tblPr>
        <w:tblStyle w:val="TableGrid"/>
        <w:tblW w:w="0" w:type="auto"/>
        <w:tblLook w:val="04A0" w:firstRow="1" w:lastRow="0" w:firstColumn="1" w:lastColumn="0" w:noHBand="0" w:noVBand="1"/>
      </w:tblPr>
      <w:tblGrid>
        <w:gridCol w:w="1696"/>
        <w:gridCol w:w="7648"/>
      </w:tblGrid>
      <w:tr w:rsidR="00A71B0E" w:rsidRPr="00EF2D2B" w:rsidTr="00A71B0E">
        <w:tc>
          <w:tcPr>
            <w:tcW w:w="1696" w:type="dxa"/>
          </w:tcPr>
          <w:p w:rsidR="00A71B0E" w:rsidRPr="00EF2D2B" w:rsidRDefault="00A71B0E"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A71B0E" w:rsidRPr="00731F96" w:rsidRDefault="00A71B0E" w:rsidP="00A71B0E">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A71B0E" w:rsidRPr="00731F96" w:rsidTr="00A71B0E">
        <w:tc>
          <w:tcPr>
            <w:tcW w:w="1696"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Алхам 1</w:t>
            </w:r>
          </w:p>
        </w:tc>
        <w:tc>
          <w:tcPr>
            <w:tcW w:w="7648"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EF2D2B">
              <w:rPr>
                <w:sz w:val="20"/>
                <w:szCs w:val="20"/>
                <w:lang w:val="mn-MN"/>
              </w:rPr>
              <w:t>PMU нь V ба I-ээс синхрофазоруудыг тооцоолдог</w:t>
            </w:r>
          </w:p>
        </w:tc>
      </w:tr>
      <w:tr w:rsidR="00A71B0E" w:rsidRPr="00731F96" w:rsidTr="00A71B0E">
        <w:tc>
          <w:tcPr>
            <w:tcW w:w="1696"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Алхам 2</w:t>
            </w:r>
          </w:p>
        </w:tc>
        <w:tc>
          <w:tcPr>
            <w:tcW w:w="7648"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EF2D2B">
              <w:rPr>
                <w:sz w:val="20"/>
                <w:szCs w:val="20"/>
                <w:lang w:val="mn-MN"/>
              </w:rPr>
              <w:t>PMU нь гаралтын өгөгдсөн хурдаар фазуудыг сонгоно</w:t>
            </w:r>
          </w:p>
        </w:tc>
      </w:tr>
      <w:tr w:rsidR="00A71B0E" w:rsidRPr="00731F96" w:rsidTr="00A71B0E">
        <w:tc>
          <w:tcPr>
            <w:tcW w:w="1696"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Алхам 3</w:t>
            </w:r>
          </w:p>
        </w:tc>
        <w:tc>
          <w:tcPr>
            <w:tcW w:w="7648"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EF2D2B">
              <w:rPr>
                <w:sz w:val="20"/>
                <w:szCs w:val="20"/>
                <w:lang w:val="mn-MN"/>
              </w:rPr>
              <w:t>PMU нь тохирох төлөв, цаг хугацааны тэмдэг бүхий өгөгдлийг багцалдаг</w:t>
            </w:r>
          </w:p>
        </w:tc>
      </w:tr>
      <w:tr w:rsidR="00A71B0E" w:rsidRPr="00731F96" w:rsidTr="00A71B0E">
        <w:tc>
          <w:tcPr>
            <w:tcW w:w="1696" w:type="dxa"/>
          </w:tcPr>
          <w:p w:rsidR="00A71B0E" w:rsidRPr="00EF2D2B" w:rsidRDefault="00A71B0E" w:rsidP="00A71B0E">
            <w:pPr>
              <w:pStyle w:val="TableParagraph"/>
              <w:tabs>
                <w:tab w:val="left" w:pos="0"/>
              </w:tabs>
              <w:spacing w:before="58" w:line="276" w:lineRule="auto"/>
              <w:rPr>
                <w:sz w:val="20"/>
                <w:szCs w:val="20"/>
                <w:lang w:val="mn-MN"/>
              </w:rPr>
            </w:pPr>
            <w:r w:rsidRPr="00EF2D2B">
              <w:rPr>
                <w:sz w:val="20"/>
                <w:szCs w:val="20"/>
                <w:lang w:val="mn-MN"/>
              </w:rPr>
              <w:t>Алхам 4</w:t>
            </w:r>
          </w:p>
        </w:tc>
        <w:tc>
          <w:tcPr>
            <w:tcW w:w="7648" w:type="dxa"/>
          </w:tcPr>
          <w:p w:rsidR="00A71B0E" w:rsidRPr="00EF2D2B" w:rsidRDefault="00A71B0E" w:rsidP="00A71B0E">
            <w:pPr>
              <w:pStyle w:val="TableParagraph"/>
              <w:tabs>
                <w:tab w:val="left" w:pos="0"/>
              </w:tabs>
              <w:spacing w:before="58" w:line="276" w:lineRule="auto"/>
              <w:rPr>
                <w:sz w:val="20"/>
                <w:szCs w:val="20"/>
                <w:lang w:val="mn-MN"/>
              </w:rPr>
            </w:pPr>
            <w:r w:rsidRPr="00EF2D2B">
              <w:rPr>
                <w:sz w:val="20"/>
                <w:szCs w:val="20"/>
                <w:lang w:val="mn-MN"/>
              </w:rPr>
              <w:t>PMU нь өгөгдлийг IED руу илгээдэг</w:t>
            </w:r>
          </w:p>
        </w:tc>
      </w:tr>
    </w:tbl>
    <w:p w:rsidR="00A71B0E" w:rsidRPr="00731F96" w:rsidRDefault="00A71B0E" w:rsidP="00A71B0E">
      <w:pPr>
        <w:tabs>
          <w:tab w:val="left" w:pos="0"/>
        </w:tabs>
        <w:spacing w:before="93"/>
        <w:ind w:left="0" w:firstLine="0"/>
        <w:rPr>
          <w:b/>
        </w:rPr>
      </w:pPr>
      <w:r>
        <w:rPr>
          <w:b/>
        </w:rPr>
        <w:t>Basic flow:</w:t>
      </w:r>
    </w:p>
    <w:p w:rsidR="00A71B0E" w:rsidRPr="00731F96" w:rsidRDefault="00A71B0E" w:rsidP="00A71B0E">
      <w:pPr>
        <w:ind w:left="0" w:firstLine="0"/>
      </w:pPr>
      <w:r w:rsidRPr="00731F96">
        <w:t>PMU actions</w:t>
      </w:r>
    </w:p>
    <w:tbl>
      <w:tblPr>
        <w:tblStyle w:val="TableGrid"/>
        <w:tblW w:w="0" w:type="auto"/>
        <w:tblLook w:val="04A0" w:firstRow="1" w:lastRow="0" w:firstColumn="1" w:lastColumn="0" w:noHBand="0" w:noVBand="1"/>
      </w:tblPr>
      <w:tblGrid>
        <w:gridCol w:w="1980"/>
        <w:gridCol w:w="7364"/>
      </w:tblGrid>
      <w:tr w:rsidR="00A71B0E" w:rsidRPr="00731F96" w:rsidTr="00A71B0E">
        <w:tc>
          <w:tcPr>
            <w:tcW w:w="1980" w:type="dxa"/>
          </w:tcPr>
          <w:p w:rsidR="00A71B0E" w:rsidRPr="00EF2D2B" w:rsidRDefault="00A71B0E"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A71B0E" w:rsidRPr="00EF2D2B" w:rsidRDefault="00A71B0E" w:rsidP="00A71B0E">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A71B0E" w:rsidRPr="00731F96" w:rsidTr="00A71B0E">
        <w:tc>
          <w:tcPr>
            <w:tcW w:w="19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Step 1</w:t>
            </w:r>
          </w:p>
        </w:tc>
        <w:tc>
          <w:tcPr>
            <w:tcW w:w="7364" w:type="dxa"/>
          </w:tcPr>
          <w:p w:rsidR="00A71B0E" w:rsidRPr="00731F96" w:rsidRDefault="00A71B0E" w:rsidP="00A71B0E">
            <w:pPr>
              <w:pStyle w:val="TableParagraph"/>
              <w:tabs>
                <w:tab w:val="left" w:pos="0"/>
              </w:tabs>
              <w:spacing w:before="58" w:line="276" w:lineRule="auto"/>
              <w:ind w:right="588"/>
              <w:jc w:val="both"/>
              <w:rPr>
                <w:sz w:val="20"/>
                <w:szCs w:val="20"/>
                <w:lang w:val="mn-MN"/>
              </w:rPr>
            </w:pPr>
            <w:r w:rsidRPr="00731F96">
              <w:rPr>
                <w:sz w:val="20"/>
                <w:szCs w:val="20"/>
                <w:lang w:val="mn-MN"/>
              </w:rPr>
              <w:t>PMU computes V &amp; I synchrophasors</w:t>
            </w:r>
          </w:p>
        </w:tc>
      </w:tr>
      <w:tr w:rsidR="00A71B0E" w:rsidRPr="00731F96" w:rsidTr="00A71B0E">
        <w:tc>
          <w:tcPr>
            <w:tcW w:w="1980" w:type="dxa"/>
          </w:tcPr>
          <w:p w:rsidR="00A71B0E" w:rsidRPr="00EF2D2B" w:rsidRDefault="00A71B0E" w:rsidP="00A71B0E">
            <w:pPr>
              <w:pStyle w:val="TableParagraph"/>
              <w:tabs>
                <w:tab w:val="left" w:pos="0"/>
              </w:tabs>
              <w:spacing w:before="58" w:line="276" w:lineRule="auto"/>
              <w:rPr>
                <w:sz w:val="20"/>
                <w:szCs w:val="20"/>
                <w:lang w:val="mn-MN"/>
              </w:rPr>
            </w:pPr>
            <w:r w:rsidRPr="00EF2D2B">
              <w:rPr>
                <w:sz w:val="20"/>
                <w:szCs w:val="20"/>
                <w:lang w:val="mn-MN"/>
              </w:rPr>
              <w:t>Step 2</w:t>
            </w:r>
          </w:p>
        </w:tc>
        <w:tc>
          <w:tcPr>
            <w:tcW w:w="7364" w:type="dxa"/>
          </w:tcPr>
          <w:p w:rsidR="00A71B0E" w:rsidRPr="00731F96" w:rsidRDefault="00A71B0E" w:rsidP="00A71B0E">
            <w:pPr>
              <w:pStyle w:val="TableParagraph"/>
              <w:tabs>
                <w:tab w:val="left" w:pos="0"/>
              </w:tabs>
              <w:spacing w:before="58" w:line="276" w:lineRule="auto"/>
              <w:ind w:right="588"/>
              <w:jc w:val="both"/>
              <w:rPr>
                <w:sz w:val="20"/>
                <w:szCs w:val="20"/>
                <w:lang w:val="mn-MN"/>
              </w:rPr>
            </w:pPr>
            <w:r w:rsidRPr="00731F96">
              <w:rPr>
                <w:sz w:val="20"/>
                <w:szCs w:val="20"/>
                <w:lang w:val="mn-MN"/>
              </w:rPr>
              <w:t>PMU selects phasors at given output rate</w:t>
            </w:r>
          </w:p>
        </w:tc>
      </w:tr>
      <w:tr w:rsidR="00A71B0E" w:rsidRPr="00731F96" w:rsidTr="00A71B0E">
        <w:tc>
          <w:tcPr>
            <w:tcW w:w="19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Step 3</w:t>
            </w:r>
          </w:p>
        </w:tc>
        <w:tc>
          <w:tcPr>
            <w:tcW w:w="7364" w:type="dxa"/>
          </w:tcPr>
          <w:p w:rsidR="00A71B0E" w:rsidRPr="00731F96" w:rsidRDefault="00A71B0E" w:rsidP="00A71B0E">
            <w:pPr>
              <w:pStyle w:val="TableParagraph"/>
              <w:tabs>
                <w:tab w:val="left" w:pos="0"/>
              </w:tabs>
              <w:spacing w:before="58" w:line="276" w:lineRule="auto"/>
              <w:ind w:right="588"/>
              <w:jc w:val="both"/>
              <w:rPr>
                <w:sz w:val="20"/>
                <w:szCs w:val="20"/>
                <w:lang w:val="mn-MN"/>
              </w:rPr>
            </w:pPr>
            <w:r w:rsidRPr="00731F96">
              <w:rPr>
                <w:sz w:val="20"/>
                <w:szCs w:val="20"/>
                <w:lang w:val="mn-MN"/>
              </w:rPr>
              <w:t>PMU packages data with appropriate status and time stamp</w:t>
            </w:r>
          </w:p>
        </w:tc>
      </w:tr>
      <w:tr w:rsidR="00A71B0E" w:rsidRPr="00731F96" w:rsidTr="00A71B0E">
        <w:tc>
          <w:tcPr>
            <w:tcW w:w="19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Step 4</w:t>
            </w:r>
          </w:p>
        </w:tc>
        <w:tc>
          <w:tcPr>
            <w:tcW w:w="7364" w:type="dxa"/>
          </w:tcPr>
          <w:p w:rsidR="00A71B0E" w:rsidRPr="00EF2D2B" w:rsidRDefault="00A71B0E" w:rsidP="00A71B0E">
            <w:pPr>
              <w:pStyle w:val="TableParagraph"/>
              <w:tabs>
                <w:tab w:val="left" w:pos="0"/>
              </w:tabs>
              <w:spacing w:before="58" w:line="276" w:lineRule="auto"/>
              <w:ind w:right="588"/>
              <w:jc w:val="both"/>
              <w:rPr>
                <w:sz w:val="20"/>
                <w:szCs w:val="20"/>
                <w:lang w:val="mn-MN"/>
              </w:rPr>
            </w:pPr>
            <w:r w:rsidRPr="00731F96">
              <w:rPr>
                <w:sz w:val="20"/>
                <w:szCs w:val="20"/>
                <w:lang w:val="mn-MN"/>
              </w:rPr>
              <w:t>PMU sends da</w:t>
            </w:r>
            <w:r w:rsidRPr="00EF2D2B">
              <w:rPr>
                <w:sz w:val="20"/>
                <w:szCs w:val="20"/>
                <w:lang w:val="mn-MN"/>
              </w:rPr>
              <w:t>ta to the IED</w:t>
            </w:r>
          </w:p>
        </w:tc>
      </w:tr>
    </w:tbl>
    <w:p w:rsidR="00A71B0E" w:rsidRDefault="00A71B0E" w:rsidP="00A71B0E">
      <w:pPr>
        <w:spacing w:after="0" w:line="240" w:lineRule="auto"/>
        <w:ind w:left="0" w:firstLine="0"/>
        <w:rPr>
          <w:b/>
          <w:bCs/>
          <w:color w:val="000000"/>
          <w:shd w:val="clear" w:color="auto" w:fill="FFFFFF"/>
          <w:lang w:val="en-US"/>
        </w:rPr>
      </w:pPr>
    </w:p>
    <w:p w:rsidR="00A71B0E" w:rsidRPr="00E2763A" w:rsidRDefault="00A71B0E" w:rsidP="00A71B0E">
      <w:pPr>
        <w:widowControl w:val="0"/>
        <w:tabs>
          <w:tab w:val="left" w:pos="0"/>
          <w:tab w:val="left" w:pos="1524"/>
          <w:tab w:val="right" w:leader="dot" w:pos="9618"/>
        </w:tabs>
        <w:autoSpaceDE w:val="0"/>
        <w:autoSpaceDN w:val="0"/>
        <w:spacing w:before="60" w:after="0"/>
        <w:ind w:left="0" w:firstLine="0"/>
      </w:pPr>
      <w:r w:rsidRPr="00E2763A">
        <w:lastRenderedPageBreak/>
        <w:t>IED –ийн үйл ажиллагаа</w:t>
      </w:r>
    </w:p>
    <w:tbl>
      <w:tblPr>
        <w:tblStyle w:val="TableGrid"/>
        <w:tblW w:w="0" w:type="auto"/>
        <w:tblLook w:val="04A0" w:firstRow="1" w:lastRow="0" w:firstColumn="1" w:lastColumn="0" w:noHBand="0" w:noVBand="1"/>
      </w:tblPr>
      <w:tblGrid>
        <w:gridCol w:w="1880"/>
        <w:gridCol w:w="7464"/>
      </w:tblGrid>
      <w:tr w:rsidR="00A71B0E" w:rsidRPr="00EF2D2B" w:rsidTr="00A71B0E">
        <w:tc>
          <w:tcPr>
            <w:tcW w:w="1880" w:type="dxa"/>
          </w:tcPr>
          <w:p w:rsidR="00A71B0E" w:rsidRPr="00EF2D2B" w:rsidRDefault="00A71B0E" w:rsidP="00A71B0E">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A71B0E" w:rsidRPr="00731F96" w:rsidRDefault="00A71B0E" w:rsidP="00A71B0E">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A71B0E" w:rsidRPr="00731F96" w:rsidTr="00A71B0E">
        <w:tc>
          <w:tcPr>
            <w:tcW w:w="18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IED нь синхрофазор өгөгдлийг хүлээн авч, өгөгдлийг баталгаажуулдаг</w:t>
            </w:r>
          </w:p>
        </w:tc>
      </w:tr>
      <w:tr w:rsidR="00A71B0E" w:rsidRPr="00731F96" w:rsidTr="00A71B0E">
        <w:tc>
          <w:tcPr>
            <w:tcW w:w="18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IED нь PMU бүрийн өгөгдлийг ашиглан хүчдэлийн уналтын харьцааг тооцоолно</w:t>
            </w:r>
          </w:p>
        </w:tc>
      </w:tr>
      <w:tr w:rsidR="00A71B0E" w:rsidRPr="00731F96" w:rsidTr="00A71B0E">
        <w:tc>
          <w:tcPr>
            <w:tcW w:w="18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Ихэнх хүчдэлийн уналтын харьцаа нь өмнө тогтоосон хэвийн хүчдэлээс хэтэрсэн тохиолдолд IED нь хүчдэлийн уналт үүссэнийг тодорхойлох болно.</w:t>
            </w:r>
          </w:p>
        </w:tc>
      </w:tr>
      <w:tr w:rsidR="00A71B0E" w:rsidRPr="00731F96" w:rsidTr="00A71B0E">
        <w:tc>
          <w:tcPr>
            <w:tcW w:w="1880" w:type="dxa"/>
          </w:tcPr>
          <w:p w:rsidR="00A71B0E" w:rsidRPr="00EF2D2B" w:rsidRDefault="00A71B0E" w:rsidP="00A71B0E">
            <w:pPr>
              <w:pStyle w:val="TableParagraph"/>
              <w:tabs>
                <w:tab w:val="left" w:pos="0"/>
              </w:tabs>
              <w:spacing w:line="276" w:lineRule="auto"/>
              <w:rPr>
                <w:sz w:val="20"/>
                <w:szCs w:val="20"/>
                <w:lang w:val="mn-MN"/>
              </w:rPr>
            </w:pPr>
            <w:r>
              <w:rPr>
                <w:sz w:val="20"/>
                <w:szCs w:val="20"/>
                <w:lang w:val="mn-MN"/>
              </w:rPr>
              <w:t>Алхам 4</w:t>
            </w:r>
          </w:p>
        </w:tc>
        <w:tc>
          <w:tcPr>
            <w:tcW w:w="7464" w:type="dxa"/>
          </w:tcPr>
          <w:p w:rsidR="00A71B0E" w:rsidRPr="00731F96" w:rsidRDefault="00A71B0E" w:rsidP="00A71B0E">
            <w:pPr>
              <w:pStyle w:val="TableParagraph"/>
              <w:tabs>
                <w:tab w:val="left" w:pos="0"/>
              </w:tabs>
              <w:spacing w:line="276" w:lineRule="auto"/>
              <w:rPr>
                <w:sz w:val="20"/>
                <w:szCs w:val="20"/>
                <w:lang w:val="mn-MN"/>
              </w:rPr>
            </w:pPr>
            <w:r w:rsidRPr="00EF2D2B">
              <w:rPr>
                <w:sz w:val="20"/>
                <w:szCs w:val="20"/>
                <w:lang w:val="mn-MN"/>
              </w:rPr>
              <w:t>Хэрэв IED нь хүчдэлийн уналтыг тодорхойлсноор хүчдэл хэвийн хэмжээнд сэргэх хүртэл ачааллыг хязгаарлах.</w:t>
            </w:r>
          </w:p>
        </w:tc>
      </w:tr>
    </w:tbl>
    <w:p w:rsidR="00A71B0E" w:rsidRPr="00E2763A" w:rsidRDefault="00A71B0E" w:rsidP="00A71B0E">
      <w:pPr>
        <w:widowControl w:val="0"/>
        <w:tabs>
          <w:tab w:val="left" w:pos="0"/>
          <w:tab w:val="left" w:pos="1524"/>
          <w:tab w:val="right" w:leader="dot" w:pos="9618"/>
        </w:tabs>
        <w:autoSpaceDE w:val="0"/>
        <w:autoSpaceDN w:val="0"/>
        <w:spacing w:before="60" w:after="0"/>
        <w:ind w:left="0" w:firstLine="0"/>
      </w:pPr>
      <w:r w:rsidRPr="00E2763A">
        <w:t>IED actions</w:t>
      </w:r>
    </w:p>
    <w:tbl>
      <w:tblPr>
        <w:tblStyle w:val="TableGrid"/>
        <w:tblW w:w="0" w:type="auto"/>
        <w:tblLook w:val="04A0" w:firstRow="1" w:lastRow="0" w:firstColumn="1" w:lastColumn="0" w:noHBand="0" w:noVBand="1"/>
      </w:tblPr>
      <w:tblGrid>
        <w:gridCol w:w="1880"/>
        <w:gridCol w:w="7464"/>
      </w:tblGrid>
      <w:tr w:rsidR="00A71B0E" w:rsidRPr="00731F96" w:rsidTr="00A71B0E">
        <w:tc>
          <w:tcPr>
            <w:tcW w:w="1880" w:type="dxa"/>
          </w:tcPr>
          <w:p w:rsidR="00A71B0E" w:rsidRPr="00EF2D2B" w:rsidRDefault="00A71B0E" w:rsidP="00A71B0E">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A71B0E" w:rsidRPr="00EF2D2B" w:rsidRDefault="00A71B0E" w:rsidP="00A71B0E">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A71B0E" w:rsidRPr="00731F96" w:rsidTr="00A71B0E">
        <w:tc>
          <w:tcPr>
            <w:tcW w:w="18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A71B0E" w:rsidRPr="00731F96" w:rsidRDefault="00A71B0E" w:rsidP="00A71B0E">
            <w:pPr>
              <w:pStyle w:val="TableParagraph"/>
              <w:tabs>
                <w:tab w:val="left" w:pos="0"/>
              </w:tabs>
              <w:spacing w:line="276" w:lineRule="auto"/>
              <w:rPr>
                <w:sz w:val="20"/>
                <w:szCs w:val="20"/>
                <w:lang w:val="mn-MN"/>
              </w:rPr>
            </w:pPr>
            <w:r w:rsidRPr="00731F96">
              <w:rPr>
                <w:sz w:val="20"/>
                <w:szCs w:val="20"/>
                <w:lang w:val="mn-MN"/>
              </w:rPr>
              <w:t>IED receives synchrophasor data and validates the data</w:t>
            </w:r>
          </w:p>
        </w:tc>
      </w:tr>
      <w:tr w:rsidR="00A71B0E" w:rsidRPr="00731F96" w:rsidTr="00A71B0E">
        <w:tc>
          <w:tcPr>
            <w:tcW w:w="18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A71B0E" w:rsidRPr="00731F96" w:rsidRDefault="00A71B0E" w:rsidP="00A71B0E">
            <w:pPr>
              <w:pStyle w:val="TableParagraph"/>
              <w:tabs>
                <w:tab w:val="left" w:pos="0"/>
              </w:tabs>
              <w:spacing w:line="276" w:lineRule="auto"/>
              <w:rPr>
                <w:sz w:val="20"/>
                <w:szCs w:val="20"/>
                <w:lang w:val="mn-MN"/>
              </w:rPr>
            </w:pPr>
            <w:r w:rsidRPr="00731F96">
              <w:rPr>
                <w:sz w:val="20"/>
                <w:szCs w:val="20"/>
                <w:lang w:val="mn-MN"/>
              </w:rPr>
              <w:t>IED calculates the ratio of the voltage drop using data from each PMU</w:t>
            </w:r>
          </w:p>
        </w:tc>
      </w:tr>
      <w:tr w:rsidR="00A71B0E" w:rsidRPr="00731F96" w:rsidTr="00A71B0E">
        <w:tc>
          <w:tcPr>
            <w:tcW w:w="1880" w:type="dxa"/>
          </w:tcPr>
          <w:p w:rsidR="00A71B0E" w:rsidRPr="00EF2D2B" w:rsidRDefault="00A71B0E" w:rsidP="00A71B0E">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A71B0E" w:rsidRPr="00EF2D2B" w:rsidRDefault="00A71B0E" w:rsidP="00A71B0E">
            <w:pPr>
              <w:pStyle w:val="TableParagraph"/>
              <w:tabs>
                <w:tab w:val="left" w:pos="0"/>
              </w:tabs>
              <w:spacing w:line="276" w:lineRule="auto"/>
              <w:rPr>
                <w:sz w:val="20"/>
                <w:szCs w:val="20"/>
                <w:lang w:val="mn-MN"/>
              </w:rPr>
            </w:pPr>
            <w:r w:rsidRPr="00731F96">
              <w:rPr>
                <w:sz w:val="20"/>
                <w:szCs w:val="20"/>
                <w:lang w:val="mn-MN"/>
              </w:rPr>
              <w:t>IED will determine that a voltage collapse has occurred, if almost all PMU ratios of voltage drop</w:t>
            </w:r>
            <w:r w:rsidRPr="00EF2D2B">
              <w:rPr>
                <w:sz w:val="20"/>
                <w:szCs w:val="20"/>
                <w:lang w:val="mn-MN"/>
              </w:rPr>
              <w:t xml:space="preserve"> exceed the pre-determined normal voltage value</w:t>
            </w:r>
          </w:p>
        </w:tc>
      </w:tr>
      <w:tr w:rsidR="00A71B0E" w:rsidRPr="00731F96" w:rsidTr="00A71B0E">
        <w:tc>
          <w:tcPr>
            <w:tcW w:w="1880" w:type="dxa"/>
          </w:tcPr>
          <w:p w:rsidR="00A71B0E" w:rsidRPr="00EF2D2B" w:rsidRDefault="00A71B0E" w:rsidP="00A71B0E">
            <w:pPr>
              <w:pStyle w:val="TableParagraph"/>
              <w:tabs>
                <w:tab w:val="left" w:pos="0"/>
              </w:tabs>
              <w:spacing w:line="276" w:lineRule="auto"/>
              <w:rPr>
                <w:sz w:val="20"/>
                <w:szCs w:val="20"/>
                <w:lang w:val="mn-MN"/>
              </w:rPr>
            </w:pPr>
            <w:r>
              <w:rPr>
                <w:sz w:val="20"/>
                <w:szCs w:val="20"/>
                <w:lang w:val="mn-MN"/>
              </w:rPr>
              <w:t>Step 4</w:t>
            </w:r>
          </w:p>
        </w:tc>
        <w:tc>
          <w:tcPr>
            <w:tcW w:w="7464" w:type="dxa"/>
          </w:tcPr>
          <w:p w:rsidR="00A71B0E" w:rsidRPr="00731F96" w:rsidRDefault="00A71B0E" w:rsidP="00A71B0E">
            <w:pPr>
              <w:pStyle w:val="TableParagraph"/>
              <w:tabs>
                <w:tab w:val="left" w:pos="0"/>
              </w:tabs>
              <w:spacing w:line="276" w:lineRule="auto"/>
              <w:rPr>
                <w:sz w:val="20"/>
                <w:szCs w:val="20"/>
                <w:lang w:val="mn-MN"/>
              </w:rPr>
            </w:pPr>
            <w:r w:rsidRPr="00731F96">
              <w:rPr>
                <w:sz w:val="20"/>
                <w:szCs w:val="20"/>
                <w:lang w:val="mn-MN"/>
              </w:rPr>
              <w:t>If the IED detects a voltage collapse, load will be shed by the IED until the pre-determined normal voltage level has been recovered</w:t>
            </w:r>
          </w:p>
        </w:tc>
      </w:tr>
    </w:tbl>
    <w:p w:rsidR="00A71B0E" w:rsidRDefault="00A71B0E" w:rsidP="00A71B0E">
      <w:pPr>
        <w:ind w:left="0" w:firstLine="0"/>
        <w:jc w:val="left"/>
        <w:rPr>
          <w:lang w:val="en-US"/>
        </w:rPr>
      </w:pPr>
    </w:p>
    <w:tbl>
      <w:tblPr>
        <w:tblStyle w:val="TableGrid"/>
        <w:tblW w:w="0" w:type="auto"/>
        <w:tblLook w:val="04A0" w:firstRow="1" w:lastRow="0" w:firstColumn="1" w:lastColumn="0" w:noHBand="0" w:noVBand="1"/>
      </w:tblPr>
      <w:tblGrid>
        <w:gridCol w:w="4672"/>
        <w:gridCol w:w="4672"/>
      </w:tblGrid>
      <w:tr w:rsidR="00A71B0E" w:rsidTr="00A71B0E">
        <w:tc>
          <w:tcPr>
            <w:tcW w:w="4672" w:type="dxa"/>
          </w:tcPr>
          <w:p w:rsidR="00A71B0E" w:rsidRPr="00A71B0E" w:rsidRDefault="00A71B0E" w:rsidP="00A71B0E">
            <w:pPr>
              <w:tabs>
                <w:tab w:val="left" w:pos="0"/>
              </w:tabs>
              <w:ind w:left="0" w:firstLine="0"/>
              <w:rPr>
                <w:rFonts w:eastAsia="Calibri"/>
                <w:b/>
                <w:bCs/>
                <w:szCs w:val="22"/>
              </w:rPr>
            </w:pPr>
            <w:r w:rsidRPr="00A71B0E">
              <w:rPr>
                <w:rFonts w:eastAsia="Calibri"/>
                <w:b/>
                <w:bCs/>
                <w:szCs w:val="22"/>
              </w:rPr>
              <w:t>Хязгаарлалтын нөхцөл:</w:t>
            </w:r>
          </w:p>
          <w:p w:rsidR="00A71B0E" w:rsidRPr="00A71B0E" w:rsidRDefault="00A71B0E" w:rsidP="00A71B0E">
            <w:pPr>
              <w:tabs>
                <w:tab w:val="left" w:pos="0"/>
              </w:tabs>
              <w:ind w:left="0" w:firstLine="0"/>
              <w:rPr>
                <w:rFonts w:eastAsia="Calibri"/>
                <w:bCs/>
                <w:szCs w:val="22"/>
              </w:rPr>
            </w:pPr>
            <w:r w:rsidRPr="00A71B0E">
              <w:rPr>
                <w:rFonts w:eastAsia="Calibri"/>
                <w:bCs/>
                <w:szCs w:val="22"/>
              </w:rPr>
              <w:t>Удирдлагын үйл ажиллагаа хязгаарлагдмал хугацаанд хийгдэх ёстой.Энэхүү хэрэглээ нь хүчдэлийн уналт олон тооны дэд станцуудад нэгэн зэрэг явагдахыг тодорхойлж, урьдчилан тогтоосон хэвийн хүчдэлийн түвшинд сэргэх хүр тэл ачааллыг дэс дараалан тасалдаг.Эхний хүчдэлийн уналтаас эхлээд тухайн хүчдэл хүртэлх хугацааг харгалзан дараах гүйцэтгэлийн шаардлагыг тодорхойлсон болно.</w:t>
            </w:r>
          </w:p>
        </w:tc>
        <w:tc>
          <w:tcPr>
            <w:tcW w:w="4672" w:type="dxa"/>
          </w:tcPr>
          <w:p w:rsidR="00A71B0E" w:rsidRPr="00A71B0E" w:rsidRDefault="00A71B0E" w:rsidP="00A71B0E">
            <w:pPr>
              <w:tabs>
                <w:tab w:val="left" w:pos="0"/>
              </w:tabs>
              <w:ind w:left="0" w:firstLine="0"/>
              <w:rPr>
                <w:rFonts w:eastAsia="Calibri"/>
                <w:b/>
                <w:bCs/>
                <w:szCs w:val="22"/>
              </w:rPr>
            </w:pPr>
            <w:r w:rsidRPr="00A71B0E">
              <w:rPr>
                <w:rFonts w:eastAsia="Calibri"/>
                <w:b/>
                <w:bCs/>
                <w:szCs w:val="22"/>
              </w:rPr>
              <w:t>Constraints:</w:t>
            </w:r>
          </w:p>
          <w:p w:rsidR="00A71B0E" w:rsidRPr="00A71B0E" w:rsidRDefault="00A71B0E" w:rsidP="00A71B0E">
            <w:pPr>
              <w:tabs>
                <w:tab w:val="left" w:pos="0"/>
              </w:tabs>
              <w:ind w:left="0" w:firstLine="0"/>
              <w:rPr>
                <w:rFonts w:eastAsia="Calibri"/>
                <w:bCs/>
                <w:szCs w:val="22"/>
              </w:rPr>
            </w:pPr>
            <w:r w:rsidRPr="00A71B0E">
              <w:rPr>
                <w:rFonts w:eastAsia="Calibri"/>
                <w:bCs/>
                <w:szCs w:val="22"/>
              </w:rPr>
              <w:t>Control actions must take place within a limited time. This application detects the trend that voltage drops are occurring simultaneously in plural substations, and sheds load successively until the pre-determined normal voltage level has been recovered. The following performance requirements have been determined by considering the period from an initial voltage drop to a volt.</w:t>
            </w:r>
          </w:p>
          <w:p w:rsidR="00A71B0E" w:rsidRPr="00A71B0E" w:rsidRDefault="00A71B0E" w:rsidP="00A71B0E">
            <w:pPr>
              <w:pStyle w:val="BodyText"/>
              <w:tabs>
                <w:tab w:val="left" w:pos="0"/>
              </w:tabs>
              <w:spacing w:line="276" w:lineRule="auto"/>
              <w:ind w:right="503"/>
              <w:jc w:val="both"/>
              <w:rPr>
                <w:rFonts w:eastAsia="Calibri"/>
                <w:sz w:val="24"/>
                <w:szCs w:val="22"/>
                <w:lang w:val="mn-MN"/>
              </w:rPr>
            </w:pPr>
          </w:p>
        </w:tc>
      </w:tr>
    </w:tbl>
    <w:p w:rsidR="00A71B0E" w:rsidRDefault="00A71B0E" w:rsidP="00A71B0E">
      <w:pPr>
        <w:ind w:left="0" w:firstLine="0"/>
        <w:jc w:val="left"/>
        <w:rPr>
          <w:lang w:val="en-US"/>
        </w:rPr>
      </w:pPr>
    </w:p>
    <w:tbl>
      <w:tblPr>
        <w:tblStyle w:val="TableGrid"/>
        <w:tblW w:w="0" w:type="auto"/>
        <w:tblLook w:val="04A0" w:firstRow="1" w:lastRow="0" w:firstColumn="1" w:lastColumn="0" w:noHBand="0" w:noVBand="1"/>
      </w:tblPr>
      <w:tblGrid>
        <w:gridCol w:w="2405"/>
        <w:gridCol w:w="3605"/>
        <w:gridCol w:w="3334"/>
      </w:tblGrid>
      <w:tr w:rsidR="00A71B0E" w:rsidTr="00A71B0E">
        <w:tc>
          <w:tcPr>
            <w:tcW w:w="2405" w:type="dxa"/>
          </w:tcPr>
          <w:p w:rsidR="00A71B0E" w:rsidRPr="00731F96" w:rsidRDefault="00A71B0E" w:rsidP="00A71B0E">
            <w:pPr>
              <w:pStyle w:val="TableParagraph"/>
              <w:tabs>
                <w:tab w:val="left" w:pos="0"/>
              </w:tabs>
              <w:spacing w:before="53" w:line="276" w:lineRule="auto"/>
              <w:ind w:left="515"/>
              <w:rPr>
                <w:b/>
                <w:sz w:val="20"/>
                <w:szCs w:val="20"/>
                <w:lang w:val="mn-MN"/>
              </w:rPr>
            </w:pPr>
            <w:r w:rsidRPr="00731F96">
              <w:rPr>
                <w:b/>
                <w:sz w:val="20"/>
                <w:szCs w:val="20"/>
                <w:lang w:val="mn-MN"/>
              </w:rPr>
              <w:t>Хамгийн бага хурд</w:t>
            </w:r>
          </w:p>
        </w:tc>
        <w:tc>
          <w:tcPr>
            <w:tcW w:w="3605" w:type="dxa"/>
          </w:tcPr>
          <w:p w:rsidR="00A71B0E" w:rsidRPr="00EF2D2B" w:rsidRDefault="00A71B0E" w:rsidP="00A71B0E">
            <w:pPr>
              <w:pStyle w:val="TableParagraph"/>
              <w:tabs>
                <w:tab w:val="left" w:pos="0"/>
                <w:tab w:val="left" w:pos="3509"/>
              </w:tabs>
              <w:spacing w:before="53" w:line="276" w:lineRule="auto"/>
              <w:ind w:left="249" w:right="46" w:hanging="257"/>
              <w:jc w:val="center"/>
              <w:rPr>
                <w:b/>
                <w:sz w:val="20"/>
                <w:szCs w:val="20"/>
                <w:lang w:val="mn-MN"/>
              </w:rPr>
            </w:pPr>
            <w:r w:rsidRPr="00EF2D2B">
              <w:rPr>
                <w:b/>
                <w:sz w:val="20"/>
                <w:szCs w:val="20"/>
                <w:lang w:val="mn-MN"/>
              </w:rPr>
              <w:t>Мэдээлэл дамжуулах саатал (хоцролт)-ын зөвшөөрөгдөх хугацаа</w:t>
            </w:r>
          </w:p>
        </w:tc>
        <w:tc>
          <w:tcPr>
            <w:tcW w:w="3334" w:type="dxa"/>
          </w:tcPr>
          <w:p w:rsidR="00A71B0E" w:rsidRPr="00EF2D2B" w:rsidRDefault="00A71B0E" w:rsidP="00A71B0E">
            <w:pPr>
              <w:pStyle w:val="TableParagraph"/>
              <w:tabs>
                <w:tab w:val="left" w:pos="0"/>
              </w:tabs>
              <w:spacing w:before="53" w:line="276" w:lineRule="auto"/>
              <w:ind w:left="521" w:hanging="490"/>
              <w:jc w:val="center"/>
              <w:rPr>
                <w:b/>
                <w:sz w:val="20"/>
                <w:szCs w:val="20"/>
                <w:lang w:val="mn-MN"/>
              </w:rPr>
            </w:pPr>
            <w:r w:rsidRPr="00EF2D2B">
              <w:rPr>
                <w:b/>
                <w:sz w:val="20"/>
                <w:szCs w:val="20"/>
                <w:lang w:val="mn-MN"/>
              </w:rPr>
              <w:t>Хэмжилтийн хугацааны хамгийн их алдаа</w:t>
            </w:r>
          </w:p>
        </w:tc>
      </w:tr>
      <w:tr w:rsidR="00A71B0E" w:rsidTr="00A71B0E">
        <w:tc>
          <w:tcPr>
            <w:tcW w:w="2405" w:type="dxa"/>
          </w:tcPr>
          <w:p w:rsidR="00A71B0E" w:rsidRPr="00EF2D2B" w:rsidRDefault="00A71B0E" w:rsidP="00A71B0E">
            <w:pPr>
              <w:pStyle w:val="TableParagraph"/>
              <w:tabs>
                <w:tab w:val="left" w:pos="0"/>
              </w:tabs>
              <w:spacing w:before="58" w:line="276" w:lineRule="auto"/>
              <w:jc w:val="center"/>
              <w:rPr>
                <w:sz w:val="20"/>
                <w:szCs w:val="20"/>
                <w:lang w:val="mn-MN"/>
              </w:rPr>
            </w:pPr>
            <w:r w:rsidRPr="00EF2D2B">
              <w:rPr>
                <w:spacing w:val="6"/>
                <w:sz w:val="20"/>
                <w:szCs w:val="20"/>
                <w:lang w:val="mn-MN"/>
              </w:rPr>
              <w:t>25/секунд</w:t>
            </w:r>
            <w:r w:rsidRPr="00EF2D2B">
              <w:rPr>
                <w:sz w:val="20"/>
                <w:szCs w:val="20"/>
                <w:lang w:val="mn-MN"/>
              </w:rPr>
              <w:t xml:space="preserve">@  </w:t>
            </w:r>
            <w:r w:rsidRPr="00EF2D2B">
              <w:rPr>
                <w:spacing w:val="3"/>
                <w:sz w:val="20"/>
                <w:szCs w:val="20"/>
                <w:lang w:val="mn-MN"/>
              </w:rPr>
              <w:t>50 Hz</w:t>
            </w:r>
          </w:p>
          <w:p w:rsidR="00A71B0E" w:rsidRPr="00EF2D2B" w:rsidRDefault="00A71B0E" w:rsidP="00A71B0E">
            <w:pPr>
              <w:pStyle w:val="TableParagraph"/>
              <w:tabs>
                <w:tab w:val="left" w:pos="0"/>
              </w:tabs>
              <w:spacing w:before="119" w:line="276" w:lineRule="auto"/>
              <w:jc w:val="center"/>
              <w:rPr>
                <w:sz w:val="20"/>
                <w:szCs w:val="20"/>
                <w:lang w:val="mn-MN"/>
              </w:rPr>
            </w:pPr>
            <w:r w:rsidRPr="00731F96">
              <w:rPr>
                <w:spacing w:val="6"/>
                <w:sz w:val="20"/>
                <w:szCs w:val="20"/>
                <w:lang w:val="mn-MN"/>
              </w:rPr>
              <w:t>30/секунд</w:t>
            </w:r>
            <w:r w:rsidRPr="00EF2D2B">
              <w:rPr>
                <w:sz w:val="20"/>
                <w:szCs w:val="20"/>
                <w:lang w:val="mn-MN"/>
              </w:rPr>
              <w:t xml:space="preserve">@  </w:t>
            </w:r>
            <w:r w:rsidRPr="00EF2D2B">
              <w:rPr>
                <w:spacing w:val="3"/>
                <w:sz w:val="20"/>
                <w:szCs w:val="20"/>
                <w:lang w:val="mn-MN"/>
              </w:rPr>
              <w:t>60 Hz</w:t>
            </w:r>
          </w:p>
        </w:tc>
        <w:tc>
          <w:tcPr>
            <w:tcW w:w="3605" w:type="dxa"/>
          </w:tcPr>
          <w:p w:rsidR="00A71B0E" w:rsidRPr="00EF2D2B" w:rsidRDefault="00A71B0E" w:rsidP="00A71B0E">
            <w:pPr>
              <w:pStyle w:val="TableParagraph"/>
              <w:tabs>
                <w:tab w:val="left" w:pos="0"/>
              </w:tabs>
              <w:spacing w:before="58" w:line="276" w:lineRule="auto"/>
              <w:ind w:right="1395"/>
              <w:jc w:val="center"/>
              <w:rPr>
                <w:sz w:val="20"/>
                <w:szCs w:val="20"/>
                <w:lang w:val="mn-MN"/>
              </w:rPr>
            </w:pPr>
            <w:r w:rsidRPr="00EF2D2B">
              <w:rPr>
                <w:sz w:val="20"/>
                <w:szCs w:val="20"/>
                <w:lang w:val="mn-MN"/>
              </w:rPr>
              <w:t>100 мс</w:t>
            </w:r>
          </w:p>
        </w:tc>
        <w:tc>
          <w:tcPr>
            <w:tcW w:w="3334" w:type="dxa"/>
          </w:tcPr>
          <w:p w:rsidR="00A71B0E" w:rsidRPr="00EF2D2B" w:rsidRDefault="00A71B0E" w:rsidP="00A71B0E">
            <w:pPr>
              <w:pStyle w:val="TableParagraph"/>
              <w:tabs>
                <w:tab w:val="left" w:pos="0"/>
              </w:tabs>
              <w:spacing w:before="58" w:line="276" w:lineRule="auto"/>
              <w:ind w:right="1363"/>
              <w:jc w:val="center"/>
              <w:rPr>
                <w:sz w:val="20"/>
                <w:szCs w:val="20"/>
                <w:lang w:val="mn-MN"/>
              </w:rPr>
            </w:pPr>
            <w:r w:rsidRPr="00EF2D2B">
              <w:rPr>
                <w:sz w:val="20"/>
                <w:szCs w:val="20"/>
                <w:lang w:val="mn-MN"/>
              </w:rPr>
              <w:t>10 мс</w:t>
            </w:r>
          </w:p>
        </w:tc>
      </w:tr>
    </w:tbl>
    <w:p w:rsidR="00A71B0E" w:rsidRDefault="00A71B0E" w:rsidP="00A71B0E">
      <w:pPr>
        <w:ind w:left="0" w:firstLine="0"/>
        <w:rPr>
          <w:b/>
          <w:lang w:val="en-US"/>
        </w:rPr>
      </w:pPr>
    </w:p>
    <w:tbl>
      <w:tblPr>
        <w:tblStyle w:val="TableGrid"/>
        <w:tblW w:w="0" w:type="auto"/>
        <w:tblLook w:val="04A0" w:firstRow="1" w:lastRow="0" w:firstColumn="1" w:lastColumn="0" w:noHBand="0" w:noVBand="1"/>
      </w:tblPr>
      <w:tblGrid>
        <w:gridCol w:w="2485"/>
        <w:gridCol w:w="3706"/>
        <w:gridCol w:w="3153"/>
      </w:tblGrid>
      <w:tr w:rsidR="00A71B0E" w:rsidRPr="00E2763A" w:rsidTr="00A71B0E">
        <w:tc>
          <w:tcPr>
            <w:tcW w:w="2485" w:type="dxa"/>
          </w:tcPr>
          <w:p w:rsidR="00A71B0E" w:rsidRPr="00A71B0E" w:rsidRDefault="00A71B0E" w:rsidP="00A71B0E">
            <w:pPr>
              <w:pStyle w:val="TableParagraph"/>
              <w:tabs>
                <w:tab w:val="left" w:pos="0"/>
              </w:tabs>
              <w:spacing w:before="53" w:line="276" w:lineRule="auto"/>
              <w:ind w:left="515"/>
              <w:rPr>
                <w:b/>
                <w:sz w:val="20"/>
                <w:szCs w:val="20"/>
                <w:lang w:val="mn-MN"/>
              </w:rPr>
            </w:pPr>
            <w:r w:rsidRPr="00A71B0E">
              <w:rPr>
                <w:b/>
                <w:sz w:val="20"/>
                <w:szCs w:val="20"/>
                <w:lang w:val="mn-MN"/>
              </w:rPr>
              <w:t>Minimum rate</w:t>
            </w:r>
          </w:p>
        </w:tc>
        <w:tc>
          <w:tcPr>
            <w:tcW w:w="3706" w:type="dxa"/>
          </w:tcPr>
          <w:p w:rsidR="00A71B0E" w:rsidRPr="00A71B0E" w:rsidRDefault="00A71B0E" w:rsidP="00A71B0E">
            <w:pPr>
              <w:pStyle w:val="TableParagraph"/>
              <w:tabs>
                <w:tab w:val="left" w:pos="0"/>
              </w:tabs>
              <w:spacing w:before="53" w:line="276" w:lineRule="auto"/>
              <w:ind w:left="515"/>
              <w:rPr>
                <w:b/>
                <w:sz w:val="20"/>
                <w:szCs w:val="20"/>
                <w:lang w:val="mn-MN"/>
              </w:rPr>
            </w:pPr>
            <w:r w:rsidRPr="00A71B0E">
              <w:rPr>
                <w:b/>
                <w:sz w:val="20"/>
                <w:szCs w:val="20"/>
                <w:lang w:val="mn-MN"/>
              </w:rPr>
              <w:t>Allowable communication delay (latency) time</w:t>
            </w:r>
          </w:p>
        </w:tc>
        <w:tc>
          <w:tcPr>
            <w:tcW w:w="3153" w:type="dxa"/>
          </w:tcPr>
          <w:p w:rsidR="00A71B0E" w:rsidRPr="00A71B0E" w:rsidRDefault="00A71B0E" w:rsidP="00A71B0E">
            <w:pPr>
              <w:pStyle w:val="TableParagraph"/>
              <w:tabs>
                <w:tab w:val="left" w:pos="0"/>
              </w:tabs>
              <w:spacing w:before="53" w:line="276" w:lineRule="auto"/>
              <w:ind w:left="515"/>
              <w:rPr>
                <w:b/>
                <w:sz w:val="20"/>
                <w:szCs w:val="20"/>
                <w:lang w:val="mn-MN"/>
              </w:rPr>
            </w:pPr>
            <w:r w:rsidRPr="00A71B0E">
              <w:rPr>
                <w:b/>
                <w:sz w:val="20"/>
                <w:szCs w:val="20"/>
                <w:lang w:val="mn-MN"/>
              </w:rPr>
              <w:t>Maximum measurement timing error</w:t>
            </w:r>
          </w:p>
        </w:tc>
      </w:tr>
      <w:tr w:rsidR="00A71B0E" w:rsidRPr="00EF2D2B" w:rsidTr="00A71B0E">
        <w:tc>
          <w:tcPr>
            <w:tcW w:w="2485" w:type="dxa"/>
          </w:tcPr>
          <w:p w:rsidR="00A71B0E" w:rsidRPr="00A71B0E" w:rsidRDefault="00A71B0E" w:rsidP="00A71B0E">
            <w:pPr>
              <w:pStyle w:val="TableParagraph"/>
              <w:tabs>
                <w:tab w:val="left" w:pos="0"/>
              </w:tabs>
              <w:spacing w:before="58" w:line="276" w:lineRule="auto"/>
              <w:jc w:val="center"/>
              <w:rPr>
                <w:spacing w:val="6"/>
                <w:sz w:val="20"/>
                <w:szCs w:val="20"/>
                <w:lang w:val="mn-MN"/>
              </w:rPr>
            </w:pPr>
            <w:r w:rsidRPr="00A71B0E">
              <w:rPr>
                <w:spacing w:val="6"/>
                <w:sz w:val="20"/>
                <w:szCs w:val="20"/>
                <w:lang w:val="mn-MN"/>
              </w:rPr>
              <w:t>25/second @  50 Hz</w:t>
            </w:r>
          </w:p>
          <w:p w:rsidR="00A71B0E" w:rsidRPr="00A71B0E" w:rsidRDefault="00A71B0E" w:rsidP="00A71B0E">
            <w:pPr>
              <w:pStyle w:val="TableParagraph"/>
              <w:tabs>
                <w:tab w:val="left" w:pos="0"/>
              </w:tabs>
              <w:spacing w:before="58" w:line="276" w:lineRule="auto"/>
              <w:jc w:val="center"/>
              <w:rPr>
                <w:spacing w:val="6"/>
                <w:sz w:val="20"/>
                <w:szCs w:val="20"/>
                <w:lang w:val="mn-MN"/>
              </w:rPr>
            </w:pPr>
            <w:r w:rsidRPr="00A71B0E">
              <w:rPr>
                <w:spacing w:val="6"/>
                <w:sz w:val="20"/>
                <w:szCs w:val="20"/>
                <w:lang w:val="mn-MN"/>
              </w:rPr>
              <w:t>30/second @  60 Hz</w:t>
            </w:r>
          </w:p>
        </w:tc>
        <w:tc>
          <w:tcPr>
            <w:tcW w:w="3706" w:type="dxa"/>
          </w:tcPr>
          <w:p w:rsidR="00A71B0E" w:rsidRPr="00A71B0E" w:rsidRDefault="00A71B0E" w:rsidP="00A71B0E">
            <w:pPr>
              <w:pStyle w:val="TableParagraph"/>
              <w:tabs>
                <w:tab w:val="left" w:pos="0"/>
              </w:tabs>
              <w:spacing w:before="58" w:line="276" w:lineRule="auto"/>
              <w:jc w:val="center"/>
              <w:rPr>
                <w:spacing w:val="6"/>
                <w:sz w:val="20"/>
                <w:szCs w:val="20"/>
                <w:lang w:val="mn-MN"/>
              </w:rPr>
            </w:pPr>
            <w:r w:rsidRPr="00A71B0E">
              <w:rPr>
                <w:spacing w:val="6"/>
                <w:sz w:val="20"/>
                <w:szCs w:val="20"/>
                <w:lang w:val="mn-MN"/>
              </w:rPr>
              <w:t>100 ms</w:t>
            </w:r>
          </w:p>
        </w:tc>
        <w:tc>
          <w:tcPr>
            <w:tcW w:w="3153" w:type="dxa"/>
          </w:tcPr>
          <w:p w:rsidR="00A71B0E" w:rsidRPr="00A71B0E" w:rsidRDefault="00A71B0E" w:rsidP="00A71B0E">
            <w:pPr>
              <w:pStyle w:val="TableParagraph"/>
              <w:tabs>
                <w:tab w:val="left" w:pos="0"/>
              </w:tabs>
              <w:spacing w:before="58" w:line="276" w:lineRule="auto"/>
              <w:jc w:val="center"/>
              <w:rPr>
                <w:spacing w:val="6"/>
                <w:sz w:val="20"/>
                <w:szCs w:val="20"/>
                <w:lang w:val="mn-MN"/>
              </w:rPr>
            </w:pPr>
            <w:r w:rsidRPr="00A71B0E">
              <w:rPr>
                <w:spacing w:val="6"/>
                <w:sz w:val="20"/>
                <w:szCs w:val="20"/>
                <w:lang w:val="mn-MN"/>
              </w:rPr>
              <w:t>10 ms</w:t>
            </w:r>
          </w:p>
        </w:tc>
      </w:tr>
    </w:tbl>
    <w:p w:rsidR="00A71B0E" w:rsidRDefault="00A71B0E" w:rsidP="00A71B0E">
      <w:pPr>
        <w:ind w:left="0" w:firstLine="0"/>
        <w:jc w:val="left"/>
        <w:rPr>
          <w:lang w:val="en-US"/>
        </w:rPr>
      </w:pPr>
    </w:p>
    <w:tbl>
      <w:tblPr>
        <w:tblStyle w:val="TableGrid"/>
        <w:tblW w:w="0" w:type="auto"/>
        <w:tblLook w:val="04A0" w:firstRow="1" w:lastRow="0" w:firstColumn="1" w:lastColumn="0" w:noHBand="0" w:noVBand="1"/>
      </w:tblPr>
      <w:tblGrid>
        <w:gridCol w:w="4672"/>
        <w:gridCol w:w="4672"/>
      </w:tblGrid>
      <w:tr w:rsidR="00A71B0E" w:rsidTr="00A71B0E">
        <w:tc>
          <w:tcPr>
            <w:tcW w:w="4672" w:type="dxa"/>
          </w:tcPr>
          <w:p w:rsidR="00A71B0E" w:rsidRPr="00A71B0E" w:rsidRDefault="00A71B0E" w:rsidP="00A71B0E">
            <w:pPr>
              <w:tabs>
                <w:tab w:val="left" w:pos="0"/>
              </w:tabs>
              <w:ind w:left="0" w:firstLine="0"/>
              <w:rPr>
                <w:rFonts w:eastAsia="Calibri"/>
                <w:b/>
                <w:bCs/>
                <w:szCs w:val="22"/>
              </w:rPr>
            </w:pPr>
            <w:r w:rsidRPr="00A71B0E">
              <w:rPr>
                <w:rFonts w:eastAsia="Calibri"/>
                <w:b/>
                <w:bCs/>
                <w:szCs w:val="22"/>
              </w:rPr>
              <w:t>5.9.5 Үзэгдлийн таамаглалын төрөл WAMPAC</w:t>
            </w:r>
          </w:p>
          <w:p w:rsidR="00A71B0E" w:rsidRPr="00A71B0E" w:rsidRDefault="00A71B0E" w:rsidP="00A71B0E">
            <w:pPr>
              <w:tabs>
                <w:tab w:val="left" w:pos="0"/>
              </w:tabs>
              <w:ind w:left="0" w:firstLine="0"/>
              <w:rPr>
                <w:rFonts w:eastAsia="Calibri"/>
                <w:bCs/>
                <w:szCs w:val="22"/>
              </w:rPr>
            </w:pPr>
            <w:r w:rsidRPr="00A71B0E">
              <w:rPr>
                <w:rFonts w:eastAsia="Calibri"/>
                <w:bCs/>
                <w:szCs w:val="22"/>
              </w:rPr>
              <w:lastRenderedPageBreak/>
              <w:t>Эрчим хүчний сүлжээний үндсэн хэсэгт гэмтэл, саатал гарсан тохиолдолд түүнд холбогдсон  генераторуудын синхрончлол алдагдаж болзошгүй юм. Мөн дамжуулах шугамууд болон трансформаторуудад хэт ачаалал үүсгэдэг.Үүсгэгч ба хэрэглээний хоорондох тэнцвэргүй байдал нь эрчим хүчний системийн сүлжээг тусгаарлах, давтамж өөрчлөгдөх нөхцөлийг бий болгодог.</w:t>
            </w:r>
          </w:p>
          <w:p w:rsidR="00A71B0E" w:rsidRPr="00A71B0E" w:rsidRDefault="00A71B0E" w:rsidP="00A71B0E">
            <w:pPr>
              <w:tabs>
                <w:tab w:val="left" w:pos="0"/>
              </w:tabs>
              <w:ind w:left="0" w:firstLine="0"/>
              <w:rPr>
                <w:rFonts w:eastAsia="Calibri"/>
                <w:bCs/>
                <w:szCs w:val="22"/>
              </w:rPr>
            </w:pPr>
            <w:r w:rsidRPr="00A71B0E">
              <w:rPr>
                <w:rFonts w:eastAsia="Calibri"/>
                <w:bCs/>
                <w:szCs w:val="22"/>
              </w:rPr>
              <w:t>Үзэгдлийн таамаглалын төрөл WAMPAC (Өргөн зурвасын хяналт-шинжилгээ, хамгаалалт ба удирдлага) нь эрчим хүчний системийн мэдээллийг онлайнаар ашиглан гэмтлийг урьдчилан тооцох тооцоонд үндэслэн эрчим хүчний системийн сүлжээнд ийм төрлийн тогтворгүй (хэвийн бус) нөхцөл үүсэхээс урьдчилан сэргийлж генератор ба ачаалал хязгаарлана.</w:t>
            </w:r>
          </w:p>
          <w:p w:rsidR="00A71B0E" w:rsidRPr="00A71B0E" w:rsidRDefault="00A71B0E" w:rsidP="00A71B0E">
            <w:pPr>
              <w:tabs>
                <w:tab w:val="left" w:pos="0"/>
              </w:tabs>
              <w:ind w:left="0" w:firstLine="0"/>
              <w:rPr>
                <w:rFonts w:eastAsia="Calibri"/>
                <w:bCs/>
                <w:szCs w:val="22"/>
              </w:rPr>
            </w:pPr>
            <w:r w:rsidRPr="00A71B0E">
              <w:rPr>
                <w:rFonts w:eastAsia="Calibri"/>
                <w:bCs/>
                <w:szCs w:val="22"/>
              </w:rPr>
              <w:t xml:space="preserve">Үзэгдлийн таамаглалын төрөл WAMPAC нь өгөгдөл цуглуулах терминал төхөөрөмж (PMU_M: PMU бүлэг M), Цуглуулах терминал төхөөрөмж ба триггер  (PMU_P: PMU бүлэг P), Төв Төхөөрөмж (CE) ба Нэгж Удирдлагын Терминал (IED)-аас бүрдэнэ. PMU_M нь үндсэн дэд станц ба цахилгаан станц дээр байрладаг. PMU_P нь дэд станцад байрладаг бөгөөд гэмтлийг (шугамын гэмтэл) урьдчилан илрүүлэх боломжтой.IED нэгжүүд нь цахилгаан станцын тусгаарлалт хийх генераторуудад байрлана.PDC ба CE нь ихэвчлэн PMU_M ба PMU_P-аас эрчим хүчний системийн мэдээллийг авах боломжтой төв удирдлагын төвд байрладаг. </w:t>
            </w:r>
          </w:p>
          <w:p w:rsidR="00A71B0E" w:rsidRPr="00A71B0E" w:rsidRDefault="00A71B0E" w:rsidP="00A71B0E">
            <w:pPr>
              <w:tabs>
                <w:tab w:val="left" w:pos="0"/>
              </w:tabs>
              <w:ind w:left="0" w:firstLine="0"/>
              <w:rPr>
                <w:rFonts w:eastAsia="Calibri"/>
                <w:bCs/>
                <w:szCs w:val="22"/>
              </w:rPr>
            </w:pPr>
            <w:r w:rsidRPr="00A71B0E">
              <w:rPr>
                <w:rFonts w:eastAsia="Calibri"/>
                <w:bCs/>
                <w:szCs w:val="22"/>
              </w:rPr>
              <w:t>Мэдээллийн ерөнхий урсгалыг 10-р зурагт үзүүлэв.</w:t>
            </w:r>
          </w:p>
        </w:tc>
        <w:tc>
          <w:tcPr>
            <w:tcW w:w="4672" w:type="dxa"/>
          </w:tcPr>
          <w:p w:rsidR="00A71B0E" w:rsidRPr="00A71B0E" w:rsidRDefault="00A71B0E" w:rsidP="00A71B0E">
            <w:pPr>
              <w:tabs>
                <w:tab w:val="left" w:pos="0"/>
              </w:tabs>
              <w:ind w:left="0" w:firstLine="0"/>
              <w:rPr>
                <w:rFonts w:eastAsia="Calibri"/>
                <w:b/>
                <w:bCs/>
                <w:szCs w:val="22"/>
              </w:rPr>
            </w:pPr>
            <w:r w:rsidRPr="00A71B0E">
              <w:rPr>
                <w:rFonts w:eastAsia="Calibri"/>
                <w:b/>
                <w:bCs/>
                <w:szCs w:val="22"/>
              </w:rPr>
              <w:lastRenderedPageBreak/>
              <w:t>5.9.5 Phenomenon assumption type WAMPAC</w:t>
            </w:r>
          </w:p>
          <w:p w:rsidR="00A71B0E" w:rsidRPr="00A71B0E" w:rsidRDefault="00A71B0E" w:rsidP="00A71B0E">
            <w:pPr>
              <w:tabs>
                <w:tab w:val="left" w:pos="0"/>
              </w:tabs>
              <w:ind w:left="0" w:firstLine="0"/>
              <w:rPr>
                <w:rFonts w:eastAsia="Calibri"/>
                <w:bCs/>
                <w:szCs w:val="22"/>
              </w:rPr>
            </w:pPr>
            <w:r w:rsidRPr="00A71B0E">
              <w:rPr>
                <w:rFonts w:eastAsia="Calibri"/>
                <w:bCs/>
                <w:szCs w:val="22"/>
              </w:rPr>
              <w:lastRenderedPageBreak/>
              <w:t>When a very severe fault occurs, such as the complete loss of an important power corridor, generators may lose synchronisation with the power network. It may also cause overload of transmission lines or transformers. Imbalance between generation and consumption can occur when a power system network is separated resulting in abnormal frequency conditions.</w:t>
            </w:r>
          </w:p>
          <w:p w:rsidR="00A71B0E" w:rsidRPr="00A71B0E" w:rsidRDefault="00A71B0E" w:rsidP="00A71B0E">
            <w:pPr>
              <w:tabs>
                <w:tab w:val="left" w:pos="0"/>
              </w:tabs>
              <w:ind w:left="0" w:firstLine="0"/>
              <w:rPr>
                <w:rFonts w:eastAsia="Calibri"/>
                <w:bCs/>
                <w:szCs w:val="22"/>
              </w:rPr>
            </w:pPr>
            <w:r w:rsidRPr="00A71B0E">
              <w:rPr>
                <w:rFonts w:eastAsia="Calibri"/>
                <w:bCs/>
                <w:szCs w:val="22"/>
              </w:rPr>
              <w:t>Phenomenon assumption type WAMPAC (Wide Area Monitoring, Protection and Control) executes generator shedding or load shedding in order to avoid these types of unstable conditions on the power system network based on a pre-fault calculation using on-line power system information.</w:t>
            </w:r>
          </w:p>
          <w:p w:rsidR="00A71B0E" w:rsidRPr="00A71B0E" w:rsidRDefault="00A71B0E" w:rsidP="00A71B0E">
            <w:pPr>
              <w:tabs>
                <w:tab w:val="left" w:pos="0"/>
              </w:tabs>
              <w:ind w:left="0" w:firstLine="0"/>
              <w:rPr>
                <w:rFonts w:eastAsia="Calibri"/>
                <w:bCs/>
                <w:szCs w:val="22"/>
              </w:rPr>
            </w:pPr>
            <w:r w:rsidRPr="00A71B0E">
              <w:rPr>
                <w:rFonts w:eastAsia="Calibri"/>
                <w:bCs/>
                <w:szCs w:val="22"/>
              </w:rPr>
              <w:t>Phenomenon assumption type WAMPAC is composed of data collecting Terminal Equipment (PMU_M: PMU class M), collecting and Triggering Terminal Equipment (PMU_P: PMU class  P), Controller Terminal Unit (IED) and Central Equipment (CE). PMU_M is located at the main substation and the power station. PMU_P is located at the substation in which the detection of the faults predicted (such as line faults) is possible. IED units are located at power stations in which the generators to be shed are located. PDC and CE are typically located in a central control centre where on-line power system information from PMU_M and PMU_P can be obtained.</w:t>
            </w:r>
          </w:p>
          <w:p w:rsidR="00A71B0E" w:rsidRPr="00A71B0E" w:rsidRDefault="00A71B0E" w:rsidP="00A71B0E">
            <w:pPr>
              <w:tabs>
                <w:tab w:val="left" w:pos="0"/>
              </w:tabs>
              <w:ind w:left="0" w:firstLine="0"/>
              <w:rPr>
                <w:rFonts w:eastAsia="Calibri"/>
                <w:bCs/>
                <w:szCs w:val="22"/>
              </w:rPr>
            </w:pPr>
            <w:r w:rsidRPr="00A71B0E">
              <w:rPr>
                <w:rFonts w:eastAsia="Calibri"/>
                <w:bCs/>
                <w:szCs w:val="22"/>
              </w:rPr>
              <w:t>The general information flow id shown in Figure 10.</w:t>
            </w:r>
          </w:p>
        </w:tc>
      </w:tr>
    </w:tbl>
    <w:p w:rsidR="00A71B0E" w:rsidRDefault="00A71B0E" w:rsidP="00A71B0E">
      <w:pPr>
        <w:ind w:left="0" w:firstLine="0"/>
        <w:jc w:val="left"/>
        <w:rPr>
          <w:lang w:val="en-US"/>
        </w:rPr>
      </w:pPr>
    </w:p>
    <w:p w:rsidR="00811BEA" w:rsidRDefault="00811BEA" w:rsidP="00811BEA">
      <w:pPr>
        <w:ind w:left="0" w:firstLine="0"/>
        <w:jc w:val="left"/>
      </w:pPr>
      <w:r w:rsidRPr="00EF2D2B">
        <w:object w:dxaOrig="8218" w:dyaOrig="4809">
          <v:shape id="_x0000_i1068" type="#_x0000_t75" style="width:410.25pt;height:239.45pt" o:ole="">
            <v:imagedata r:id="rId36" o:title=""/>
          </v:shape>
          <o:OLEObject Type="Embed" ProgID="Visio.Drawing.11" ShapeID="_x0000_i1068" DrawAspect="Content" ObjectID="_1701177458" r:id="rId37"/>
        </w:object>
      </w:r>
    </w:p>
    <w:p w:rsidR="00811BEA" w:rsidRDefault="00811BEA" w:rsidP="00811BEA">
      <w:pPr>
        <w:ind w:left="0" w:firstLine="0"/>
        <w:jc w:val="center"/>
        <w:rPr>
          <w:b/>
          <w:lang w:val="en-US"/>
        </w:rPr>
      </w:pPr>
      <w:r w:rsidRPr="00811BEA">
        <w:rPr>
          <w:b/>
          <w:lang w:val="en-US"/>
        </w:rPr>
        <w:t>10-</w:t>
      </w:r>
      <w:r w:rsidRPr="00811BEA">
        <w:rPr>
          <w:b/>
        </w:rPr>
        <w:t>р зураг</w:t>
      </w:r>
      <w:r w:rsidRPr="00811BEA">
        <w:rPr>
          <w:b/>
          <w:lang w:val="en-US"/>
        </w:rPr>
        <w:t xml:space="preserve"> – WAMPAC-д ашиглах схем</w:t>
      </w:r>
    </w:p>
    <w:p w:rsidR="00811BEA" w:rsidRDefault="00811BEA" w:rsidP="00811BEA">
      <w:pPr>
        <w:ind w:left="0" w:firstLine="0"/>
        <w:jc w:val="center"/>
        <w:rPr>
          <w:b/>
          <w:lang w:val="en-US"/>
        </w:rPr>
      </w:pPr>
    </w:p>
    <w:p w:rsidR="00811BEA" w:rsidRDefault="00811BEA" w:rsidP="00811BEA">
      <w:pPr>
        <w:ind w:left="0" w:firstLine="0"/>
        <w:jc w:val="center"/>
        <w:rPr>
          <w:b/>
          <w:lang w:val="en-US"/>
        </w:rPr>
      </w:pPr>
      <w:r w:rsidRPr="00EF2D2B">
        <w:rPr>
          <w:noProof/>
          <w:lang w:val="en-US"/>
        </w:rPr>
        <w:drawing>
          <wp:inline distT="0" distB="0" distL="0" distR="0" wp14:anchorId="2FD62450" wp14:editId="453BCF07">
            <wp:extent cx="5470635" cy="3829445"/>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1970" cy="3837380"/>
                    </a:xfrm>
                    <a:prstGeom prst="rect">
                      <a:avLst/>
                    </a:prstGeom>
                  </pic:spPr>
                </pic:pic>
              </a:graphicData>
            </a:graphic>
          </wp:inline>
        </w:drawing>
      </w:r>
    </w:p>
    <w:p w:rsidR="00811BEA" w:rsidRDefault="00811BEA" w:rsidP="00811BEA">
      <w:pPr>
        <w:ind w:left="0" w:firstLine="0"/>
        <w:jc w:val="center"/>
        <w:rPr>
          <w:b/>
          <w:lang w:val="en-US"/>
        </w:rPr>
      </w:pPr>
      <w:r w:rsidRPr="00811BEA">
        <w:rPr>
          <w:b/>
          <w:lang w:val="en-US"/>
        </w:rPr>
        <w:t>Figure 10 – Use case diagram for WAMPAC</w:t>
      </w:r>
    </w:p>
    <w:p w:rsidR="00811BEA" w:rsidRDefault="00811BEA" w:rsidP="00A71B0E">
      <w:pPr>
        <w:ind w:left="0" w:firstLine="0"/>
        <w:jc w:val="left"/>
        <w:rPr>
          <w:lang w:val="en-US"/>
        </w:rPr>
      </w:pPr>
    </w:p>
    <w:tbl>
      <w:tblPr>
        <w:tblStyle w:val="TableGrid"/>
        <w:tblW w:w="0" w:type="auto"/>
        <w:tblLook w:val="04A0" w:firstRow="1" w:lastRow="0" w:firstColumn="1" w:lastColumn="0" w:noHBand="0" w:noVBand="1"/>
      </w:tblPr>
      <w:tblGrid>
        <w:gridCol w:w="4672"/>
        <w:gridCol w:w="4672"/>
      </w:tblGrid>
      <w:tr w:rsidR="00811BEA" w:rsidTr="00811BEA">
        <w:tc>
          <w:tcPr>
            <w:tcW w:w="4672" w:type="dxa"/>
          </w:tcPr>
          <w:p w:rsidR="00811BEA" w:rsidRPr="00811BEA" w:rsidRDefault="00811BEA" w:rsidP="00811BEA">
            <w:pPr>
              <w:tabs>
                <w:tab w:val="left" w:pos="0"/>
              </w:tabs>
              <w:ind w:left="0" w:firstLine="0"/>
              <w:rPr>
                <w:rFonts w:eastAsia="Calibri"/>
                <w:bCs/>
                <w:szCs w:val="22"/>
              </w:rPr>
            </w:pPr>
            <w:r w:rsidRPr="00811BEA">
              <w:rPr>
                <w:rFonts w:eastAsia="Calibri"/>
                <w:bCs/>
                <w:szCs w:val="22"/>
              </w:rPr>
              <w:t>Тоног төхөөрөмжийн төрөл, тэдгээрийн ажиллах зарчмыг байдлаар тайлбарлав:</w:t>
            </w:r>
          </w:p>
          <w:p w:rsidR="00811BEA" w:rsidRPr="00811BEA" w:rsidRDefault="00811BEA" w:rsidP="00811BEA">
            <w:pPr>
              <w:tabs>
                <w:tab w:val="left" w:pos="0"/>
              </w:tabs>
              <w:ind w:left="0" w:firstLine="0"/>
              <w:rPr>
                <w:rFonts w:eastAsia="Calibri"/>
                <w:bCs/>
                <w:szCs w:val="22"/>
              </w:rPr>
            </w:pPr>
            <w:r w:rsidRPr="00811BEA">
              <w:rPr>
                <w:rFonts w:eastAsia="Calibri"/>
                <w:bCs/>
                <w:szCs w:val="22"/>
              </w:rPr>
              <w:t>CE нь эрчим хүчний системийн ажиллагааны төлөв, тухайлбал холболтууд ба топологи гэх мэт, V ба I-</w:t>
            </w:r>
            <w:r w:rsidRPr="00811BEA">
              <w:rPr>
                <w:rFonts w:eastAsia="Calibri"/>
                <w:bCs/>
                <w:szCs w:val="22"/>
              </w:rPr>
              <w:lastRenderedPageBreak/>
              <w:t xml:space="preserve">ийг PMU_M ба PMU_P-ээс PDC-ээр дамжуулан эрчим хүчний системийн мэдээллийг онлайнаар авдаг. Эрчим хүчний системийн мэдээлэлд дүн шинжилгээ хийхийн тулд гүйдлийн төлөв ба үүсгүүрийн сүлжээний чадлын урсгалын хуваарилалтыг илэрхийлдэг эрчим хүчний системийн загварыг CE-д гаргаж, системийн байгууламжийн өгөгдөл болгон хадгалдаг. Шилжилтийн процессын тогтворжилтын тооцоог эрчим хүчний  системийн загварыг ашиглан гарч болох гэмтлийн тохиолдлуудад хийж, тохиолдол бүрд шилжилтийн процессын тогтворжилтыг шалгана. Тогтворжилтыг хангахад шаардлагатай генераторыг тусгаарлах  түвшнийг тооцоолно. Үр дүнг хүснэгтэн хэлбэрээр нэгтгэн IED руу илгээнэ. CE энэ үйлдлийг хэдэн арван секунд тутамд давтдаг. PMU_P нь эрчим хүчний систем дэх гэмтлийг реле хамгаалалтын ажиллагаа, CB-ийн төлөв өөрчлөгдөх зэргээс тодорхойлж, мэдээллийг IED руу илгээдэг. </w:t>
            </w:r>
          </w:p>
          <w:p w:rsidR="00811BEA" w:rsidRPr="00811BEA" w:rsidRDefault="00811BEA" w:rsidP="00811BEA">
            <w:pPr>
              <w:tabs>
                <w:tab w:val="left" w:pos="0"/>
              </w:tabs>
              <w:ind w:left="0" w:firstLine="0"/>
              <w:rPr>
                <w:rFonts w:eastAsia="Calibri"/>
                <w:bCs/>
                <w:szCs w:val="22"/>
              </w:rPr>
            </w:pPr>
            <w:r w:rsidRPr="00811BEA">
              <w:rPr>
                <w:rFonts w:eastAsia="Calibri"/>
                <w:bCs/>
                <w:szCs w:val="22"/>
              </w:rPr>
              <w:t xml:space="preserve">Хэвийн нөхцөлд PMU_P ба PMU-M нь V ба I хэмжиж, шугам салгуур ба таслуурын төлөвийн мэдээллийг PDC руу илгээдэг. Тогтсон хугацаануудадIED нь CE-д хүснэгт хэлбэрээр хадгалагддаг PMU_P-ээр хэмжсэн мэдээллийн өөрчлөлтийг тодорхойлдог. Энэ нь урьдчилан тодорхойлсон хүнд гэмтлүүдийн тогтворжилтыг хангахын тулд аль генераторыг таслах талаарх мэдээллийг агуулдаг. </w:t>
            </w:r>
          </w:p>
          <w:p w:rsidR="00811BEA" w:rsidRPr="00811BEA" w:rsidRDefault="00811BEA" w:rsidP="00811BEA">
            <w:pPr>
              <w:tabs>
                <w:tab w:val="left" w:pos="0"/>
              </w:tabs>
              <w:ind w:left="0" w:firstLine="0"/>
              <w:rPr>
                <w:rFonts w:eastAsia="Calibri"/>
                <w:bCs/>
                <w:szCs w:val="22"/>
              </w:rPr>
            </w:pPr>
            <w:r w:rsidRPr="00811BEA">
              <w:rPr>
                <w:rFonts w:eastAsia="Calibri"/>
                <w:bCs/>
                <w:szCs w:val="22"/>
              </w:rPr>
              <w:t>Харилцаа холбоонд тавигдах шаардлагыг дараах байдлаар нэгтгэж болно:</w:t>
            </w:r>
          </w:p>
        </w:tc>
        <w:tc>
          <w:tcPr>
            <w:tcW w:w="4672" w:type="dxa"/>
          </w:tcPr>
          <w:p w:rsidR="00811BEA" w:rsidRPr="00811BEA" w:rsidRDefault="00811BEA" w:rsidP="00811BEA">
            <w:pPr>
              <w:tabs>
                <w:tab w:val="left" w:pos="0"/>
              </w:tabs>
              <w:ind w:left="0" w:firstLine="0"/>
              <w:rPr>
                <w:rFonts w:eastAsia="Calibri"/>
                <w:bCs/>
                <w:szCs w:val="22"/>
              </w:rPr>
            </w:pPr>
            <w:r w:rsidRPr="00811BEA">
              <w:rPr>
                <w:rFonts w:eastAsia="Calibri"/>
                <w:bCs/>
                <w:szCs w:val="22"/>
              </w:rPr>
              <w:lastRenderedPageBreak/>
              <w:t>The operating procedure for each equipment type is described as follows:</w:t>
            </w:r>
          </w:p>
          <w:p w:rsidR="00811BEA" w:rsidRPr="00811BEA" w:rsidRDefault="00811BEA" w:rsidP="00811BEA">
            <w:pPr>
              <w:tabs>
                <w:tab w:val="left" w:pos="0"/>
              </w:tabs>
              <w:ind w:left="0" w:firstLine="0"/>
              <w:rPr>
                <w:rFonts w:eastAsia="Calibri"/>
                <w:bCs/>
                <w:szCs w:val="22"/>
              </w:rPr>
            </w:pPr>
            <w:r w:rsidRPr="00811BEA">
              <w:rPr>
                <w:rFonts w:eastAsia="Calibri"/>
                <w:bCs/>
                <w:szCs w:val="22"/>
              </w:rPr>
              <w:t>CE retrieves the operational status of the power system, i.e. connections and topology, etc.  and V and I from PMU_M and PMU_P via the PDC in the form of on-</w:t>
            </w:r>
            <w:r w:rsidRPr="00811BEA">
              <w:rPr>
                <w:rFonts w:eastAsia="Calibri"/>
                <w:bCs/>
                <w:szCs w:val="22"/>
              </w:rPr>
              <w:lastRenderedPageBreak/>
              <w:t>line power system information. A power system model representing the current status and the distribution of the flow of power on the grid is generated in CE for analysis from the on-line power system information and stored as system facility data. A transient stability calculation is  undertaken for the assumed fault cases using the power system model, and the transient stability is checked for each case. The level of generator shedding required to maintain stability is then calculated. The result is summarised in a tabular format and sent to the IED. CE repeats this process every few tens of seconds. PMU_P detects faults within the power system from information gathered from the operation of protection relays, change of CB status and sends  the information to the IED.</w:t>
            </w:r>
          </w:p>
          <w:p w:rsidR="00811BEA" w:rsidRPr="00811BEA" w:rsidRDefault="00811BEA" w:rsidP="00811BEA">
            <w:pPr>
              <w:tabs>
                <w:tab w:val="left" w:pos="0"/>
              </w:tabs>
              <w:ind w:left="0" w:firstLine="0"/>
              <w:rPr>
                <w:rFonts w:eastAsia="Calibri"/>
                <w:bCs/>
                <w:szCs w:val="22"/>
              </w:rPr>
            </w:pPr>
            <w:r w:rsidRPr="00811BEA">
              <w:rPr>
                <w:rFonts w:eastAsia="Calibri"/>
                <w:bCs/>
                <w:szCs w:val="22"/>
              </w:rPr>
              <w:t>Under normal conditions, PMU_P and PMU-M measure V and I and obtain the status of the circuit breakers and line disconnectors, and this information is sent to the PDC. Periodically,  the IED detects changes in the information measured by PMU_P which is stored in a tabular format in CE. It contains information identifying which generators are to be tripped to maintain stability for the severe faults predicted.</w:t>
            </w:r>
          </w:p>
          <w:p w:rsidR="00811BEA" w:rsidRPr="00811BEA" w:rsidRDefault="00811BEA" w:rsidP="00811BEA">
            <w:pPr>
              <w:tabs>
                <w:tab w:val="left" w:pos="0"/>
              </w:tabs>
              <w:ind w:left="0" w:firstLine="0"/>
              <w:rPr>
                <w:rFonts w:eastAsia="Calibri"/>
                <w:bCs/>
                <w:szCs w:val="22"/>
              </w:rPr>
            </w:pPr>
            <w:r w:rsidRPr="00811BEA">
              <w:rPr>
                <w:rFonts w:eastAsia="Calibri"/>
                <w:bCs/>
                <w:szCs w:val="22"/>
              </w:rPr>
              <w:t>The communication requirements can be summarized as follows:</w:t>
            </w:r>
          </w:p>
          <w:p w:rsidR="00811BEA" w:rsidRPr="00811BEA" w:rsidRDefault="00811BEA" w:rsidP="00811BEA">
            <w:pPr>
              <w:tabs>
                <w:tab w:val="left" w:pos="0"/>
              </w:tabs>
              <w:ind w:left="0" w:firstLine="0"/>
              <w:rPr>
                <w:rFonts w:eastAsia="Calibri"/>
                <w:bCs/>
                <w:szCs w:val="22"/>
              </w:rPr>
            </w:pPr>
          </w:p>
        </w:tc>
      </w:tr>
    </w:tbl>
    <w:p w:rsidR="00811BEA" w:rsidRDefault="00811BEA" w:rsidP="00A71B0E">
      <w:pPr>
        <w:ind w:left="0" w:firstLine="0"/>
        <w:jc w:val="left"/>
        <w:rPr>
          <w:lang w:val="en-US"/>
        </w:rPr>
      </w:pPr>
    </w:p>
    <w:p w:rsidR="00811BEA" w:rsidRPr="001C4C31" w:rsidRDefault="00811BEA" w:rsidP="00811BEA">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096"/>
        <w:gridCol w:w="6248"/>
      </w:tblGrid>
      <w:tr w:rsidR="00811BEA" w:rsidTr="00D54D3B">
        <w:tc>
          <w:tcPr>
            <w:tcW w:w="3096" w:type="dxa"/>
          </w:tcPr>
          <w:p w:rsidR="00811BEA" w:rsidRPr="00EF2D2B" w:rsidRDefault="00811BEA" w:rsidP="00D54D3B">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6248" w:type="dxa"/>
          </w:tcPr>
          <w:p w:rsidR="00811BEA" w:rsidRPr="00EF2D2B" w:rsidRDefault="00811BEA" w:rsidP="00D54D3B">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811BEA" w:rsidTr="00D54D3B">
        <w:tc>
          <w:tcPr>
            <w:tcW w:w="3096" w:type="dxa"/>
          </w:tcPr>
          <w:p w:rsidR="00811BEA" w:rsidRPr="00EF2D2B" w:rsidRDefault="00811BEA" w:rsidP="00811BEA">
            <w:pPr>
              <w:pStyle w:val="TableParagraph"/>
              <w:tabs>
                <w:tab w:val="left" w:pos="0"/>
              </w:tabs>
              <w:spacing w:before="58" w:line="276" w:lineRule="auto"/>
              <w:rPr>
                <w:sz w:val="20"/>
                <w:szCs w:val="20"/>
                <w:lang w:val="mn-MN"/>
              </w:rPr>
            </w:pPr>
            <w:r w:rsidRPr="00EF2D2B">
              <w:rPr>
                <w:sz w:val="20"/>
                <w:szCs w:val="20"/>
                <w:lang w:val="mn-MN"/>
              </w:rPr>
              <w:t>PMU</w:t>
            </w:r>
          </w:p>
        </w:tc>
        <w:tc>
          <w:tcPr>
            <w:tcW w:w="6248" w:type="dxa"/>
          </w:tcPr>
          <w:p w:rsidR="00811BEA" w:rsidRPr="00731F96" w:rsidRDefault="00811BEA" w:rsidP="00811BEA">
            <w:pPr>
              <w:pStyle w:val="TableParagraph"/>
              <w:tabs>
                <w:tab w:val="left" w:pos="0"/>
              </w:tabs>
              <w:spacing w:before="58" w:line="276" w:lineRule="auto"/>
              <w:rPr>
                <w:sz w:val="20"/>
                <w:szCs w:val="20"/>
                <w:lang w:val="mn-MN"/>
              </w:rPr>
            </w:pPr>
            <w:r w:rsidRPr="00731F96">
              <w:rPr>
                <w:sz w:val="20"/>
                <w:szCs w:val="20"/>
                <w:lang w:val="mn-MN"/>
              </w:rPr>
              <w:t>Синхрофазсор ба давтамжийг тооцоолдог</w:t>
            </w:r>
          </w:p>
        </w:tc>
      </w:tr>
      <w:tr w:rsidR="00811BEA" w:rsidTr="00D54D3B">
        <w:tc>
          <w:tcPr>
            <w:tcW w:w="3096" w:type="dxa"/>
          </w:tcPr>
          <w:p w:rsidR="00811BEA" w:rsidRPr="00EF2D2B" w:rsidRDefault="00811BEA" w:rsidP="00811BEA">
            <w:pPr>
              <w:pStyle w:val="TableParagraph"/>
              <w:tabs>
                <w:tab w:val="left" w:pos="0"/>
              </w:tabs>
              <w:spacing w:before="58" w:line="276" w:lineRule="auto"/>
              <w:rPr>
                <w:sz w:val="20"/>
                <w:szCs w:val="20"/>
                <w:lang w:val="mn-MN"/>
              </w:rPr>
            </w:pPr>
            <w:r w:rsidRPr="00EF2D2B">
              <w:rPr>
                <w:sz w:val="20"/>
                <w:szCs w:val="20"/>
                <w:lang w:val="mn-MN"/>
              </w:rPr>
              <w:lastRenderedPageBreak/>
              <w:t>PDC</w:t>
            </w:r>
          </w:p>
        </w:tc>
        <w:tc>
          <w:tcPr>
            <w:tcW w:w="6248" w:type="dxa"/>
          </w:tcPr>
          <w:p w:rsidR="00811BEA" w:rsidRPr="00EF2D2B" w:rsidRDefault="00811BEA" w:rsidP="00811BEA">
            <w:pPr>
              <w:pStyle w:val="TableParagraph"/>
              <w:tabs>
                <w:tab w:val="left" w:pos="0"/>
              </w:tabs>
              <w:spacing w:before="58" w:line="276" w:lineRule="auto"/>
              <w:rPr>
                <w:sz w:val="20"/>
                <w:szCs w:val="20"/>
                <w:lang w:val="mn-MN"/>
              </w:rPr>
            </w:pPr>
            <w:r w:rsidRPr="00731F96">
              <w:rPr>
                <w:sz w:val="20"/>
                <w:szCs w:val="20"/>
                <w:lang w:val="mn-MN"/>
              </w:rPr>
              <w:t>фазор</w:t>
            </w:r>
            <w:r w:rsidRPr="00EF2D2B">
              <w:rPr>
                <w:sz w:val="20"/>
                <w:szCs w:val="20"/>
                <w:lang w:val="mn-MN"/>
              </w:rPr>
              <w:t xml:space="preserve"> өгөгдлийн хуримтлуулагч нь PMU-ээс тооцоолсон өгөгдлийг цуглуулж, эрчим хүчний системийн өгөгдлийг CE рүү илгээдэг</w:t>
            </w:r>
          </w:p>
        </w:tc>
      </w:tr>
      <w:tr w:rsidR="00811BEA" w:rsidTr="00D54D3B">
        <w:tc>
          <w:tcPr>
            <w:tcW w:w="3096" w:type="dxa"/>
          </w:tcPr>
          <w:p w:rsidR="00811BEA" w:rsidRPr="00EF2D2B" w:rsidRDefault="00811BEA" w:rsidP="00811BEA">
            <w:pPr>
              <w:pStyle w:val="TableParagraph"/>
              <w:tabs>
                <w:tab w:val="left" w:pos="0"/>
              </w:tabs>
              <w:spacing w:before="58" w:line="276" w:lineRule="auto"/>
              <w:rPr>
                <w:sz w:val="20"/>
                <w:szCs w:val="20"/>
                <w:lang w:val="mn-MN"/>
              </w:rPr>
            </w:pPr>
            <w:r w:rsidRPr="00EF2D2B">
              <w:rPr>
                <w:sz w:val="20"/>
                <w:szCs w:val="20"/>
                <w:lang w:val="mn-MN"/>
              </w:rPr>
              <w:t>CE</w:t>
            </w:r>
          </w:p>
        </w:tc>
        <w:tc>
          <w:tcPr>
            <w:tcW w:w="6248" w:type="dxa"/>
          </w:tcPr>
          <w:p w:rsidR="00811BEA" w:rsidRPr="00EF2D2B"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CE нь эрчим хүчний системийн төлвийг тооцоолж, тодорхой гэмтэлтэй үед тогтворжилтыг хангахын тулд удирдлагатай эрчим хүчний системийн анхдагч төхөөрөмжийг сонгож, тооцооллын үр дүнг IED-т дамжуулдаг.</w:t>
            </w:r>
          </w:p>
        </w:tc>
      </w:tr>
      <w:tr w:rsidR="00811BEA" w:rsidTr="00D54D3B">
        <w:tc>
          <w:tcPr>
            <w:tcW w:w="3096" w:type="dxa"/>
          </w:tcPr>
          <w:p w:rsidR="00811BEA" w:rsidRPr="00EF2D2B" w:rsidRDefault="00811BEA" w:rsidP="00811BEA">
            <w:pPr>
              <w:pStyle w:val="TableParagraph"/>
              <w:tabs>
                <w:tab w:val="left" w:pos="0"/>
              </w:tabs>
              <w:spacing w:before="58" w:line="276" w:lineRule="auto"/>
              <w:rPr>
                <w:sz w:val="20"/>
                <w:szCs w:val="20"/>
                <w:lang w:val="mn-MN"/>
              </w:rPr>
            </w:pPr>
            <w:r w:rsidRPr="00EF2D2B">
              <w:rPr>
                <w:sz w:val="20"/>
                <w:szCs w:val="20"/>
                <w:lang w:val="mn-MN"/>
              </w:rPr>
              <w:t>IED</w:t>
            </w:r>
          </w:p>
        </w:tc>
        <w:tc>
          <w:tcPr>
            <w:tcW w:w="6248" w:type="dxa"/>
          </w:tcPr>
          <w:p w:rsidR="00811BEA" w:rsidRPr="00EF2D2B" w:rsidRDefault="00811BEA" w:rsidP="00811BEA">
            <w:pPr>
              <w:pStyle w:val="TableParagraph"/>
              <w:tabs>
                <w:tab w:val="left" w:pos="0"/>
              </w:tabs>
              <w:spacing w:before="58" w:line="276" w:lineRule="auto"/>
              <w:rPr>
                <w:sz w:val="20"/>
                <w:szCs w:val="20"/>
                <w:lang w:val="mn-MN"/>
              </w:rPr>
            </w:pPr>
            <w:r w:rsidRPr="00731F96">
              <w:rPr>
                <w:sz w:val="20"/>
                <w:szCs w:val="20"/>
                <w:lang w:val="mn-MN"/>
              </w:rPr>
              <w:t>IED нь гарч болох тодорхой гэмтлүүдийн үед удирдах хүчний төхөөрөмжийн жагсаалтыг хүлээн авдаг.IED нь PU бүлэг P-ээс</w:t>
            </w:r>
            <w:r w:rsidRPr="00EF2D2B">
              <w:rPr>
                <w:sz w:val="20"/>
                <w:szCs w:val="20"/>
                <w:lang w:val="mn-MN"/>
              </w:rPr>
              <w:t xml:space="preserve"> гэмтэл гарсан тухай мэдэгдлийг хүлээн авч, гэмтлийн мэдээлэл ба жагсаалтыг харьцуулж  удирдлагын командыг хүчний төхөөрөмжийн удирдлага руу дамжуулдаг .</w:t>
            </w:r>
          </w:p>
        </w:tc>
      </w:tr>
    </w:tbl>
    <w:p w:rsidR="00811BEA" w:rsidRPr="001C4C31" w:rsidRDefault="00811BEA" w:rsidP="00811BEA">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263"/>
        <w:gridCol w:w="6081"/>
      </w:tblGrid>
      <w:tr w:rsidR="00811BEA" w:rsidTr="00D54D3B">
        <w:tc>
          <w:tcPr>
            <w:tcW w:w="3263" w:type="dxa"/>
          </w:tcPr>
          <w:p w:rsidR="00811BEA" w:rsidRPr="00EF2D2B" w:rsidRDefault="00811BEA" w:rsidP="00D54D3B">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6081" w:type="dxa"/>
          </w:tcPr>
          <w:p w:rsidR="00811BEA" w:rsidRPr="00EF2D2B" w:rsidRDefault="00811BEA" w:rsidP="00D54D3B">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811BEA" w:rsidTr="00D54D3B">
        <w:tc>
          <w:tcPr>
            <w:tcW w:w="3263" w:type="dxa"/>
          </w:tcPr>
          <w:p w:rsidR="00811BEA" w:rsidRPr="00811BEA"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PMU</w:t>
            </w:r>
          </w:p>
        </w:tc>
        <w:tc>
          <w:tcPr>
            <w:tcW w:w="6081" w:type="dxa"/>
          </w:tcPr>
          <w:p w:rsidR="00811BEA" w:rsidRPr="00811BEA"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Computes synchrophasors &amp; frequency</w:t>
            </w:r>
          </w:p>
        </w:tc>
      </w:tr>
      <w:tr w:rsidR="00811BEA" w:rsidTr="00D54D3B">
        <w:tc>
          <w:tcPr>
            <w:tcW w:w="3263" w:type="dxa"/>
          </w:tcPr>
          <w:p w:rsidR="00811BEA" w:rsidRPr="00811BEA"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PDC</w:t>
            </w:r>
          </w:p>
        </w:tc>
        <w:tc>
          <w:tcPr>
            <w:tcW w:w="6081" w:type="dxa"/>
          </w:tcPr>
          <w:p w:rsidR="00811BEA" w:rsidRPr="00811BEA"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Phasor Data Concentrator collects the computed data from PMUs, and sends power system data to CE</w:t>
            </w:r>
          </w:p>
        </w:tc>
      </w:tr>
      <w:tr w:rsidR="00811BEA" w:rsidTr="00D54D3B">
        <w:tc>
          <w:tcPr>
            <w:tcW w:w="3263" w:type="dxa"/>
          </w:tcPr>
          <w:p w:rsidR="00811BEA" w:rsidRPr="00811BEA"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CE</w:t>
            </w:r>
          </w:p>
        </w:tc>
        <w:tc>
          <w:tcPr>
            <w:tcW w:w="6081" w:type="dxa"/>
          </w:tcPr>
          <w:p w:rsidR="00811BEA" w:rsidRPr="00811BEA"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CE estimates the power system state, and selects the target power system primary equipment to be controlled in order to maintain stability for a specific fault, the result of the calculation is transmitted to  the IED.</w:t>
            </w:r>
          </w:p>
        </w:tc>
      </w:tr>
      <w:tr w:rsidR="00811BEA" w:rsidTr="00D54D3B">
        <w:tc>
          <w:tcPr>
            <w:tcW w:w="3263" w:type="dxa"/>
          </w:tcPr>
          <w:p w:rsidR="00811BEA" w:rsidRPr="00811BEA"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IED</w:t>
            </w:r>
          </w:p>
        </w:tc>
        <w:tc>
          <w:tcPr>
            <w:tcW w:w="6081" w:type="dxa"/>
          </w:tcPr>
          <w:p w:rsidR="00811BEA" w:rsidRPr="00811BEA"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IED receives a list of the power equipment to be controlled for potential specific faults. IED receivesnotification of a fault occurrence from PMU class P and compares the fault information and the list, the LED transmits a control command to the power equipment to be controlled.</w:t>
            </w:r>
          </w:p>
        </w:tc>
      </w:tr>
    </w:tbl>
    <w:p w:rsidR="00811BEA" w:rsidRDefault="00811BEA" w:rsidP="00811BEA">
      <w:pPr>
        <w:ind w:left="0" w:firstLine="0"/>
        <w:rPr>
          <w:b/>
          <w:lang w:val="en-US"/>
        </w:rPr>
      </w:pPr>
    </w:p>
    <w:p w:rsidR="00811BEA" w:rsidRDefault="00811BEA" w:rsidP="00811BEA">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539"/>
        <w:gridCol w:w="5805"/>
      </w:tblGrid>
      <w:tr w:rsidR="00811BEA" w:rsidRPr="00EF2D2B" w:rsidTr="00D54D3B">
        <w:tc>
          <w:tcPr>
            <w:tcW w:w="3539" w:type="dxa"/>
          </w:tcPr>
          <w:p w:rsidR="00811BEA" w:rsidRPr="00EF2D2B" w:rsidRDefault="00811BEA" w:rsidP="00D54D3B">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805" w:type="dxa"/>
          </w:tcPr>
          <w:p w:rsidR="00811BEA" w:rsidRPr="00EF2D2B" w:rsidRDefault="00811BEA" w:rsidP="00D54D3B">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Өгөгдлийн түүвэр ба Фазор тооцоолол</w:t>
            </w:r>
          </w:p>
        </w:tc>
        <w:tc>
          <w:tcPr>
            <w:tcW w:w="5805"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PMU нь гүйдэл ба хүчдэлээс синхрофазорын утгыг тооцоолно</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Өгөгдөл илгээх/хүлээн авах</w:t>
            </w:r>
          </w:p>
        </w:tc>
        <w:tc>
          <w:tcPr>
            <w:tcW w:w="5805" w:type="dxa"/>
          </w:tcPr>
          <w:p w:rsidR="00811BEA" w:rsidRPr="00EF2D2B"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PMU дахь өгөгдлийг PDC руу д</w:t>
            </w:r>
            <w:r w:rsidRPr="00EF2D2B">
              <w:rPr>
                <w:sz w:val="20"/>
                <w:szCs w:val="20"/>
                <w:lang w:val="mn-MN"/>
              </w:rPr>
              <w:t>амжуулдаг</w:t>
            </w:r>
          </w:p>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PMU бүлэг P дахь өгөгдлийг IED руу дамжуулдаг</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Төлөвийн тооцоолол</w:t>
            </w:r>
          </w:p>
        </w:tc>
        <w:tc>
          <w:tcPr>
            <w:tcW w:w="5805"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Төлөвийн тооцоолуур нь синхрофазор болон SCADA-ийн өгөгдлийг нэгтгэн жрчим хүчний системийн төлөвийг тооцоолоход ашигладаг</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Хяналтын хүснэгтийн жагсаалт үүсгэх</w:t>
            </w:r>
          </w:p>
        </w:tc>
        <w:tc>
          <w:tcPr>
            <w:tcW w:w="5805" w:type="dxa"/>
          </w:tcPr>
          <w:p w:rsidR="00811BEA" w:rsidRPr="00EF2D2B"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Эрчим хүчний системи</w:t>
            </w:r>
            <w:r w:rsidRPr="00EF2D2B">
              <w:rPr>
                <w:sz w:val="20"/>
                <w:szCs w:val="20"/>
                <w:lang w:val="mn-MN"/>
              </w:rPr>
              <w:t>йн нөхцөл байдлын тооцоог үндэслэн тодорхой гэмтлийнхариу үйлдэлд  эрчим хүчний системийг тогтворжуулахад ашиглах удирдлагатай хүчний төхөөрөмжүүдийн жагсаалтыг гаргана.</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Эрчим хүчний системийн удирдлага</w:t>
            </w:r>
          </w:p>
        </w:tc>
        <w:tc>
          <w:tcPr>
            <w:tcW w:w="5805" w:type="dxa"/>
          </w:tcPr>
          <w:p w:rsidR="00811BEA" w:rsidRPr="00EF2D2B"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IED нь жагсаалтыг бодит гэмтэлтэй харьцуулж, эрчим х</w:t>
            </w:r>
            <w:r w:rsidRPr="00EF2D2B">
              <w:rPr>
                <w:sz w:val="20"/>
                <w:szCs w:val="20"/>
                <w:lang w:val="mn-MN"/>
              </w:rPr>
              <w:t>үчний системийн удирдлагыг гүйцэтгэдэг</w:t>
            </w:r>
          </w:p>
        </w:tc>
      </w:tr>
    </w:tbl>
    <w:p w:rsidR="00811BEA" w:rsidRPr="00EF2D2B" w:rsidRDefault="00811BEA" w:rsidP="00811BEA">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811BEA" w:rsidRPr="00EF2D2B" w:rsidTr="00D54D3B">
        <w:tc>
          <w:tcPr>
            <w:tcW w:w="3723" w:type="dxa"/>
          </w:tcPr>
          <w:p w:rsidR="00811BEA" w:rsidRPr="00EF2D2B" w:rsidRDefault="00811BEA" w:rsidP="00D54D3B">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811BEA" w:rsidRPr="00EF2D2B" w:rsidRDefault="00811BEA" w:rsidP="00D54D3B">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811BEA" w:rsidRPr="00EF2D2B" w:rsidTr="00D54D3B">
        <w:tc>
          <w:tcPr>
            <w:tcW w:w="3723"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Data sampling &amp; phasor estimate</w:t>
            </w:r>
          </w:p>
        </w:tc>
        <w:tc>
          <w:tcPr>
            <w:tcW w:w="5621"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PMU samples current and voltage and estimates synchrophasor values</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lastRenderedPageBreak/>
              <w:t>Data sending &amp; receiving</w:t>
            </w:r>
          </w:p>
        </w:tc>
        <w:tc>
          <w:tcPr>
            <w:tcW w:w="5621"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Data in PMU is transmitted to PDC</w:t>
            </w:r>
          </w:p>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Data in PMU class P is transmitted to IED</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State estimation</w:t>
            </w:r>
          </w:p>
        </w:tc>
        <w:tc>
          <w:tcPr>
            <w:tcW w:w="5621"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State estimator combines Synchrophasor and SCADA data which are utilized for an estimation of the system status</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Creating a list for control table</w:t>
            </w:r>
          </w:p>
        </w:tc>
        <w:tc>
          <w:tcPr>
            <w:tcW w:w="5621" w:type="dxa"/>
          </w:tcPr>
          <w:p w:rsidR="00811BEA" w:rsidRPr="00EF2D2B"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Based upon the estimation of power system conditions, a</w:t>
            </w:r>
            <w:r w:rsidRPr="00EF2D2B">
              <w:rPr>
                <w:sz w:val="20"/>
                <w:szCs w:val="20"/>
                <w:lang w:val="mn-MN"/>
              </w:rPr>
              <w:t xml:space="preserve"> list of the power system equipment to be controlled is created that will be used to stabilize the power system in response to specific faults</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Power system control</w:t>
            </w:r>
          </w:p>
        </w:tc>
        <w:tc>
          <w:tcPr>
            <w:tcW w:w="5621"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IED compares the list with the actual fault and executes power system control</w:t>
            </w:r>
          </w:p>
        </w:tc>
      </w:tr>
    </w:tbl>
    <w:p w:rsidR="00811BEA" w:rsidRPr="00EF2D2B" w:rsidRDefault="00811BEA" w:rsidP="00811BEA">
      <w:pPr>
        <w:tabs>
          <w:tab w:val="left" w:pos="0"/>
        </w:tabs>
        <w:spacing w:before="93"/>
        <w:rPr>
          <w:b/>
        </w:rPr>
      </w:pPr>
    </w:p>
    <w:p w:rsidR="00811BEA" w:rsidRPr="00731F96" w:rsidRDefault="00811BEA" w:rsidP="00811BEA">
      <w:pPr>
        <w:tabs>
          <w:tab w:val="left" w:pos="0"/>
        </w:tabs>
        <w:spacing w:before="93"/>
        <w:ind w:left="0" w:firstLine="0"/>
        <w:rPr>
          <w:b/>
        </w:rPr>
      </w:pPr>
      <w:r w:rsidRPr="00731F96">
        <w:rPr>
          <w:b/>
        </w:rPr>
        <w:t>Үндсэн</w:t>
      </w:r>
      <w:r>
        <w:rPr>
          <w:b/>
        </w:rPr>
        <w:t xml:space="preserve"> урсгал:</w:t>
      </w:r>
    </w:p>
    <w:p w:rsidR="00811BEA" w:rsidRPr="00EF2D2B" w:rsidRDefault="00811BEA" w:rsidP="00811BEA">
      <w:pPr>
        <w:ind w:left="0" w:firstLine="0"/>
      </w:pPr>
      <w:r w:rsidRPr="00EF2D2B">
        <w:t>Өгөдөл үүсгэх ба илгээх</w:t>
      </w:r>
    </w:p>
    <w:tbl>
      <w:tblPr>
        <w:tblStyle w:val="TableGrid"/>
        <w:tblW w:w="0" w:type="auto"/>
        <w:tblLook w:val="04A0" w:firstRow="1" w:lastRow="0" w:firstColumn="1" w:lastColumn="0" w:noHBand="0" w:noVBand="1"/>
      </w:tblPr>
      <w:tblGrid>
        <w:gridCol w:w="1696"/>
        <w:gridCol w:w="7648"/>
      </w:tblGrid>
      <w:tr w:rsidR="00811BEA" w:rsidRPr="00EF2D2B" w:rsidTr="00D54D3B">
        <w:tc>
          <w:tcPr>
            <w:tcW w:w="1696" w:type="dxa"/>
          </w:tcPr>
          <w:p w:rsidR="00811BEA" w:rsidRPr="00EF2D2B" w:rsidRDefault="00811BEA"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811BEA" w:rsidRPr="00731F96" w:rsidRDefault="00811BEA"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811BEA" w:rsidRPr="00731F96" w:rsidTr="00D54D3B">
        <w:tc>
          <w:tcPr>
            <w:tcW w:w="1696"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1</w:t>
            </w:r>
          </w:p>
        </w:tc>
        <w:tc>
          <w:tcPr>
            <w:tcW w:w="7648"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PMU нь V ба I-ийн синхрофазаторуудыг тооцоолдог</w:t>
            </w:r>
          </w:p>
        </w:tc>
      </w:tr>
      <w:tr w:rsidR="00811BEA" w:rsidRPr="00731F96" w:rsidTr="00D54D3B">
        <w:tc>
          <w:tcPr>
            <w:tcW w:w="1696"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2</w:t>
            </w:r>
          </w:p>
        </w:tc>
        <w:tc>
          <w:tcPr>
            <w:tcW w:w="7648"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PMU нь гаралтын өгөгдсөн хурдаар фазуудыг сонгоно</w:t>
            </w:r>
          </w:p>
        </w:tc>
      </w:tr>
      <w:tr w:rsidR="00811BEA" w:rsidRPr="00731F96" w:rsidTr="00D54D3B">
        <w:tc>
          <w:tcPr>
            <w:tcW w:w="1696"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3</w:t>
            </w:r>
          </w:p>
        </w:tc>
        <w:tc>
          <w:tcPr>
            <w:tcW w:w="7648"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PMU нь тохирох төлөв, цаг хугацааны тэмдэгт бүхий өгөгдлийг багцалдаг</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rPr>
                <w:sz w:val="20"/>
                <w:szCs w:val="20"/>
                <w:lang w:val="mn-MN"/>
              </w:rPr>
            </w:pPr>
            <w:r w:rsidRPr="00EF2D2B">
              <w:rPr>
                <w:sz w:val="20"/>
                <w:szCs w:val="20"/>
                <w:lang w:val="mn-MN"/>
              </w:rPr>
              <w:t>Алхам 4</w:t>
            </w:r>
          </w:p>
        </w:tc>
        <w:tc>
          <w:tcPr>
            <w:tcW w:w="7648"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PMU нь өгөгдлийг PDC эсвэл IED руу илгээдэг</w:t>
            </w:r>
          </w:p>
        </w:tc>
      </w:tr>
    </w:tbl>
    <w:p w:rsidR="00811BEA" w:rsidRPr="00731F96" w:rsidRDefault="00811BEA" w:rsidP="00811BEA">
      <w:pPr>
        <w:tabs>
          <w:tab w:val="left" w:pos="0"/>
        </w:tabs>
        <w:spacing w:before="93"/>
        <w:ind w:left="0" w:firstLine="0"/>
        <w:rPr>
          <w:b/>
        </w:rPr>
      </w:pPr>
      <w:r>
        <w:rPr>
          <w:b/>
        </w:rPr>
        <w:t>Basic flow:</w:t>
      </w:r>
    </w:p>
    <w:p w:rsidR="00811BEA" w:rsidRPr="00EF2D2B" w:rsidRDefault="00811BEA" w:rsidP="00811BEA">
      <w:pPr>
        <w:ind w:left="0" w:firstLine="0"/>
      </w:pPr>
      <w:r w:rsidRPr="00EF2D2B">
        <w:t>Data origination &amp; sending</w:t>
      </w:r>
    </w:p>
    <w:tbl>
      <w:tblPr>
        <w:tblStyle w:val="TableGrid"/>
        <w:tblW w:w="0" w:type="auto"/>
        <w:tblLook w:val="04A0" w:firstRow="1" w:lastRow="0" w:firstColumn="1" w:lastColumn="0" w:noHBand="0" w:noVBand="1"/>
      </w:tblPr>
      <w:tblGrid>
        <w:gridCol w:w="1980"/>
        <w:gridCol w:w="7364"/>
      </w:tblGrid>
      <w:tr w:rsidR="00811BEA" w:rsidRPr="00731F96" w:rsidTr="00D54D3B">
        <w:tc>
          <w:tcPr>
            <w:tcW w:w="1980" w:type="dxa"/>
          </w:tcPr>
          <w:p w:rsidR="00811BEA" w:rsidRPr="00EF2D2B" w:rsidRDefault="00811BEA"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811BEA" w:rsidRPr="00EF2D2B" w:rsidRDefault="00811BEA"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811BEA" w:rsidRPr="00731F96" w:rsidTr="00D54D3B">
        <w:tc>
          <w:tcPr>
            <w:tcW w:w="19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1</w:t>
            </w:r>
          </w:p>
        </w:tc>
        <w:tc>
          <w:tcPr>
            <w:tcW w:w="73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PMU computes V &amp; I synchrophasors</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rPr>
                <w:sz w:val="20"/>
                <w:szCs w:val="20"/>
                <w:lang w:val="mn-MN"/>
              </w:rPr>
            </w:pPr>
            <w:r w:rsidRPr="00EF2D2B">
              <w:rPr>
                <w:sz w:val="20"/>
                <w:szCs w:val="20"/>
                <w:lang w:val="mn-MN"/>
              </w:rPr>
              <w:t>Step 2</w:t>
            </w:r>
          </w:p>
        </w:tc>
        <w:tc>
          <w:tcPr>
            <w:tcW w:w="73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PMU selects phasors at given output rate</w:t>
            </w:r>
          </w:p>
        </w:tc>
      </w:tr>
      <w:tr w:rsidR="00811BEA" w:rsidRPr="00731F96" w:rsidTr="00D54D3B">
        <w:tc>
          <w:tcPr>
            <w:tcW w:w="19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3</w:t>
            </w:r>
          </w:p>
        </w:tc>
        <w:tc>
          <w:tcPr>
            <w:tcW w:w="7364" w:type="dxa"/>
          </w:tcPr>
          <w:p w:rsidR="00811BEA" w:rsidRPr="00EF2D2B"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 xml:space="preserve">PMU packages data with appropriate </w:t>
            </w:r>
            <w:r w:rsidRPr="00EF2D2B">
              <w:rPr>
                <w:sz w:val="20"/>
                <w:szCs w:val="20"/>
                <w:lang w:val="mn-MN"/>
              </w:rPr>
              <w:t>status and time stamp</w:t>
            </w:r>
          </w:p>
        </w:tc>
      </w:tr>
      <w:tr w:rsidR="00811BEA" w:rsidRPr="00731F96" w:rsidTr="00D54D3B">
        <w:tc>
          <w:tcPr>
            <w:tcW w:w="19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4</w:t>
            </w:r>
          </w:p>
        </w:tc>
        <w:tc>
          <w:tcPr>
            <w:tcW w:w="73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PMU sends data to the PDC or IED</w:t>
            </w:r>
          </w:p>
        </w:tc>
      </w:tr>
    </w:tbl>
    <w:p w:rsidR="00811BEA" w:rsidRDefault="00811BEA" w:rsidP="00811BEA">
      <w:pPr>
        <w:spacing w:after="0" w:line="240" w:lineRule="auto"/>
        <w:ind w:left="0" w:firstLine="0"/>
        <w:rPr>
          <w:b/>
          <w:bCs/>
          <w:color w:val="000000"/>
          <w:shd w:val="clear" w:color="auto" w:fill="FFFFFF"/>
          <w:lang w:val="en-US"/>
        </w:rPr>
      </w:pPr>
    </w:p>
    <w:p w:rsidR="00811BEA" w:rsidRPr="00EF2D2B" w:rsidRDefault="00811BEA" w:rsidP="00811BEA">
      <w:pPr>
        <w:ind w:left="0" w:firstLine="0"/>
      </w:pPr>
      <w:r w:rsidRPr="00EF2D2B">
        <w:t>PDC-ийн ажиллагаа</w:t>
      </w:r>
    </w:p>
    <w:tbl>
      <w:tblPr>
        <w:tblStyle w:val="TableGrid"/>
        <w:tblW w:w="0" w:type="auto"/>
        <w:tblLook w:val="04A0" w:firstRow="1" w:lastRow="0" w:firstColumn="1" w:lastColumn="0" w:noHBand="0" w:noVBand="1"/>
      </w:tblPr>
      <w:tblGrid>
        <w:gridCol w:w="1880"/>
        <w:gridCol w:w="7464"/>
      </w:tblGrid>
      <w:tr w:rsidR="00811BEA" w:rsidRPr="00EF2D2B" w:rsidTr="00D54D3B">
        <w:tc>
          <w:tcPr>
            <w:tcW w:w="1880" w:type="dxa"/>
          </w:tcPr>
          <w:p w:rsidR="00811BEA" w:rsidRPr="00EF2D2B" w:rsidRDefault="00811BEA"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811BEA" w:rsidRPr="00731F96" w:rsidRDefault="00811BEA" w:rsidP="00D54D3B">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PDC нь синхрофазор өгөгдлийг хүлээн авдаг</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PDC нь гаралтын өгөгдлийг харьцуулж, сонгодог</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PDC нь гаралтын өгөгдлийг CE рүү илгээдэг</w:t>
            </w:r>
          </w:p>
        </w:tc>
      </w:tr>
    </w:tbl>
    <w:p w:rsidR="00811BEA" w:rsidRPr="00EF2D2B" w:rsidRDefault="00811BEA" w:rsidP="00811BEA">
      <w:pPr>
        <w:ind w:left="0" w:firstLine="0"/>
      </w:pPr>
      <w:r w:rsidRPr="00EF2D2B">
        <w:t>PDC actions</w:t>
      </w:r>
    </w:p>
    <w:tbl>
      <w:tblPr>
        <w:tblStyle w:val="TableGrid"/>
        <w:tblW w:w="0" w:type="auto"/>
        <w:tblLook w:val="04A0" w:firstRow="1" w:lastRow="0" w:firstColumn="1" w:lastColumn="0" w:noHBand="0" w:noVBand="1"/>
      </w:tblPr>
      <w:tblGrid>
        <w:gridCol w:w="1880"/>
        <w:gridCol w:w="7464"/>
      </w:tblGrid>
      <w:tr w:rsidR="00811BEA" w:rsidRPr="00731F96" w:rsidTr="00D54D3B">
        <w:tc>
          <w:tcPr>
            <w:tcW w:w="1880" w:type="dxa"/>
          </w:tcPr>
          <w:p w:rsidR="00811BEA" w:rsidRPr="00EF2D2B" w:rsidRDefault="00811BEA"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811BEA" w:rsidRPr="00EF2D2B" w:rsidRDefault="00811BEA" w:rsidP="00D54D3B">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PDC receives synchrophasor data</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PDC correlates and selects output data</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PDC resends output data to CE</w:t>
            </w:r>
          </w:p>
        </w:tc>
      </w:tr>
    </w:tbl>
    <w:p w:rsidR="00811BEA" w:rsidRDefault="00811BEA" w:rsidP="00A71B0E">
      <w:pPr>
        <w:ind w:left="0" w:firstLine="0"/>
        <w:jc w:val="left"/>
        <w:rPr>
          <w:lang w:val="en-US"/>
        </w:rPr>
      </w:pPr>
    </w:p>
    <w:p w:rsidR="00811BEA" w:rsidRPr="00EF2D2B" w:rsidRDefault="00811BEA" w:rsidP="00811BEA">
      <w:pPr>
        <w:ind w:left="0" w:firstLine="0"/>
      </w:pPr>
      <w:r w:rsidRPr="00EF2D2B">
        <w:t>CE-ийн ажиллагаа</w:t>
      </w:r>
    </w:p>
    <w:tbl>
      <w:tblPr>
        <w:tblStyle w:val="TableGrid"/>
        <w:tblW w:w="0" w:type="auto"/>
        <w:tblLook w:val="04A0" w:firstRow="1" w:lastRow="0" w:firstColumn="1" w:lastColumn="0" w:noHBand="0" w:noVBand="1"/>
      </w:tblPr>
      <w:tblGrid>
        <w:gridCol w:w="1880"/>
        <w:gridCol w:w="7464"/>
      </w:tblGrid>
      <w:tr w:rsidR="00811BEA" w:rsidRPr="00EF2D2B" w:rsidTr="00D54D3B">
        <w:tc>
          <w:tcPr>
            <w:tcW w:w="1880" w:type="dxa"/>
          </w:tcPr>
          <w:p w:rsidR="00811BEA" w:rsidRPr="00EF2D2B" w:rsidRDefault="00811BEA"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811BEA" w:rsidRPr="00731F96" w:rsidRDefault="00811BEA" w:rsidP="00D54D3B">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811BEA" w:rsidRPr="00731F96"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Төлөвийн тооцоологч нь системийн төлөвийгтооцоолоходхэрэгтэй синхрофазор болон SCADA-ийн өгөгдлийг хүлээн авдаг</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 xml:space="preserve">CE нь эрчим хүчний системдгарах тодорхой гэмтлийн үед эрчим хүчний </w:t>
            </w:r>
            <w:r w:rsidRPr="00EF2D2B">
              <w:rPr>
                <w:sz w:val="20"/>
                <w:szCs w:val="20"/>
                <w:lang w:val="mn-MN"/>
              </w:rPr>
              <w:lastRenderedPageBreak/>
              <w:t>системийг тогтворжуулах зорилгоор удирдлагатай хүчний төхөөрөмжүүдийг тооцоолно</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lastRenderedPageBreak/>
              <w:t>Алхам 3</w:t>
            </w:r>
          </w:p>
        </w:tc>
        <w:tc>
          <w:tcPr>
            <w:tcW w:w="7464" w:type="dxa"/>
          </w:tcPr>
          <w:p w:rsidR="00811BEA" w:rsidRPr="00731F96"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Тодорхой гэмтэл, удирдлагатай хүчний төхөөрөмжийг жагсаан, IED-д дамжуулдаг</w:t>
            </w:r>
          </w:p>
        </w:tc>
      </w:tr>
    </w:tbl>
    <w:p w:rsidR="00811BEA" w:rsidRPr="00EF2D2B" w:rsidRDefault="00811BEA" w:rsidP="00811BEA">
      <w:pPr>
        <w:ind w:left="0" w:firstLine="0"/>
      </w:pPr>
      <w:r w:rsidRPr="00EF2D2B">
        <w:t>CE actions</w:t>
      </w:r>
    </w:p>
    <w:tbl>
      <w:tblPr>
        <w:tblStyle w:val="TableGrid"/>
        <w:tblW w:w="0" w:type="auto"/>
        <w:tblLook w:val="04A0" w:firstRow="1" w:lastRow="0" w:firstColumn="1" w:lastColumn="0" w:noHBand="0" w:noVBand="1"/>
      </w:tblPr>
      <w:tblGrid>
        <w:gridCol w:w="1880"/>
        <w:gridCol w:w="7464"/>
      </w:tblGrid>
      <w:tr w:rsidR="00811BEA" w:rsidRPr="00731F96" w:rsidTr="00D54D3B">
        <w:tc>
          <w:tcPr>
            <w:tcW w:w="1880" w:type="dxa"/>
          </w:tcPr>
          <w:p w:rsidR="00811BEA" w:rsidRPr="00EF2D2B" w:rsidRDefault="00811BEA"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811BEA" w:rsidRPr="00EF2D2B" w:rsidRDefault="00811BEA" w:rsidP="00D54D3B">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State estimator receives Synchrophasor and SCADA data which are utilized for an estimation of the system status</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CE calculates the power</w:t>
            </w:r>
            <w:r w:rsidRPr="00EF2D2B">
              <w:rPr>
                <w:sz w:val="20"/>
                <w:szCs w:val="20"/>
                <w:lang w:val="mn-MN"/>
              </w:rPr>
              <w:t xml:space="preserve"> equipment to be controlled in order to stabilize the power system in respect to t possible specific faults</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The specific faults and the power equipment to be controlled are listed and transmitted to the IED</w:t>
            </w:r>
          </w:p>
        </w:tc>
      </w:tr>
    </w:tbl>
    <w:p w:rsidR="00811BEA" w:rsidRDefault="00811BEA" w:rsidP="00A71B0E">
      <w:pPr>
        <w:ind w:left="0" w:firstLine="0"/>
        <w:jc w:val="left"/>
        <w:rPr>
          <w:lang w:val="en-US"/>
        </w:rPr>
      </w:pPr>
    </w:p>
    <w:p w:rsidR="00811BEA" w:rsidRDefault="00811BEA" w:rsidP="00A71B0E">
      <w:pPr>
        <w:ind w:left="0" w:firstLine="0"/>
        <w:jc w:val="left"/>
        <w:rPr>
          <w:lang w:val="en-US"/>
        </w:rPr>
      </w:pPr>
    </w:p>
    <w:p w:rsidR="00811BEA" w:rsidRPr="00EF2D2B" w:rsidRDefault="00811BEA" w:rsidP="00811BEA">
      <w:pPr>
        <w:ind w:left="0" w:firstLine="0"/>
      </w:pPr>
      <w:r w:rsidRPr="00EF2D2B">
        <w:t>IED-ийн ажиллагаа</w:t>
      </w:r>
    </w:p>
    <w:tbl>
      <w:tblPr>
        <w:tblStyle w:val="TableGrid"/>
        <w:tblW w:w="0" w:type="auto"/>
        <w:tblLook w:val="04A0" w:firstRow="1" w:lastRow="0" w:firstColumn="1" w:lastColumn="0" w:noHBand="0" w:noVBand="1"/>
      </w:tblPr>
      <w:tblGrid>
        <w:gridCol w:w="1880"/>
        <w:gridCol w:w="7464"/>
      </w:tblGrid>
      <w:tr w:rsidR="00811BEA" w:rsidRPr="00EF2D2B" w:rsidTr="00D54D3B">
        <w:tc>
          <w:tcPr>
            <w:tcW w:w="1880" w:type="dxa"/>
          </w:tcPr>
          <w:p w:rsidR="00811BEA" w:rsidRPr="00EF2D2B" w:rsidRDefault="00811BEA"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464" w:type="dxa"/>
          </w:tcPr>
          <w:p w:rsidR="00811BEA" w:rsidRPr="00731F96" w:rsidRDefault="00811BEA" w:rsidP="00D54D3B">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1</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IED нь удирдлагтай эрчим хүчний системийн төхөөрөмжийн жагсаалтыг хүлээн авч, шинэчилдэг</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2</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IED нь гэмтлийн мэдээллийг PMUs бүлэг P-ээс хүлээн авдаг</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Алхам 3</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Бодит гэмтлийн мэдээлэл ба жагсаалтыг харьцуулж, холбогдох хүчний төхөөрөмжийг  удирдана</w:t>
            </w:r>
          </w:p>
        </w:tc>
      </w:tr>
    </w:tbl>
    <w:p w:rsidR="00811BEA" w:rsidRPr="00EF2D2B" w:rsidRDefault="00811BEA" w:rsidP="00811BEA">
      <w:pPr>
        <w:ind w:left="0" w:firstLine="0"/>
      </w:pPr>
      <w:r w:rsidRPr="00EF2D2B">
        <w:t>IED actions</w:t>
      </w:r>
    </w:p>
    <w:tbl>
      <w:tblPr>
        <w:tblStyle w:val="TableGrid"/>
        <w:tblW w:w="0" w:type="auto"/>
        <w:tblLook w:val="04A0" w:firstRow="1" w:lastRow="0" w:firstColumn="1" w:lastColumn="0" w:noHBand="0" w:noVBand="1"/>
      </w:tblPr>
      <w:tblGrid>
        <w:gridCol w:w="1880"/>
        <w:gridCol w:w="7464"/>
      </w:tblGrid>
      <w:tr w:rsidR="00811BEA" w:rsidRPr="00731F96" w:rsidTr="00D54D3B">
        <w:tc>
          <w:tcPr>
            <w:tcW w:w="1880" w:type="dxa"/>
          </w:tcPr>
          <w:p w:rsidR="00811BEA" w:rsidRPr="00EF2D2B" w:rsidRDefault="00811BEA"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464" w:type="dxa"/>
          </w:tcPr>
          <w:p w:rsidR="00811BEA" w:rsidRPr="00EF2D2B" w:rsidRDefault="00811BEA" w:rsidP="00D54D3B">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1</w:t>
            </w:r>
          </w:p>
        </w:tc>
        <w:tc>
          <w:tcPr>
            <w:tcW w:w="74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IED normally receives and updates a list of the power system equipment to be controlled</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2</w:t>
            </w:r>
          </w:p>
        </w:tc>
        <w:tc>
          <w:tcPr>
            <w:tcW w:w="7464" w:type="dxa"/>
          </w:tcPr>
          <w:p w:rsidR="00811BEA" w:rsidRPr="00731F96"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IED receives fault information from PMUs class P</w:t>
            </w:r>
          </w:p>
        </w:tc>
      </w:tr>
      <w:tr w:rsidR="00811BEA" w:rsidRPr="00731F96" w:rsidTr="00D54D3B">
        <w:tc>
          <w:tcPr>
            <w:tcW w:w="1880" w:type="dxa"/>
          </w:tcPr>
          <w:p w:rsidR="00811BEA" w:rsidRPr="00EF2D2B" w:rsidRDefault="00811BEA" w:rsidP="00811BEA">
            <w:pPr>
              <w:pStyle w:val="TableParagraph"/>
              <w:tabs>
                <w:tab w:val="left" w:pos="0"/>
              </w:tabs>
              <w:spacing w:line="276" w:lineRule="auto"/>
              <w:rPr>
                <w:sz w:val="20"/>
                <w:szCs w:val="20"/>
                <w:lang w:val="mn-MN"/>
              </w:rPr>
            </w:pPr>
            <w:r w:rsidRPr="00EF2D2B">
              <w:rPr>
                <w:sz w:val="20"/>
                <w:szCs w:val="20"/>
                <w:lang w:val="mn-MN"/>
              </w:rPr>
              <w:t>Step 3</w:t>
            </w:r>
          </w:p>
        </w:tc>
        <w:tc>
          <w:tcPr>
            <w:tcW w:w="7464" w:type="dxa"/>
          </w:tcPr>
          <w:p w:rsidR="00811BEA" w:rsidRPr="00EF2D2B" w:rsidRDefault="00811BEA" w:rsidP="00811BEA">
            <w:pPr>
              <w:pStyle w:val="TableParagraph"/>
              <w:tabs>
                <w:tab w:val="left" w:pos="0"/>
              </w:tabs>
              <w:spacing w:before="58" w:line="276" w:lineRule="auto"/>
              <w:ind w:right="305"/>
              <w:rPr>
                <w:sz w:val="20"/>
                <w:szCs w:val="20"/>
                <w:lang w:val="mn-MN"/>
              </w:rPr>
            </w:pPr>
            <w:r w:rsidRPr="00731F96">
              <w:rPr>
                <w:sz w:val="20"/>
                <w:szCs w:val="20"/>
                <w:lang w:val="mn-MN"/>
              </w:rPr>
              <w:t xml:space="preserve">The actual fault information and the list are </w:t>
            </w:r>
            <w:r w:rsidRPr="00EF2D2B">
              <w:rPr>
                <w:sz w:val="20"/>
                <w:szCs w:val="20"/>
                <w:lang w:val="mn-MN"/>
              </w:rPr>
              <w:t>compared and the relevant power equipment is controlled accordingly</w:t>
            </w:r>
          </w:p>
        </w:tc>
      </w:tr>
    </w:tbl>
    <w:p w:rsidR="00811BEA" w:rsidRDefault="00811BEA" w:rsidP="00A71B0E">
      <w:pPr>
        <w:ind w:left="0" w:firstLine="0"/>
        <w:jc w:val="left"/>
        <w:rPr>
          <w:lang w:val="en-US"/>
        </w:rPr>
      </w:pPr>
    </w:p>
    <w:tbl>
      <w:tblPr>
        <w:tblStyle w:val="TableGrid"/>
        <w:tblW w:w="0" w:type="auto"/>
        <w:tblLook w:val="04A0" w:firstRow="1" w:lastRow="0" w:firstColumn="1" w:lastColumn="0" w:noHBand="0" w:noVBand="1"/>
      </w:tblPr>
      <w:tblGrid>
        <w:gridCol w:w="4672"/>
        <w:gridCol w:w="4672"/>
      </w:tblGrid>
      <w:tr w:rsidR="00811BEA" w:rsidTr="00811BEA">
        <w:tc>
          <w:tcPr>
            <w:tcW w:w="4672" w:type="dxa"/>
          </w:tcPr>
          <w:p w:rsidR="00811BEA" w:rsidRPr="00811BEA" w:rsidRDefault="00811BEA" w:rsidP="00811BEA">
            <w:pPr>
              <w:tabs>
                <w:tab w:val="left" w:pos="0"/>
              </w:tabs>
              <w:ind w:left="0" w:firstLine="0"/>
              <w:rPr>
                <w:rFonts w:eastAsia="Calibri"/>
                <w:b/>
                <w:bCs/>
                <w:szCs w:val="22"/>
              </w:rPr>
            </w:pPr>
            <w:r w:rsidRPr="00811BEA">
              <w:rPr>
                <w:rFonts w:eastAsia="Calibri"/>
                <w:b/>
                <w:bCs/>
                <w:szCs w:val="22"/>
              </w:rPr>
              <w:t>Хязгаарын шаардлага:</w:t>
            </w:r>
          </w:p>
          <w:p w:rsidR="00811BEA" w:rsidRPr="00811BEA" w:rsidRDefault="00811BEA" w:rsidP="00811BEA">
            <w:pPr>
              <w:tabs>
                <w:tab w:val="left" w:pos="0"/>
              </w:tabs>
              <w:ind w:left="0" w:firstLine="0"/>
              <w:rPr>
                <w:rFonts w:eastAsia="Calibri"/>
                <w:bCs/>
                <w:szCs w:val="22"/>
              </w:rPr>
            </w:pPr>
            <w:r w:rsidRPr="00811BEA">
              <w:rPr>
                <w:rFonts w:eastAsia="Calibri"/>
                <w:bCs/>
                <w:szCs w:val="22"/>
              </w:rPr>
              <w:t xml:space="preserve">Удирдлагын үйл ажиллагаа хязгаарлагдмал хугацаанд хийгдэх ёстой. Энэхүү хэрэглээ нь хоёр төлөвөөс бүрдэнэ. Нэг нь төлөвийн тооцоолол ба аюулгүй байдлын үнэлгээ (PMU-ээс PDC/CE), нөгөө нь SPS/RAS (PMU-аас IED) -д загварчилсан системийн удирдлага юм. "PMU-аас PDC/CE-д" ба "PMU-аас IED-д" гэсэн шаардлага нь 5.6 ба 5.8-д тусгагдсан. Гэмтэлийг илрүүлэх, эрчим хүчний тоног төхөөрөмжийг хянах чадвартай IED ба PMU-ийн хоорондоо харилцах цаг хугацааны дээд хязгаарын </w:t>
            </w:r>
            <w:r w:rsidRPr="00811BEA">
              <w:rPr>
                <w:rFonts w:eastAsia="Calibri"/>
                <w:bCs/>
                <w:szCs w:val="22"/>
              </w:rPr>
              <w:lastRenderedPageBreak/>
              <w:t>нөхцөлүүдийг дараах хүснэгтэд үзүүлсэн.</w:t>
            </w:r>
          </w:p>
        </w:tc>
        <w:tc>
          <w:tcPr>
            <w:tcW w:w="4672" w:type="dxa"/>
          </w:tcPr>
          <w:p w:rsidR="00811BEA" w:rsidRPr="00811BEA" w:rsidRDefault="00811BEA" w:rsidP="00811BEA">
            <w:pPr>
              <w:tabs>
                <w:tab w:val="left" w:pos="0"/>
              </w:tabs>
              <w:ind w:left="0" w:firstLine="0"/>
              <w:rPr>
                <w:rFonts w:eastAsia="Calibri"/>
                <w:b/>
                <w:bCs/>
                <w:szCs w:val="22"/>
              </w:rPr>
            </w:pPr>
            <w:r w:rsidRPr="00811BEA">
              <w:rPr>
                <w:rFonts w:eastAsia="Calibri"/>
                <w:b/>
                <w:bCs/>
                <w:szCs w:val="22"/>
              </w:rPr>
              <w:lastRenderedPageBreak/>
              <w:t>Constraints:</w:t>
            </w:r>
          </w:p>
          <w:p w:rsidR="00811BEA" w:rsidRPr="00811BEA" w:rsidRDefault="00811BEA" w:rsidP="00811BEA">
            <w:pPr>
              <w:tabs>
                <w:tab w:val="left" w:pos="0"/>
              </w:tabs>
              <w:ind w:left="0" w:firstLine="0"/>
              <w:rPr>
                <w:rFonts w:eastAsia="Calibri"/>
                <w:bCs/>
                <w:szCs w:val="22"/>
              </w:rPr>
            </w:pPr>
            <w:r w:rsidRPr="00811BEA">
              <w:rPr>
                <w:rFonts w:eastAsia="Calibri"/>
                <w:bCs/>
                <w:szCs w:val="22"/>
              </w:rPr>
              <w:t>Control actions must take place within a limited time. This application consists of two stages. One is a state estimation and security assessment (PMU to PDC/CE), and the other  is  a system control as typified in SPS/RAS (PMU to IED). The requirement for “PMU to PDC/CE” and “PMU to IED” is almost the same as those in Subclauses 5.6 and 5.8 respectively. The  time constraints for the communication between the IED and PMUs, which have the capability of detecting faults and controlling power equipment, are severe as shown in  the following table.</w:t>
            </w:r>
          </w:p>
          <w:p w:rsidR="00811BEA" w:rsidRPr="00811BEA" w:rsidRDefault="00811BEA" w:rsidP="00811BEA">
            <w:pPr>
              <w:pStyle w:val="BodyText"/>
              <w:tabs>
                <w:tab w:val="left" w:pos="0"/>
              </w:tabs>
              <w:spacing w:before="11" w:line="276" w:lineRule="auto"/>
              <w:rPr>
                <w:rFonts w:eastAsia="Calibri"/>
                <w:sz w:val="24"/>
                <w:szCs w:val="22"/>
                <w:lang w:val="mn-MN"/>
              </w:rPr>
            </w:pPr>
          </w:p>
        </w:tc>
      </w:tr>
    </w:tbl>
    <w:p w:rsidR="00811BEA" w:rsidRDefault="00811BEA" w:rsidP="00A71B0E">
      <w:pPr>
        <w:ind w:left="0" w:firstLine="0"/>
        <w:jc w:val="left"/>
        <w:rPr>
          <w:lang w:val="en-US"/>
        </w:rPr>
      </w:pPr>
    </w:p>
    <w:tbl>
      <w:tblPr>
        <w:tblStyle w:val="TableGrid"/>
        <w:tblW w:w="0" w:type="auto"/>
        <w:tblLook w:val="04A0" w:firstRow="1" w:lastRow="0" w:firstColumn="1" w:lastColumn="0" w:noHBand="0" w:noVBand="1"/>
      </w:tblPr>
      <w:tblGrid>
        <w:gridCol w:w="1841"/>
        <w:gridCol w:w="1981"/>
        <w:gridCol w:w="2772"/>
        <w:gridCol w:w="2750"/>
      </w:tblGrid>
      <w:tr w:rsidR="00811BEA" w:rsidTr="00811BEA">
        <w:tc>
          <w:tcPr>
            <w:tcW w:w="2336" w:type="dxa"/>
          </w:tcPr>
          <w:p w:rsidR="00811BEA" w:rsidRPr="00731F96" w:rsidRDefault="00811BEA" w:rsidP="00811BEA">
            <w:pPr>
              <w:pStyle w:val="TableParagraph"/>
              <w:tabs>
                <w:tab w:val="left" w:pos="0"/>
              </w:tabs>
              <w:spacing w:before="53" w:line="276" w:lineRule="auto"/>
              <w:ind w:left="151" w:right="152"/>
              <w:jc w:val="center"/>
              <w:rPr>
                <w:b/>
                <w:sz w:val="20"/>
                <w:szCs w:val="20"/>
                <w:lang w:val="mn-MN"/>
              </w:rPr>
            </w:pPr>
            <w:r w:rsidRPr="00731F96">
              <w:rPr>
                <w:b/>
                <w:sz w:val="20"/>
                <w:szCs w:val="20"/>
                <w:lang w:val="mn-MN"/>
              </w:rPr>
              <w:t>Объект</w:t>
            </w:r>
          </w:p>
        </w:tc>
        <w:tc>
          <w:tcPr>
            <w:tcW w:w="2336" w:type="dxa"/>
          </w:tcPr>
          <w:p w:rsidR="00811BEA" w:rsidRPr="00EF2D2B" w:rsidRDefault="00811BEA" w:rsidP="00811BEA">
            <w:pPr>
              <w:pStyle w:val="TableParagraph"/>
              <w:tabs>
                <w:tab w:val="left" w:pos="0"/>
              </w:tabs>
              <w:spacing w:before="53" w:line="276" w:lineRule="auto"/>
              <w:ind w:left="316" w:right="315"/>
              <w:jc w:val="center"/>
              <w:rPr>
                <w:b/>
                <w:sz w:val="20"/>
                <w:szCs w:val="20"/>
                <w:lang w:val="mn-MN"/>
              </w:rPr>
            </w:pPr>
            <w:r w:rsidRPr="00EF2D2B">
              <w:rPr>
                <w:b/>
                <w:sz w:val="20"/>
                <w:szCs w:val="20"/>
                <w:lang w:val="mn-MN"/>
              </w:rPr>
              <w:t>Хамгийн бага хугацаа</w:t>
            </w:r>
          </w:p>
        </w:tc>
        <w:tc>
          <w:tcPr>
            <w:tcW w:w="2336" w:type="dxa"/>
          </w:tcPr>
          <w:p w:rsidR="00811BEA" w:rsidRPr="00EF2D2B" w:rsidRDefault="00811BEA" w:rsidP="00811BEA">
            <w:pPr>
              <w:pStyle w:val="TableParagraph"/>
              <w:tabs>
                <w:tab w:val="left" w:pos="0"/>
                <w:tab w:val="left" w:pos="3509"/>
              </w:tabs>
              <w:spacing w:before="53" w:line="276" w:lineRule="auto"/>
              <w:ind w:left="52" w:right="46" w:hanging="60"/>
              <w:jc w:val="center"/>
              <w:rPr>
                <w:b/>
                <w:sz w:val="20"/>
                <w:szCs w:val="20"/>
                <w:lang w:val="mn-MN"/>
              </w:rPr>
            </w:pPr>
            <w:r w:rsidRPr="00EF2D2B">
              <w:rPr>
                <w:b/>
                <w:sz w:val="20"/>
                <w:szCs w:val="20"/>
                <w:lang w:val="mn-MN"/>
              </w:rPr>
              <w:t>Мэдээлэл дамжуулах саатал (хоцролт)-ын зөвшөөрөгдөх хугацаа</w:t>
            </w:r>
          </w:p>
        </w:tc>
        <w:tc>
          <w:tcPr>
            <w:tcW w:w="2336" w:type="dxa"/>
          </w:tcPr>
          <w:p w:rsidR="00811BEA" w:rsidRPr="00EF2D2B" w:rsidRDefault="00811BEA" w:rsidP="00811BEA">
            <w:pPr>
              <w:pStyle w:val="TableParagraph"/>
              <w:tabs>
                <w:tab w:val="left" w:pos="0"/>
              </w:tabs>
              <w:spacing w:before="53" w:line="276" w:lineRule="auto"/>
              <w:ind w:left="521" w:hanging="490"/>
              <w:jc w:val="center"/>
              <w:rPr>
                <w:b/>
                <w:sz w:val="20"/>
                <w:szCs w:val="20"/>
                <w:lang w:val="mn-MN"/>
              </w:rPr>
            </w:pPr>
            <w:r w:rsidRPr="00EF2D2B">
              <w:rPr>
                <w:b/>
                <w:sz w:val="20"/>
                <w:szCs w:val="20"/>
                <w:lang w:val="mn-MN"/>
              </w:rPr>
              <w:t>Хэмжилтийн хугацааны хамгийн их алдаа</w:t>
            </w:r>
          </w:p>
        </w:tc>
      </w:tr>
      <w:tr w:rsidR="00811BEA" w:rsidTr="00811BEA">
        <w:tc>
          <w:tcPr>
            <w:tcW w:w="2336" w:type="dxa"/>
          </w:tcPr>
          <w:p w:rsidR="00811BEA" w:rsidRPr="00EF2D2B" w:rsidRDefault="00811BEA" w:rsidP="00811BEA">
            <w:pPr>
              <w:pStyle w:val="TableParagraph"/>
              <w:tabs>
                <w:tab w:val="left" w:pos="0"/>
              </w:tabs>
              <w:spacing w:line="276" w:lineRule="auto"/>
              <w:ind w:left="275" w:firstLine="38"/>
              <w:rPr>
                <w:sz w:val="20"/>
                <w:szCs w:val="20"/>
                <w:lang w:val="mn-MN"/>
              </w:rPr>
            </w:pPr>
            <w:r w:rsidRPr="00EF2D2B">
              <w:rPr>
                <w:sz w:val="20"/>
                <w:szCs w:val="20"/>
                <w:lang w:val="mn-MN"/>
              </w:rPr>
              <w:t>PMU –аасDC/CE</w:t>
            </w:r>
          </w:p>
        </w:tc>
        <w:tc>
          <w:tcPr>
            <w:tcW w:w="2336" w:type="dxa"/>
          </w:tcPr>
          <w:p w:rsidR="00811BEA" w:rsidRPr="00731F96" w:rsidRDefault="00811BEA" w:rsidP="00811BEA">
            <w:pPr>
              <w:pStyle w:val="TableParagraph"/>
              <w:tabs>
                <w:tab w:val="left" w:pos="0"/>
              </w:tabs>
              <w:spacing w:line="276" w:lineRule="auto"/>
              <w:ind w:right="317"/>
              <w:rPr>
                <w:sz w:val="20"/>
                <w:szCs w:val="20"/>
                <w:lang w:val="mn-MN"/>
              </w:rPr>
            </w:pPr>
            <w:r w:rsidRPr="00731F96">
              <w:rPr>
                <w:sz w:val="20"/>
                <w:szCs w:val="20"/>
                <w:lang w:val="mn-MN"/>
              </w:rPr>
              <w:t>1/секунд- 10/ секунд</w:t>
            </w:r>
          </w:p>
        </w:tc>
        <w:tc>
          <w:tcPr>
            <w:tcW w:w="2336" w:type="dxa"/>
          </w:tcPr>
          <w:p w:rsidR="00811BEA" w:rsidRPr="00EF2D2B" w:rsidRDefault="00811BEA" w:rsidP="00811BEA">
            <w:pPr>
              <w:pStyle w:val="TableParagraph"/>
              <w:tabs>
                <w:tab w:val="left" w:pos="0"/>
              </w:tabs>
              <w:spacing w:line="276" w:lineRule="auto"/>
              <w:ind w:left="1157" w:right="1158"/>
              <w:jc w:val="center"/>
              <w:rPr>
                <w:sz w:val="20"/>
                <w:szCs w:val="20"/>
                <w:lang w:val="mn-MN"/>
              </w:rPr>
            </w:pPr>
            <w:r w:rsidRPr="00EF2D2B">
              <w:rPr>
                <w:sz w:val="20"/>
                <w:szCs w:val="20"/>
                <w:lang w:val="mn-MN"/>
              </w:rPr>
              <w:t>5 с</w:t>
            </w:r>
          </w:p>
        </w:tc>
        <w:tc>
          <w:tcPr>
            <w:tcW w:w="2336" w:type="dxa"/>
          </w:tcPr>
          <w:p w:rsidR="00811BEA" w:rsidRPr="00EF2D2B" w:rsidRDefault="00811BEA" w:rsidP="00811BEA">
            <w:pPr>
              <w:pStyle w:val="TableParagraph"/>
              <w:tabs>
                <w:tab w:val="left" w:pos="0"/>
              </w:tabs>
              <w:spacing w:line="276" w:lineRule="auto"/>
              <w:ind w:left="1075" w:right="1069"/>
              <w:jc w:val="center"/>
              <w:rPr>
                <w:sz w:val="20"/>
                <w:szCs w:val="20"/>
                <w:lang w:val="mn-MN"/>
              </w:rPr>
            </w:pPr>
            <w:r w:rsidRPr="00EF2D2B">
              <w:rPr>
                <w:sz w:val="20"/>
                <w:szCs w:val="20"/>
                <w:lang w:val="mn-MN"/>
              </w:rPr>
              <w:t>0,05 мс</w:t>
            </w:r>
          </w:p>
        </w:tc>
      </w:tr>
      <w:tr w:rsidR="00811BEA" w:rsidTr="00811BEA">
        <w:tc>
          <w:tcPr>
            <w:tcW w:w="2336" w:type="dxa"/>
          </w:tcPr>
          <w:p w:rsidR="00811BEA" w:rsidRPr="00EF2D2B" w:rsidRDefault="00811BEA" w:rsidP="00811BEA">
            <w:pPr>
              <w:pStyle w:val="TableParagraph"/>
              <w:tabs>
                <w:tab w:val="left" w:pos="0"/>
              </w:tabs>
              <w:spacing w:line="276" w:lineRule="auto"/>
              <w:ind w:left="160" w:right="152"/>
              <w:jc w:val="center"/>
              <w:rPr>
                <w:sz w:val="20"/>
                <w:szCs w:val="20"/>
                <w:lang w:val="mn-MN"/>
              </w:rPr>
            </w:pPr>
            <w:r w:rsidRPr="00EF2D2B">
              <w:rPr>
                <w:sz w:val="20"/>
                <w:szCs w:val="20"/>
                <w:lang w:val="mn-MN"/>
              </w:rPr>
              <w:t>PMU -аас IED</w:t>
            </w:r>
          </w:p>
        </w:tc>
        <w:tc>
          <w:tcPr>
            <w:tcW w:w="2336" w:type="dxa"/>
          </w:tcPr>
          <w:p w:rsidR="00811BEA" w:rsidRPr="00EF2D2B" w:rsidRDefault="00811BEA" w:rsidP="00811BEA">
            <w:pPr>
              <w:pStyle w:val="TableParagraph"/>
              <w:tabs>
                <w:tab w:val="left" w:pos="0"/>
              </w:tabs>
              <w:spacing w:line="276" w:lineRule="auto"/>
              <w:rPr>
                <w:sz w:val="20"/>
                <w:szCs w:val="20"/>
                <w:lang w:val="mn-MN"/>
              </w:rPr>
            </w:pPr>
            <w:r w:rsidRPr="00731F96">
              <w:rPr>
                <w:spacing w:val="6"/>
                <w:sz w:val="20"/>
                <w:szCs w:val="20"/>
                <w:lang w:val="mn-MN"/>
              </w:rPr>
              <w:t>50/</w:t>
            </w:r>
            <w:r w:rsidRPr="00EF2D2B">
              <w:rPr>
                <w:sz w:val="20"/>
                <w:szCs w:val="20"/>
                <w:lang w:val="mn-MN"/>
              </w:rPr>
              <w:t xml:space="preserve">секунд@  </w:t>
            </w:r>
            <w:r w:rsidRPr="00EF2D2B">
              <w:rPr>
                <w:spacing w:val="3"/>
                <w:sz w:val="20"/>
                <w:szCs w:val="20"/>
                <w:lang w:val="mn-MN"/>
              </w:rPr>
              <w:t>50 Гц</w:t>
            </w:r>
          </w:p>
          <w:p w:rsidR="00811BEA" w:rsidRPr="00EF2D2B" w:rsidRDefault="00811BEA" w:rsidP="00811BEA">
            <w:pPr>
              <w:pStyle w:val="TableParagraph"/>
              <w:tabs>
                <w:tab w:val="left" w:pos="0"/>
              </w:tabs>
              <w:spacing w:before="118" w:line="276" w:lineRule="auto"/>
              <w:rPr>
                <w:sz w:val="20"/>
                <w:szCs w:val="20"/>
                <w:lang w:val="mn-MN"/>
              </w:rPr>
            </w:pPr>
            <w:r w:rsidRPr="00EF2D2B">
              <w:rPr>
                <w:spacing w:val="6"/>
                <w:sz w:val="20"/>
                <w:szCs w:val="20"/>
                <w:lang w:val="mn-MN"/>
              </w:rPr>
              <w:t>60/</w:t>
            </w:r>
            <w:r w:rsidRPr="00EF2D2B">
              <w:rPr>
                <w:sz w:val="20"/>
                <w:szCs w:val="20"/>
                <w:lang w:val="mn-MN"/>
              </w:rPr>
              <w:t xml:space="preserve">секунд@  </w:t>
            </w:r>
            <w:r w:rsidRPr="00EF2D2B">
              <w:rPr>
                <w:spacing w:val="3"/>
                <w:sz w:val="20"/>
                <w:szCs w:val="20"/>
                <w:lang w:val="mn-MN"/>
              </w:rPr>
              <w:t>60 Гц</w:t>
            </w:r>
          </w:p>
        </w:tc>
        <w:tc>
          <w:tcPr>
            <w:tcW w:w="2336" w:type="dxa"/>
          </w:tcPr>
          <w:p w:rsidR="00811BEA" w:rsidRPr="00EF2D2B" w:rsidRDefault="00811BEA" w:rsidP="00811BEA">
            <w:pPr>
              <w:pStyle w:val="TableParagraph"/>
              <w:tabs>
                <w:tab w:val="left" w:pos="0"/>
              </w:tabs>
              <w:spacing w:line="276" w:lineRule="auto"/>
              <w:ind w:left="1160" w:right="1158"/>
              <w:jc w:val="center"/>
              <w:rPr>
                <w:sz w:val="20"/>
                <w:szCs w:val="20"/>
                <w:lang w:val="mn-MN"/>
              </w:rPr>
            </w:pPr>
            <w:r w:rsidRPr="00EF2D2B">
              <w:rPr>
                <w:sz w:val="20"/>
                <w:szCs w:val="20"/>
                <w:lang w:val="mn-MN"/>
              </w:rPr>
              <w:t>20 мс</w:t>
            </w:r>
          </w:p>
        </w:tc>
        <w:tc>
          <w:tcPr>
            <w:tcW w:w="2336" w:type="dxa"/>
          </w:tcPr>
          <w:p w:rsidR="00811BEA" w:rsidRPr="00EF2D2B" w:rsidRDefault="00811BEA" w:rsidP="00811BEA">
            <w:pPr>
              <w:pStyle w:val="TableParagraph"/>
              <w:tabs>
                <w:tab w:val="left" w:pos="0"/>
              </w:tabs>
              <w:spacing w:line="276" w:lineRule="auto"/>
              <w:ind w:left="1075" w:right="1069"/>
              <w:jc w:val="center"/>
              <w:rPr>
                <w:sz w:val="20"/>
                <w:szCs w:val="20"/>
                <w:lang w:val="mn-MN"/>
              </w:rPr>
            </w:pPr>
            <w:r w:rsidRPr="00EF2D2B">
              <w:rPr>
                <w:sz w:val="20"/>
                <w:szCs w:val="20"/>
                <w:lang w:val="mn-MN"/>
              </w:rPr>
              <w:t>0,05 мс</w:t>
            </w:r>
          </w:p>
        </w:tc>
      </w:tr>
    </w:tbl>
    <w:p w:rsidR="00811BEA" w:rsidRDefault="00811BEA" w:rsidP="00A71B0E">
      <w:pPr>
        <w:ind w:left="0" w:firstLine="0"/>
        <w:jc w:val="left"/>
        <w:rPr>
          <w:lang w:val="en-US"/>
        </w:rPr>
      </w:pPr>
    </w:p>
    <w:tbl>
      <w:tblPr>
        <w:tblStyle w:val="TableGrid"/>
        <w:tblW w:w="0" w:type="auto"/>
        <w:tblLook w:val="04A0" w:firstRow="1" w:lastRow="0" w:firstColumn="1" w:lastColumn="0" w:noHBand="0" w:noVBand="1"/>
      </w:tblPr>
      <w:tblGrid>
        <w:gridCol w:w="1821"/>
        <w:gridCol w:w="1972"/>
        <w:gridCol w:w="2801"/>
        <w:gridCol w:w="2750"/>
      </w:tblGrid>
      <w:tr w:rsidR="00811BEA" w:rsidRPr="00EF2D2B" w:rsidTr="00811BEA">
        <w:tc>
          <w:tcPr>
            <w:tcW w:w="1841" w:type="dxa"/>
          </w:tcPr>
          <w:p w:rsidR="00811BEA" w:rsidRPr="00731F96" w:rsidRDefault="00811BEA" w:rsidP="00811BEA">
            <w:pPr>
              <w:pStyle w:val="TableParagraph"/>
              <w:tabs>
                <w:tab w:val="left" w:pos="0"/>
              </w:tabs>
              <w:spacing w:before="53" w:line="276" w:lineRule="auto"/>
              <w:ind w:left="151" w:right="152"/>
              <w:jc w:val="center"/>
              <w:rPr>
                <w:b/>
                <w:sz w:val="20"/>
                <w:szCs w:val="20"/>
                <w:lang w:val="mn-MN"/>
              </w:rPr>
            </w:pPr>
            <w:r w:rsidRPr="00731F96">
              <w:rPr>
                <w:b/>
                <w:sz w:val="20"/>
                <w:szCs w:val="20"/>
                <w:lang w:val="mn-MN"/>
              </w:rPr>
              <w:t>Objects</w:t>
            </w:r>
          </w:p>
        </w:tc>
        <w:tc>
          <w:tcPr>
            <w:tcW w:w="1981" w:type="dxa"/>
          </w:tcPr>
          <w:p w:rsidR="00811BEA" w:rsidRPr="00EF2D2B" w:rsidRDefault="00811BEA" w:rsidP="00811BEA">
            <w:pPr>
              <w:pStyle w:val="TableParagraph"/>
              <w:tabs>
                <w:tab w:val="left" w:pos="0"/>
              </w:tabs>
              <w:spacing w:before="53" w:line="276" w:lineRule="auto"/>
              <w:ind w:left="316" w:right="315"/>
              <w:jc w:val="center"/>
              <w:rPr>
                <w:b/>
                <w:sz w:val="20"/>
                <w:szCs w:val="20"/>
                <w:lang w:val="mn-MN"/>
              </w:rPr>
            </w:pPr>
            <w:r w:rsidRPr="00EF2D2B">
              <w:rPr>
                <w:b/>
                <w:sz w:val="20"/>
                <w:szCs w:val="20"/>
                <w:lang w:val="mn-MN"/>
              </w:rPr>
              <w:t>Minimum rate</w:t>
            </w:r>
          </w:p>
        </w:tc>
        <w:tc>
          <w:tcPr>
            <w:tcW w:w="2772" w:type="dxa"/>
          </w:tcPr>
          <w:p w:rsidR="00811BEA" w:rsidRPr="00EF2D2B" w:rsidRDefault="00811BEA" w:rsidP="00811BEA">
            <w:pPr>
              <w:pStyle w:val="TableParagraph"/>
              <w:tabs>
                <w:tab w:val="left" w:pos="0"/>
              </w:tabs>
              <w:spacing w:before="53" w:line="276" w:lineRule="auto"/>
              <w:ind w:right="109"/>
              <w:rPr>
                <w:b/>
                <w:sz w:val="20"/>
                <w:szCs w:val="20"/>
                <w:lang w:val="mn-MN"/>
              </w:rPr>
            </w:pPr>
            <w:r w:rsidRPr="00EF2D2B">
              <w:rPr>
                <w:b/>
                <w:sz w:val="20"/>
                <w:szCs w:val="20"/>
                <w:lang w:val="mn-MN"/>
              </w:rPr>
              <w:t>Allowable communication delay (latency) time</w:t>
            </w:r>
          </w:p>
        </w:tc>
        <w:tc>
          <w:tcPr>
            <w:tcW w:w="2750" w:type="dxa"/>
          </w:tcPr>
          <w:p w:rsidR="00811BEA" w:rsidRPr="00EF2D2B" w:rsidRDefault="00811BEA" w:rsidP="00811BEA">
            <w:pPr>
              <w:pStyle w:val="TableParagraph"/>
              <w:tabs>
                <w:tab w:val="left" w:pos="0"/>
              </w:tabs>
              <w:spacing w:before="53" w:line="276" w:lineRule="auto"/>
              <w:ind w:right="75"/>
              <w:rPr>
                <w:b/>
                <w:sz w:val="20"/>
                <w:szCs w:val="20"/>
                <w:lang w:val="mn-MN"/>
              </w:rPr>
            </w:pPr>
            <w:r w:rsidRPr="00EF2D2B">
              <w:rPr>
                <w:b/>
                <w:sz w:val="20"/>
                <w:szCs w:val="20"/>
                <w:lang w:val="mn-MN"/>
              </w:rPr>
              <w:t>Maximum measurement timing error</w:t>
            </w:r>
          </w:p>
        </w:tc>
      </w:tr>
      <w:tr w:rsidR="00811BEA" w:rsidRPr="00EF2D2B" w:rsidTr="00811BEA">
        <w:tc>
          <w:tcPr>
            <w:tcW w:w="1841" w:type="dxa"/>
          </w:tcPr>
          <w:p w:rsidR="00811BEA" w:rsidRPr="00EF2D2B" w:rsidRDefault="00811BEA" w:rsidP="00811BEA">
            <w:pPr>
              <w:pStyle w:val="TableParagraph"/>
              <w:tabs>
                <w:tab w:val="left" w:pos="0"/>
              </w:tabs>
              <w:spacing w:line="276" w:lineRule="auto"/>
              <w:ind w:left="275" w:firstLine="38"/>
              <w:rPr>
                <w:sz w:val="20"/>
                <w:szCs w:val="20"/>
                <w:lang w:val="mn-MN"/>
              </w:rPr>
            </w:pPr>
            <w:r w:rsidRPr="00EF2D2B">
              <w:rPr>
                <w:sz w:val="20"/>
                <w:szCs w:val="20"/>
                <w:lang w:val="mn-MN"/>
              </w:rPr>
              <w:t>PMU to PDC/CE</w:t>
            </w:r>
          </w:p>
        </w:tc>
        <w:tc>
          <w:tcPr>
            <w:tcW w:w="1981" w:type="dxa"/>
          </w:tcPr>
          <w:p w:rsidR="00811BEA" w:rsidRPr="00731F96" w:rsidRDefault="00811BEA" w:rsidP="00811BEA">
            <w:pPr>
              <w:pStyle w:val="TableParagraph"/>
              <w:tabs>
                <w:tab w:val="left" w:pos="0"/>
              </w:tabs>
              <w:spacing w:line="276" w:lineRule="auto"/>
              <w:ind w:right="317"/>
              <w:rPr>
                <w:sz w:val="20"/>
                <w:szCs w:val="20"/>
                <w:lang w:val="mn-MN"/>
              </w:rPr>
            </w:pPr>
            <w:r w:rsidRPr="00731F96">
              <w:rPr>
                <w:sz w:val="20"/>
                <w:szCs w:val="20"/>
                <w:lang w:val="mn-MN"/>
              </w:rPr>
              <w:t>1/second to 10/second</w:t>
            </w:r>
          </w:p>
        </w:tc>
        <w:tc>
          <w:tcPr>
            <w:tcW w:w="2772" w:type="dxa"/>
          </w:tcPr>
          <w:p w:rsidR="00811BEA" w:rsidRPr="00EF2D2B" w:rsidRDefault="00811BEA" w:rsidP="00811BEA">
            <w:pPr>
              <w:pStyle w:val="TableParagraph"/>
              <w:tabs>
                <w:tab w:val="left" w:pos="0"/>
              </w:tabs>
              <w:spacing w:line="276" w:lineRule="auto"/>
              <w:ind w:left="1157" w:right="1158"/>
              <w:jc w:val="center"/>
              <w:rPr>
                <w:sz w:val="20"/>
                <w:szCs w:val="20"/>
                <w:lang w:val="mn-MN"/>
              </w:rPr>
            </w:pPr>
            <w:r w:rsidRPr="00EF2D2B">
              <w:rPr>
                <w:sz w:val="20"/>
                <w:szCs w:val="20"/>
                <w:lang w:val="mn-MN"/>
              </w:rPr>
              <w:t>5 s</w:t>
            </w:r>
          </w:p>
        </w:tc>
        <w:tc>
          <w:tcPr>
            <w:tcW w:w="2750" w:type="dxa"/>
          </w:tcPr>
          <w:p w:rsidR="00811BEA" w:rsidRPr="00EF2D2B" w:rsidRDefault="00811BEA" w:rsidP="00811BEA">
            <w:pPr>
              <w:pStyle w:val="TableParagraph"/>
              <w:tabs>
                <w:tab w:val="left" w:pos="0"/>
              </w:tabs>
              <w:spacing w:line="276" w:lineRule="auto"/>
              <w:ind w:left="1075" w:right="1069"/>
              <w:jc w:val="center"/>
              <w:rPr>
                <w:sz w:val="20"/>
                <w:szCs w:val="20"/>
                <w:lang w:val="mn-MN"/>
              </w:rPr>
            </w:pPr>
            <w:r w:rsidRPr="00EF2D2B">
              <w:rPr>
                <w:sz w:val="20"/>
                <w:szCs w:val="20"/>
                <w:lang w:val="mn-MN"/>
              </w:rPr>
              <w:t>0,05 ms</w:t>
            </w:r>
          </w:p>
        </w:tc>
      </w:tr>
      <w:tr w:rsidR="00811BEA" w:rsidRPr="00EF2D2B" w:rsidTr="00811BEA">
        <w:tc>
          <w:tcPr>
            <w:tcW w:w="1841" w:type="dxa"/>
          </w:tcPr>
          <w:p w:rsidR="00811BEA" w:rsidRPr="00EF2D2B" w:rsidRDefault="00811BEA" w:rsidP="00811BEA">
            <w:pPr>
              <w:pStyle w:val="TableParagraph"/>
              <w:tabs>
                <w:tab w:val="left" w:pos="0"/>
              </w:tabs>
              <w:spacing w:line="276" w:lineRule="auto"/>
              <w:ind w:left="160" w:right="152"/>
              <w:jc w:val="center"/>
              <w:rPr>
                <w:sz w:val="20"/>
                <w:szCs w:val="20"/>
                <w:lang w:val="mn-MN"/>
              </w:rPr>
            </w:pPr>
            <w:r w:rsidRPr="00EF2D2B">
              <w:rPr>
                <w:sz w:val="20"/>
                <w:szCs w:val="20"/>
                <w:lang w:val="mn-MN"/>
              </w:rPr>
              <w:t>PMU to IED</w:t>
            </w:r>
          </w:p>
        </w:tc>
        <w:tc>
          <w:tcPr>
            <w:tcW w:w="1981" w:type="dxa"/>
          </w:tcPr>
          <w:p w:rsidR="00811BEA" w:rsidRPr="00EF2D2B" w:rsidRDefault="00811BEA" w:rsidP="00811BEA">
            <w:pPr>
              <w:pStyle w:val="TableParagraph"/>
              <w:tabs>
                <w:tab w:val="left" w:pos="0"/>
              </w:tabs>
              <w:spacing w:line="276" w:lineRule="auto"/>
              <w:rPr>
                <w:sz w:val="20"/>
                <w:szCs w:val="20"/>
                <w:lang w:val="mn-MN"/>
              </w:rPr>
            </w:pPr>
            <w:r w:rsidRPr="00731F96">
              <w:rPr>
                <w:spacing w:val="6"/>
                <w:sz w:val="20"/>
                <w:szCs w:val="20"/>
                <w:lang w:val="mn-MN"/>
              </w:rPr>
              <w:t xml:space="preserve">50/second </w:t>
            </w:r>
            <w:r w:rsidRPr="00EF2D2B">
              <w:rPr>
                <w:sz w:val="20"/>
                <w:szCs w:val="20"/>
                <w:lang w:val="mn-MN"/>
              </w:rPr>
              <w:t xml:space="preserve">@  </w:t>
            </w:r>
            <w:r w:rsidRPr="00EF2D2B">
              <w:rPr>
                <w:spacing w:val="3"/>
                <w:sz w:val="20"/>
                <w:szCs w:val="20"/>
                <w:lang w:val="mn-MN"/>
              </w:rPr>
              <w:t>50 Hz</w:t>
            </w:r>
          </w:p>
          <w:p w:rsidR="00811BEA" w:rsidRPr="00EF2D2B" w:rsidRDefault="00811BEA" w:rsidP="00811BEA">
            <w:pPr>
              <w:pStyle w:val="TableParagraph"/>
              <w:tabs>
                <w:tab w:val="left" w:pos="0"/>
              </w:tabs>
              <w:spacing w:before="118" w:line="276" w:lineRule="auto"/>
              <w:rPr>
                <w:sz w:val="20"/>
                <w:szCs w:val="20"/>
                <w:lang w:val="mn-MN"/>
              </w:rPr>
            </w:pPr>
            <w:r w:rsidRPr="00EF2D2B">
              <w:rPr>
                <w:spacing w:val="6"/>
                <w:sz w:val="20"/>
                <w:szCs w:val="20"/>
                <w:lang w:val="mn-MN"/>
              </w:rPr>
              <w:t xml:space="preserve">60/second </w:t>
            </w:r>
            <w:r w:rsidRPr="00EF2D2B">
              <w:rPr>
                <w:sz w:val="20"/>
                <w:szCs w:val="20"/>
                <w:lang w:val="mn-MN"/>
              </w:rPr>
              <w:t xml:space="preserve">@  </w:t>
            </w:r>
            <w:r w:rsidRPr="00EF2D2B">
              <w:rPr>
                <w:spacing w:val="3"/>
                <w:sz w:val="20"/>
                <w:szCs w:val="20"/>
                <w:lang w:val="mn-MN"/>
              </w:rPr>
              <w:t>60 Hz</w:t>
            </w:r>
          </w:p>
        </w:tc>
        <w:tc>
          <w:tcPr>
            <w:tcW w:w="2772" w:type="dxa"/>
          </w:tcPr>
          <w:p w:rsidR="00811BEA" w:rsidRPr="00EF2D2B" w:rsidRDefault="00811BEA" w:rsidP="00811BEA">
            <w:pPr>
              <w:pStyle w:val="TableParagraph"/>
              <w:tabs>
                <w:tab w:val="left" w:pos="0"/>
              </w:tabs>
              <w:spacing w:line="276" w:lineRule="auto"/>
              <w:ind w:left="1160" w:right="1158"/>
              <w:jc w:val="center"/>
              <w:rPr>
                <w:sz w:val="20"/>
                <w:szCs w:val="20"/>
                <w:lang w:val="mn-MN"/>
              </w:rPr>
            </w:pPr>
            <w:r w:rsidRPr="00EF2D2B">
              <w:rPr>
                <w:sz w:val="20"/>
                <w:szCs w:val="20"/>
                <w:lang w:val="mn-MN"/>
              </w:rPr>
              <w:t>20 ms</w:t>
            </w:r>
          </w:p>
        </w:tc>
        <w:tc>
          <w:tcPr>
            <w:tcW w:w="2750" w:type="dxa"/>
          </w:tcPr>
          <w:p w:rsidR="00811BEA" w:rsidRPr="00EF2D2B" w:rsidRDefault="00811BEA" w:rsidP="00811BEA">
            <w:pPr>
              <w:pStyle w:val="TableParagraph"/>
              <w:tabs>
                <w:tab w:val="left" w:pos="0"/>
              </w:tabs>
              <w:spacing w:line="276" w:lineRule="auto"/>
              <w:ind w:left="1075" w:right="1069"/>
              <w:jc w:val="center"/>
              <w:rPr>
                <w:sz w:val="20"/>
                <w:szCs w:val="20"/>
                <w:lang w:val="mn-MN"/>
              </w:rPr>
            </w:pPr>
            <w:r w:rsidRPr="00EF2D2B">
              <w:rPr>
                <w:sz w:val="20"/>
                <w:szCs w:val="20"/>
                <w:lang w:val="mn-MN"/>
              </w:rPr>
              <w:t>0,05 ms</w:t>
            </w:r>
          </w:p>
        </w:tc>
      </w:tr>
    </w:tbl>
    <w:p w:rsidR="00811BEA" w:rsidRDefault="00811BEA" w:rsidP="00A71B0E">
      <w:pPr>
        <w:ind w:left="0" w:firstLine="0"/>
        <w:jc w:val="left"/>
        <w:rPr>
          <w:lang w:val="en-US"/>
        </w:rPr>
      </w:pPr>
    </w:p>
    <w:tbl>
      <w:tblPr>
        <w:tblStyle w:val="TableGrid"/>
        <w:tblW w:w="0" w:type="auto"/>
        <w:tblLook w:val="04A0" w:firstRow="1" w:lastRow="0" w:firstColumn="1" w:lastColumn="0" w:noHBand="0" w:noVBand="1"/>
      </w:tblPr>
      <w:tblGrid>
        <w:gridCol w:w="4672"/>
        <w:gridCol w:w="4672"/>
      </w:tblGrid>
      <w:tr w:rsidR="00811BEA" w:rsidTr="00811BEA">
        <w:tc>
          <w:tcPr>
            <w:tcW w:w="4672" w:type="dxa"/>
          </w:tcPr>
          <w:p w:rsidR="00811BEA" w:rsidRPr="00811BEA" w:rsidRDefault="00811BEA" w:rsidP="00811BEA">
            <w:pPr>
              <w:tabs>
                <w:tab w:val="left" w:pos="0"/>
              </w:tabs>
              <w:ind w:left="0" w:firstLine="0"/>
              <w:rPr>
                <w:rFonts w:eastAsia="Calibri"/>
                <w:b/>
                <w:bCs/>
                <w:szCs w:val="22"/>
              </w:rPr>
            </w:pPr>
            <w:r w:rsidRPr="00811BEA">
              <w:rPr>
                <w:rFonts w:eastAsia="Calibri"/>
                <w:b/>
                <w:bCs/>
                <w:szCs w:val="22"/>
              </w:rPr>
              <w:t>5.9.6 Фазор өгөгдлийн хуримтлуулагч (PDC)</w:t>
            </w:r>
          </w:p>
          <w:p w:rsidR="00811BEA" w:rsidRPr="00811BEA" w:rsidRDefault="00811BEA" w:rsidP="00811BEA">
            <w:pPr>
              <w:tabs>
                <w:tab w:val="left" w:pos="0"/>
              </w:tabs>
              <w:ind w:left="0" w:firstLine="0"/>
              <w:rPr>
                <w:rFonts w:eastAsia="Calibri"/>
                <w:bCs/>
                <w:szCs w:val="22"/>
              </w:rPr>
            </w:pPr>
            <w:r w:rsidRPr="00811BEA">
              <w:rPr>
                <w:rFonts w:eastAsia="Calibri"/>
                <w:bCs/>
                <w:szCs w:val="22"/>
              </w:rPr>
              <w:t xml:space="preserve">Фазор өгөгдлийн хуримтлуулагч (PDC) функц нь нэг буюу хэд хэдэн PMU ба/буюу бусад PDC-ээс авсан фазор өгөгдлийн урсгалыг хүлээн авах буюу бүртгэдэг. PDC-ийн үндсэн зорилго нь эдгээр оролтын өгөгдлийн урсгалуудаас нэг буюу хэд хэдэн шинэ гаралтын өгөгдлийн урсгалуудыг цуглуулах явдал юм. Олон үүсгэгчээс авсан фазор өгөгдлийн урсгалыг нэг эсвэл хэд хэдэн урсгалд нэгтгэснээр PDC нь хязгаарлагдмал мэдээлэл дамжуулах зам ба/буюу хязгаарлагдмал өгөгдлийн багтаамжтай замыг ашиглан олон тооны PMU үүсвэрээс өгөгдөл дамжуулах боломжийг олгодог. PDC нь дараах хэрэглээний нөхцөлүүдээр тодорхойлсон клиент функцүүдийг баталгаажуулах зорилгоор нэг фазор өгөгдлийн урсгалыг хэвлэх болно. Үүнд: нөхцөл байдал талаар, төлөвийн тооцоолол, онлайн аюулгүй байдлын </w:t>
            </w:r>
            <w:r w:rsidRPr="00811BEA">
              <w:rPr>
                <w:rFonts w:eastAsia="Calibri"/>
                <w:bCs/>
                <w:szCs w:val="22"/>
              </w:rPr>
              <w:lastRenderedPageBreak/>
              <w:t>үнэлгээ, дэлгэцэд харуулах, өгөгдлийг боловсруулах, дохиолол өгөх, архивлах, өргөн хүрээнд удирдах. Энэхүү оролтын PDC функцийн хувьд эдгээр зарлах аппликейшинд нь бие даасан PMU үүсвэрүүдийн урт жагсаалтад харилцаа холбоо ба менежмент шаарддаггүй.</w:t>
            </w:r>
          </w:p>
          <w:p w:rsidR="00811BEA" w:rsidRPr="00811BEA" w:rsidRDefault="00811BEA" w:rsidP="00811BEA">
            <w:pPr>
              <w:tabs>
                <w:tab w:val="left" w:pos="0"/>
              </w:tabs>
              <w:ind w:left="0" w:firstLine="0"/>
              <w:rPr>
                <w:rFonts w:eastAsia="Calibri"/>
                <w:bCs/>
                <w:szCs w:val="22"/>
              </w:rPr>
            </w:pPr>
            <w:r w:rsidRPr="00811BEA">
              <w:rPr>
                <w:rFonts w:eastAsia="Calibri"/>
                <w:bCs/>
                <w:szCs w:val="22"/>
              </w:rPr>
              <w:t xml:space="preserve">Энэхүү нэгтгэлийг гүйцэтгэхэд шаардлагатай PDC -ийн функцүүд нь: </w:t>
            </w:r>
          </w:p>
          <w:p w:rsidR="00811BEA" w:rsidRPr="00811BEA" w:rsidRDefault="00811BEA" w:rsidP="00811BEA">
            <w:pPr>
              <w:tabs>
                <w:tab w:val="left" w:pos="0"/>
              </w:tabs>
              <w:ind w:left="0" w:firstLine="0"/>
              <w:rPr>
                <w:rFonts w:eastAsia="Calibri"/>
                <w:bCs/>
                <w:szCs w:val="22"/>
              </w:rPr>
            </w:pPr>
            <w:r w:rsidRPr="00811BEA">
              <w:rPr>
                <w:rFonts w:eastAsia="Calibri"/>
                <w:bCs/>
                <w:szCs w:val="22"/>
              </w:rPr>
              <w:t>оролтын урсгалуудаас тохиромжтой утгыг сонгох;</w:t>
            </w:r>
          </w:p>
          <w:p w:rsidR="00811BEA" w:rsidRPr="00811BEA" w:rsidRDefault="00811BEA" w:rsidP="00811BEA">
            <w:pPr>
              <w:tabs>
                <w:tab w:val="left" w:pos="0"/>
              </w:tabs>
              <w:ind w:left="0" w:firstLine="0"/>
              <w:rPr>
                <w:rFonts w:eastAsia="Calibri"/>
                <w:bCs/>
                <w:szCs w:val="22"/>
              </w:rPr>
            </w:pPr>
            <w:r w:rsidRPr="00811BEA">
              <w:rPr>
                <w:rFonts w:eastAsia="Calibri"/>
                <w:bCs/>
                <w:szCs w:val="22"/>
              </w:rPr>
              <w:t>өгөгдөл байгаа эсэх, туршилтын горим, чанар зэрэг оролтын утгыг баталгаажуулах;</w:t>
            </w:r>
          </w:p>
          <w:p w:rsidR="00811BEA" w:rsidRPr="00811BEA" w:rsidRDefault="00811BEA" w:rsidP="00811BEA">
            <w:pPr>
              <w:tabs>
                <w:tab w:val="left" w:pos="0"/>
              </w:tabs>
              <w:ind w:left="0" w:firstLine="0"/>
              <w:rPr>
                <w:rFonts w:eastAsia="Calibri"/>
                <w:bCs/>
                <w:szCs w:val="22"/>
              </w:rPr>
            </w:pPr>
            <w:r w:rsidRPr="00811BEA">
              <w:rPr>
                <w:rFonts w:eastAsia="Calibri"/>
                <w:bCs/>
                <w:szCs w:val="22"/>
              </w:rPr>
              <w:t>нэг буюу хэд хэдэн гаралтын урсгал үүсгэхийн тулд оролтын урсгалуудын утгыг агрегат хийх;</w:t>
            </w:r>
          </w:p>
          <w:p w:rsidR="00811BEA" w:rsidRPr="00811BEA" w:rsidRDefault="00811BEA" w:rsidP="00811BEA">
            <w:pPr>
              <w:tabs>
                <w:tab w:val="left" w:pos="0"/>
              </w:tabs>
              <w:ind w:left="0" w:firstLine="0"/>
              <w:rPr>
                <w:rFonts w:eastAsia="Calibri"/>
                <w:bCs/>
                <w:szCs w:val="22"/>
              </w:rPr>
            </w:pPr>
            <w:r w:rsidRPr="00811BEA">
              <w:rPr>
                <w:rFonts w:eastAsia="Calibri"/>
                <w:bCs/>
                <w:szCs w:val="22"/>
              </w:rPr>
              <w:t>янз бүрийн түүврийн хурдтай өгөгдлийг агрегат хийх боломжийг олгохын тулд оролтын утгын урсгалыг задлах буюу интерполяци хийх;</w:t>
            </w:r>
          </w:p>
          <w:p w:rsidR="00811BEA" w:rsidRPr="00811BEA" w:rsidRDefault="00811BEA" w:rsidP="00811BEA">
            <w:pPr>
              <w:tabs>
                <w:tab w:val="left" w:pos="0"/>
              </w:tabs>
              <w:ind w:left="0" w:firstLine="0"/>
              <w:rPr>
                <w:rFonts w:eastAsia="Calibri"/>
                <w:bCs/>
                <w:szCs w:val="22"/>
              </w:rPr>
            </w:pPr>
            <w:r w:rsidRPr="00811BEA">
              <w:rPr>
                <w:rFonts w:eastAsia="Calibri"/>
                <w:bCs/>
                <w:szCs w:val="22"/>
              </w:rPr>
              <w:t xml:space="preserve">янз бүрийн урсгалуудаас оруулсан оролтын утгуудад хугацааны тохируулга хийх; </w:t>
            </w:r>
          </w:p>
          <w:p w:rsidR="00811BEA" w:rsidRPr="00811BEA" w:rsidRDefault="00811BEA" w:rsidP="00811BEA">
            <w:pPr>
              <w:tabs>
                <w:tab w:val="left" w:pos="0"/>
              </w:tabs>
              <w:ind w:left="0" w:firstLine="0"/>
              <w:rPr>
                <w:rFonts w:eastAsia="Calibri"/>
                <w:bCs/>
                <w:szCs w:val="22"/>
              </w:rPr>
            </w:pPr>
            <w:r w:rsidRPr="00811BEA">
              <w:rPr>
                <w:rFonts w:eastAsia="Calibri"/>
                <w:bCs/>
                <w:szCs w:val="22"/>
              </w:rPr>
              <w:t>энэхүү баримт бичгийн зарим хэсэгт заасны дагуу IEC 61850-90-5 протокол болон IEEE C37.118-2005, C37.118.2-2011, IEEE 1344 ба бусад мэдээлэл дамжуулах протоколын хооронд форматуудыг хөрвүүлэлт протокол;</w:t>
            </w:r>
          </w:p>
          <w:p w:rsidR="00811BEA" w:rsidRPr="00811BEA" w:rsidRDefault="00811BEA" w:rsidP="00811BEA">
            <w:pPr>
              <w:tabs>
                <w:tab w:val="left" w:pos="0"/>
              </w:tabs>
              <w:ind w:left="0" w:firstLine="0"/>
              <w:rPr>
                <w:rFonts w:eastAsia="Calibri"/>
                <w:bCs/>
                <w:szCs w:val="22"/>
              </w:rPr>
            </w:pPr>
            <w:r w:rsidRPr="00811BEA">
              <w:rPr>
                <w:rFonts w:eastAsia="Calibri"/>
                <w:bCs/>
                <w:szCs w:val="22"/>
              </w:rPr>
              <w:t>аюулгүй байдлын хэрэгжүүлэлт– оролт болон гаралтын урсгалын баталгаажуулалт ба/буюу нууцлалт;</w:t>
            </w:r>
          </w:p>
          <w:p w:rsidR="00811BEA" w:rsidRPr="00811BEA" w:rsidRDefault="00811BEA" w:rsidP="00811BEA">
            <w:pPr>
              <w:tabs>
                <w:tab w:val="left" w:pos="0"/>
              </w:tabs>
              <w:ind w:left="0" w:firstLine="0"/>
              <w:rPr>
                <w:rFonts w:eastAsia="Calibri"/>
                <w:bCs/>
                <w:szCs w:val="22"/>
              </w:rPr>
            </w:pPr>
            <w:r w:rsidRPr="00811BEA">
              <w:rPr>
                <w:rFonts w:eastAsia="Calibri"/>
                <w:bCs/>
                <w:szCs w:val="22"/>
              </w:rPr>
              <w:t>оролтын утгуудаас гаргаж авсан утгыг гаралтын урсгалд оруулахад масштаблах буюу тооцоолох (ж.нь, фазын шилжилт оруулах, эсвэл оролтын байршлуудын хооронд фазын өнцгийг тооцоолох).</w:t>
            </w:r>
          </w:p>
          <w:p w:rsidR="00811BEA" w:rsidRPr="00811BEA" w:rsidRDefault="00811BEA" w:rsidP="00811BEA">
            <w:pPr>
              <w:tabs>
                <w:tab w:val="left" w:pos="0"/>
              </w:tabs>
              <w:ind w:left="0" w:firstLine="0"/>
              <w:rPr>
                <w:rFonts w:eastAsia="Calibri"/>
                <w:bCs/>
                <w:szCs w:val="22"/>
              </w:rPr>
            </w:pPr>
            <w:r w:rsidRPr="00811BEA">
              <w:rPr>
                <w:rFonts w:eastAsia="Calibri"/>
                <w:bCs/>
                <w:szCs w:val="22"/>
              </w:rPr>
              <w:t xml:space="preserve">Энэ жагсаалтад багтсан а) – c) функцүүд нь PDC-д зайлшгүй шаардлагатай. d) ба e) функцүүд нь PDC функцийн үндсэн функцүүд боловч </w:t>
            </w:r>
            <w:r w:rsidRPr="00811BEA">
              <w:rPr>
                <w:rFonts w:eastAsia="Calibri"/>
                <w:bCs/>
                <w:szCs w:val="22"/>
              </w:rPr>
              <w:lastRenderedPageBreak/>
              <w:t>бүх хэрэглээнд шаардлагагүй байж болох тул зарим тохиолдолд "off" байдлаар тохируулж болно. f) – h) функцүүд нь PDC хэрэглээ бүрд байх шаардлагагүй функцүүд юм; хэрэв байгаа бол эдгээр функцүүдийг "off" байдлаар тохируулж болно.</w:t>
            </w:r>
          </w:p>
          <w:p w:rsidR="00811BEA" w:rsidRPr="00811BEA" w:rsidRDefault="00811BEA" w:rsidP="00811BEA">
            <w:pPr>
              <w:tabs>
                <w:tab w:val="left" w:pos="0"/>
              </w:tabs>
              <w:ind w:left="0" w:firstLine="0"/>
              <w:rPr>
                <w:rFonts w:eastAsia="Calibri"/>
                <w:bCs/>
                <w:szCs w:val="22"/>
              </w:rPr>
            </w:pPr>
            <w:r w:rsidRPr="00811BEA">
              <w:rPr>
                <w:rFonts w:eastAsia="Calibri"/>
                <w:bCs/>
                <w:szCs w:val="22"/>
              </w:rPr>
              <w:t>PDC функцүүдийн жагсаалтыг ихэвчлэн нэг физик төхөөрөмжийн нэгжээр хангах боловч түүний гүйцэтгэдэг зарим функцийг системийн тохиргооны бусад хэсэгт, ялангуяа f – h функцүүдэд гүйцэтгэдэг.</w:t>
            </w:r>
          </w:p>
          <w:p w:rsidR="00811BEA" w:rsidRPr="00811BEA" w:rsidRDefault="00811BEA" w:rsidP="00811BEA">
            <w:pPr>
              <w:tabs>
                <w:tab w:val="left" w:pos="0"/>
              </w:tabs>
              <w:ind w:left="0" w:firstLine="0"/>
              <w:rPr>
                <w:rFonts w:eastAsia="Calibri"/>
                <w:bCs/>
                <w:szCs w:val="22"/>
              </w:rPr>
            </w:pPr>
            <w:r w:rsidRPr="00811BEA">
              <w:rPr>
                <w:rFonts w:eastAsia="Calibri"/>
                <w:bCs/>
                <w:szCs w:val="22"/>
              </w:rPr>
              <w:t>F) нь мэдээлэл дамжуулах протоколын хөрвүүлэлтийг хийснээр PDC нь хуучин өгөгдлийн үүсвэр эсвэл хэрэглэгчийн аппликейшинуудыг IEC/TR 61850-90-5 эсвэл IEEE C37.118-2005 гэх мэт бусад протокол дээр суурилсан мэдээлэл дамжуулах системтэй нэгтгэх боломжийг олгодог.Энэ хөрвүүлэх функц нь IEC/TR 61850-90-5-ийн онцгой эрхтэй хэрэглээнд шилжих шилжилтийг дэмждэг.</w:t>
            </w:r>
          </w:p>
          <w:p w:rsidR="00811BEA" w:rsidRPr="00811BEA" w:rsidRDefault="00811BEA" w:rsidP="00811BEA">
            <w:pPr>
              <w:tabs>
                <w:tab w:val="left" w:pos="0"/>
              </w:tabs>
              <w:ind w:left="0" w:firstLine="0"/>
              <w:rPr>
                <w:rFonts w:eastAsia="Calibri"/>
                <w:bCs/>
                <w:szCs w:val="22"/>
              </w:rPr>
            </w:pPr>
            <w:r w:rsidRPr="00811BEA">
              <w:rPr>
                <w:rFonts w:eastAsia="Calibri"/>
                <w:bCs/>
                <w:szCs w:val="22"/>
              </w:rPr>
              <w:t>Доорх хэрэглээний схем нь PDC нь нэгээс илүү гаралтын урсгалыг хэрхэн хэвлэж байгааг харуулав.  Мөн гаралтын урсгал бүр онцлог шинжтэй, синхрофазор өгөгдлийн цэгүүдийн жагсаалт, түүврийн хурд, мэдээлэл дамжуулах протокол буюу аюулгүй байдлын онцлогуудтай байж болно.</w:t>
            </w:r>
          </w:p>
          <w:p w:rsidR="00811BEA" w:rsidRPr="00811BEA" w:rsidRDefault="00811BEA" w:rsidP="00811BEA">
            <w:pPr>
              <w:tabs>
                <w:tab w:val="left" w:pos="0"/>
              </w:tabs>
              <w:ind w:left="0" w:firstLine="0"/>
              <w:rPr>
                <w:rFonts w:eastAsia="Calibri"/>
                <w:bCs/>
                <w:szCs w:val="22"/>
              </w:rPr>
            </w:pPr>
            <w:r w:rsidRPr="00811BEA">
              <w:rPr>
                <w:rFonts w:eastAsia="Calibri"/>
                <w:bCs/>
                <w:szCs w:val="22"/>
              </w:rPr>
              <w:t>Дараах хэрэглээний схем ба хэрэглээний бусад тохиолдлуудад дэд станцын фазор өгөгдлийн хуримтлуулагч (ssPDC) -ийг тодорхой функциональ нэгж байдлаар харуулна. ssPDC нь 6.4.2-т заасны дагуу шатлалын дээд түвшний PDC-ээс ялгаатай.Гэхдээ  ssPDC нь зөвхөн PDC-ийн тодорхой жишээ бөгөөд дээр дурдсан найман функцийн аль нэгийг багтаасан байж болно</w:t>
            </w:r>
          </w:p>
        </w:tc>
        <w:tc>
          <w:tcPr>
            <w:tcW w:w="4672" w:type="dxa"/>
          </w:tcPr>
          <w:p w:rsidR="00811BEA" w:rsidRPr="00811BEA" w:rsidRDefault="00811BEA" w:rsidP="00811BEA">
            <w:pPr>
              <w:tabs>
                <w:tab w:val="left" w:pos="0"/>
              </w:tabs>
              <w:ind w:left="0" w:firstLine="0"/>
              <w:rPr>
                <w:rFonts w:eastAsia="Calibri"/>
                <w:b/>
                <w:bCs/>
                <w:szCs w:val="22"/>
              </w:rPr>
            </w:pPr>
            <w:r w:rsidRPr="00811BEA">
              <w:rPr>
                <w:rFonts w:eastAsia="Calibri"/>
                <w:b/>
                <w:bCs/>
                <w:szCs w:val="22"/>
              </w:rPr>
              <w:lastRenderedPageBreak/>
              <w:t>5.9.6 Phasor Data Concentrator (PDC)</w:t>
            </w:r>
          </w:p>
          <w:p w:rsidR="00811BEA" w:rsidRPr="00811BEA" w:rsidRDefault="00811BEA" w:rsidP="00811BEA">
            <w:pPr>
              <w:tabs>
                <w:tab w:val="left" w:pos="0"/>
              </w:tabs>
              <w:ind w:left="0" w:firstLine="0"/>
              <w:rPr>
                <w:rFonts w:eastAsia="Calibri"/>
                <w:bCs/>
                <w:szCs w:val="22"/>
              </w:rPr>
            </w:pPr>
            <w:r w:rsidRPr="00811BEA">
              <w:rPr>
                <w:rFonts w:eastAsia="Calibri"/>
                <w:bCs/>
                <w:szCs w:val="22"/>
              </w:rPr>
              <w:t>The Phasor Data Concentrator (PDC) function receives or subscribes to phasor data streams from one or more PMUs and/or other PDCs. The primary purpose of the PDC is  to assemble  one or more new output data streams from  these input data streams. By combining phasor  data from many sources into one or a few merged streams, the PDC enables transport of data from many individual PMU sources using a limited number of communications paths and/or or paths of limited data capacity. A PDC can also publish a single phasor data stream for subscription by client functions described in use cases below, including situational awareness, state estimation, on-line security assessment, display, data processing, alarming, archiving,  and wide area control. With this PDC function at the input, these subscribing application functions do not require communications connections or management for a long list of  individual PMU sources.</w:t>
            </w:r>
          </w:p>
          <w:p w:rsidR="00811BEA" w:rsidRPr="00811BEA" w:rsidRDefault="00811BEA" w:rsidP="00811BEA">
            <w:pPr>
              <w:tabs>
                <w:tab w:val="left" w:pos="0"/>
              </w:tabs>
              <w:ind w:left="0" w:firstLine="0"/>
              <w:rPr>
                <w:rFonts w:eastAsia="Calibri"/>
                <w:bCs/>
                <w:szCs w:val="22"/>
              </w:rPr>
            </w:pPr>
            <w:r w:rsidRPr="00811BEA">
              <w:rPr>
                <w:rFonts w:eastAsia="Calibri"/>
                <w:bCs/>
                <w:szCs w:val="22"/>
              </w:rPr>
              <w:lastRenderedPageBreak/>
              <w:t>The functions within the PDC function that are needed to accomplish this merging are:</w:t>
            </w:r>
          </w:p>
          <w:p w:rsidR="00811BEA" w:rsidRPr="00811BEA" w:rsidRDefault="00811BEA" w:rsidP="00811BEA">
            <w:pPr>
              <w:tabs>
                <w:tab w:val="left" w:pos="0"/>
              </w:tabs>
              <w:ind w:left="0" w:firstLine="0"/>
              <w:rPr>
                <w:rFonts w:eastAsia="Calibri"/>
                <w:bCs/>
                <w:szCs w:val="22"/>
              </w:rPr>
            </w:pPr>
            <w:r w:rsidRPr="00811BEA">
              <w:rPr>
                <w:rFonts w:eastAsia="Calibri"/>
                <w:bCs/>
                <w:szCs w:val="22"/>
              </w:rPr>
              <w:t>selection of particular values from input streams;</w:t>
            </w:r>
          </w:p>
          <w:p w:rsidR="00811BEA" w:rsidRPr="00811BEA" w:rsidRDefault="00811BEA" w:rsidP="00811BEA">
            <w:pPr>
              <w:tabs>
                <w:tab w:val="left" w:pos="0"/>
              </w:tabs>
              <w:ind w:left="0" w:firstLine="0"/>
              <w:rPr>
                <w:rFonts w:eastAsia="Calibri"/>
                <w:bCs/>
                <w:szCs w:val="22"/>
              </w:rPr>
            </w:pPr>
            <w:r w:rsidRPr="00811BEA">
              <w:rPr>
                <w:rFonts w:eastAsia="Calibri"/>
                <w:bCs/>
                <w:szCs w:val="22"/>
              </w:rPr>
              <w:t>validation of input values, including data presence, test mode, and quality;</w:t>
            </w:r>
          </w:p>
          <w:p w:rsidR="00811BEA" w:rsidRPr="00811BEA" w:rsidRDefault="00811BEA" w:rsidP="00811BEA">
            <w:pPr>
              <w:tabs>
                <w:tab w:val="left" w:pos="0"/>
              </w:tabs>
              <w:ind w:left="0" w:firstLine="0"/>
              <w:rPr>
                <w:rFonts w:eastAsia="Calibri"/>
                <w:bCs/>
                <w:szCs w:val="22"/>
              </w:rPr>
            </w:pPr>
            <w:r w:rsidRPr="00811BEA">
              <w:rPr>
                <w:rFonts w:eastAsia="Calibri"/>
                <w:bCs/>
                <w:szCs w:val="22"/>
              </w:rPr>
              <w:t>aggregation of values from input streams to create one or more output streams;</w:t>
            </w:r>
          </w:p>
          <w:p w:rsidR="00811BEA" w:rsidRPr="00811BEA" w:rsidRDefault="00811BEA" w:rsidP="00811BEA">
            <w:pPr>
              <w:tabs>
                <w:tab w:val="left" w:pos="0"/>
              </w:tabs>
              <w:ind w:left="0" w:firstLine="0"/>
              <w:rPr>
                <w:rFonts w:eastAsia="Calibri"/>
                <w:bCs/>
                <w:szCs w:val="22"/>
              </w:rPr>
            </w:pPr>
            <w:r w:rsidRPr="00811BEA">
              <w:rPr>
                <w:rFonts w:eastAsia="Calibri"/>
                <w:bCs/>
                <w:szCs w:val="22"/>
              </w:rPr>
              <w:t>decimation or interpolation of input value streams to allow aggregation of data  with  different sampling rates;</w:t>
            </w:r>
          </w:p>
          <w:p w:rsidR="00811BEA" w:rsidRPr="00811BEA" w:rsidRDefault="00811BEA" w:rsidP="00811BEA">
            <w:pPr>
              <w:tabs>
                <w:tab w:val="left" w:pos="0"/>
              </w:tabs>
              <w:ind w:left="0" w:firstLine="0"/>
              <w:rPr>
                <w:rFonts w:eastAsia="Calibri"/>
                <w:bCs/>
                <w:szCs w:val="22"/>
              </w:rPr>
            </w:pPr>
            <w:r w:rsidRPr="00811BEA">
              <w:rPr>
                <w:rFonts w:eastAsia="Calibri"/>
                <w:bCs/>
                <w:szCs w:val="22"/>
              </w:rPr>
              <w:t>time alignment of input values from different streams;</w:t>
            </w:r>
          </w:p>
          <w:p w:rsidR="00811BEA" w:rsidRPr="00811BEA" w:rsidRDefault="00811BEA" w:rsidP="00811BEA">
            <w:pPr>
              <w:tabs>
                <w:tab w:val="left" w:pos="0"/>
              </w:tabs>
              <w:ind w:left="0" w:firstLine="0"/>
              <w:rPr>
                <w:rFonts w:eastAsia="Calibri"/>
                <w:bCs/>
                <w:szCs w:val="22"/>
              </w:rPr>
            </w:pPr>
            <w:r w:rsidRPr="00811BEA">
              <w:rPr>
                <w:rFonts w:eastAsia="Calibri"/>
                <w:bCs/>
                <w:szCs w:val="22"/>
              </w:rPr>
              <w:t>protocol conversion in either direction between  the IEC 61850-90-5 protocol as  specified  in other  clauses  of  this   document,  and  the  communications  protocol  formats   of  IEEE C37.118-2005, C37.118.2-2011, IEEE 1344, or other specified transport protocols;</w:t>
            </w:r>
          </w:p>
          <w:p w:rsidR="00811BEA" w:rsidRPr="00811BEA" w:rsidRDefault="00811BEA" w:rsidP="00811BEA">
            <w:pPr>
              <w:tabs>
                <w:tab w:val="left" w:pos="0"/>
              </w:tabs>
              <w:ind w:left="0" w:firstLine="0"/>
              <w:rPr>
                <w:rFonts w:eastAsia="Calibri"/>
                <w:bCs/>
                <w:szCs w:val="22"/>
              </w:rPr>
            </w:pPr>
            <w:r w:rsidRPr="00811BEA">
              <w:rPr>
                <w:rFonts w:eastAsia="Calibri"/>
                <w:bCs/>
                <w:szCs w:val="22"/>
              </w:rPr>
              <w:t>security implementation – authentication and/or encryption for input or output streams;</w:t>
            </w:r>
          </w:p>
          <w:p w:rsidR="00811BEA" w:rsidRPr="00811BEA" w:rsidRDefault="00811BEA" w:rsidP="00811BEA">
            <w:pPr>
              <w:tabs>
                <w:tab w:val="left" w:pos="0"/>
              </w:tabs>
              <w:ind w:left="0" w:firstLine="0"/>
              <w:rPr>
                <w:rFonts w:eastAsia="Calibri"/>
                <w:bCs/>
                <w:szCs w:val="22"/>
              </w:rPr>
            </w:pPr>
            <w:r w:rsidRPr="00811BEA">
              <w:rPr>
                <w:rFonts w:eastAsia="Calibri"/>
                <w:bCs/>
                <w:szCs w:val="22"/>
              </w:rPr>
              <w:t>calculation or scaling of derived values from input values, for insertion in an output stream (e.g. insert phase shift, or compute phase angle between input locations).</w:t>
            </w:r>
          </w:p>
          <w:p w:rsidR="00811BEA" w:rsidRPr="00811BEA" w:rsidRDefault="00811BEA" w:rsidP="00811BEA">
            <w:pPr>
              <w:tabs>
                <w:tab w:val="left" w:pos="0"/>
              </w:tabs>
              <w:ind w:left="0" w:firstLine="0"/>
              <w:rPr>
                <w:rFonts w:eastAsia="Calibri"/>
                <w:bCs/>
                <w:szCs w:val="22"/>
              </w:rPr>
            </w:pPr>
            <w:r w:rsidRPr="00811BEA">
              <w:rPr>
                <w:rFonts w:eastAsia="Calibri"/>
                <w:bCs/>
                <w:szCs w:val="22"/>
              </w:rPr>
              <w:t>Functions a) to c) in this list are essential for any PDC. Functions d) and e) are core functions within the PDC function, but may not be needed in every application, and thus may be configured as ‘off’ in a particular case. Functions f) to h)  are  functions that need not  be  present in every PDC application; if included, these functions may also be configured as ‘off’.</w:t>
            </w:r>
          </w:p>
          <w:p w:rsidR="00811BEA" w:rsidRPr="00811BEA" w:rsidRDefault="00811BEA" w:rsidP="00811BEA">
            <w:pPr>
              <w:tabs>
                <w:tab w:val="left" w:pos="0"/>
              </w:tabs>
              <w:ind w:left="0" w:firstLine="0"/>
              <w:rPr>
                <w:rFonts w:eastAsia="Calibri"/>
                <w:bCs/>
                <w:szCs w:val="22"/>
              </w:rPr>
            </w:pPr>
            <w:r w:rsidRPr="00811BEA">
              <w:rPr>
                <w:rFonts w:eastAsia="Calibri"/>
                <w:bCs/>
                <w:szCs w:val="22"/>
              </w:rPr>
              <w:t>While the PDC function list is typically provided in one physical equipment unit, some of the functions it performs might also be carried out in other units elsewhere in the system configuration – especially functions f) to h).</w:t>
            </w:r>
          </w:p>
          <w:p w:rsidR="00811BEA" w:rsidRPr="00811BEA" w:rsidRDefault="00811BEA" w:rsidP="00811BEA">
            <w:pPr>
              <w:tabs>
                <w:tab w:val="left" w:pos="0"/>
              </w:tabs>
              <w:ind w:left="0" w:firstLine="0"/>
              <w:rPr>
                <w:rFonts w:eastAsia="Calibri"/>
                <w:bCs/>
                <w:szCs w:val="22"/>
              </w:rPr>
            </w:pPr>
            <w:r w:rsidRPr="00811BEA">
              <w:rPr>
                <w:rFonts w:eastAsia="Calibri"/>
                <w:bCs/>
                <w:szCs w:val="22"/>
              </w:rPr>
              <w:lastRenderedPageBreak/>
              <w:t>By performing communications protocol conversions per f), the PDC enables the integration of legacy data  sources  or  user  applications  with   communications  systems  based   on IEC/TR 61850-90-5 or on other protocols, such as IEEE C37.118-2005. This conversion function thus supports migration towards exclusive use of IEC/TR 61850-90-5.</w:t>
            </w:r>
          </w:p>
          <w:p w:rsidR="00811BEA" w:rsidRPr="00811BEA" w:rsidRDefault="00811BEA" w:rsidP="00811BEA">
            <w:pPr>
              <w:tabs>
                <w:tab w:val="left" w:pos="0"/>
              </w:tabs>
              <w:ind w:left="0" w:firstLine="0"/>
              <w:rPr>
                <w:rFonts w:eastAsia="Calibri"/>
                <w:bCs/>
                <w:szCs w:val="22"/>
              </w:rPr>
            </w:pPr>
            <w:r w:rsidRPr="00811BEA">
              <w:rPr>
                <w:rFonts w:eastAsia="Calibri"/>
                <w:bCs/>
                <w:szCs w:val="22"/>
              </w:rPr>
              <w:t>The use case diagram below shows how a PDC may publish more than one output stream. Furthermore, each output stream may have unique identification, synchrophasor data points listing, sampling rate, communications protocol, or security features configuration.</w:t>
            </w:r>
          </w:p>
          <w:p w:rsidR="00811BEA" w:rsidRPr="00811BEA" w:rsidRDefault="00811BEA" w:rsidP="00811BEA">
            <w:pPr>
              <w:tabs>
                <w:tab w:val="left" w:pos="0"/>
              </w:tabs>
              <w:ind w:left="0" w:firstLine="0"/>
              <w:rPr>
                <w:rFonts w:eastAsia="Calibri"/>
                <w:bCs/>
                <w:szCs w:val="22"/>
              </w:rPr>
            </w:pPr>
            <w:r w:rsidRPr="00811BEA">
              <w:rPr>
                <w:rFonts w:eastAsia="Calibri"/>
                <w:bCs/>
                <w:szCs w:val="22"/>
              </w:rPr>
              <w:t xml:space="preserve">In the use case diagram and following description, as well as other use cases, show a Substation Phasor Data Concentrator (ssPDC) as a distinct functional entity. ssPDC is described in </w:t>
            </w:r>
            <w:hyperlink w:anchor="_bookmark16" w:history="1">
              <w:r w:rsidRPr="00811BEA">
                <w:rPr>
                  <w:rFonts w:eastAsia="Calibri"/>
                  <w:bCs/>
                  <w:szCs w:val="22"/>
                </w:rPr>
                <w:t>6.4.2,</w:t>
              </w:r>
            </w:hyperlink>
            <w:r w:rsidRPr="00811BEA">
              <w:rPr>
                <w:rFonts w:eastAsia="Calibri"/>
                <w:bCs/>
                <w:szCs w:val="22"/>
              </w:rPr>
              <w:t xml:space="preserve"> as opposed to a PDC at a higher level of the hierarchy as described in</w:t>
            </w:r>
          </w:p>
          <w:p w:rsidR="00811BEA" w:rsidRPr="00811BEA" w:rsidRDefault="00D80958" w:rsidP="00811BEA">
            <w:pPr>
              <w:tabs>
                <w:tab w:val="left" w:pos="0"/>
              </w:tabs>
              <w:ind w:left="0" w:firstLine="0"/>
              <w:rPr>
                <w:rFonts w:eastAsia="Calibri"/>
                <w:bCs/>
                <w:szCs w:val="22"/>
              </w:rPr>
            </w:pPr>
            <w:hyperlink w:anchor="_bookmark18" w:history="1">
              <w:r w:rsidR="00811BEA" w:rsidRPr="00811BEA">
                <w:rPr>
                  <w:rFonts w:eastAsia="Calibri"/>
                  <w:bCs/>
                  <w:szCs w:val="22"/>
                </w:rPr>
                <w:t xml:space="preserve">6.4.3. </w:t>
              </w:r>
            </w:hyperlink>
            <w:r w:rsidR="00811BEA" w:rsidRPr="00811BEA">
              <w:rPr>
                <w:rFonts w:eastAsia="Calibri"/>
                <w:bCs/>
                <w:szCs w:val="22"/>
              </w:rPr>
              <w:t>However, the ssPDC is just a specific instance of a PDC and may have any of the eight functions listed above included and enabled.</w:t>
            </w:r>
          </w:p>
          <w:p w:rsidR="00811BEA" w:rsidRPr="00811BEA" w:rsidRDefault="00811BEA" w:rsidP="00811BEA">
            <w:pPr>
              <w:tabs>
                <w:tab w:val="left" w:pos="0"/>
              </w:tabs>
              <w:ind w:left="0" w:firstLine="0"/>
              <w:rPr>
                <w:rFonts w:eastAsia="Calibri"/>
                <w:bCs/>
                <w:szCs w:val="22"/>
              </w:rPr>
            </w:pPr>
            <w:r w:rsidRPr="00811BEA">
              <w:rPr>
                <w:rFonts w:eastAsia="Calibri"/>
                <w:bCs/>
                <w:szCs w:val="22"/>
              </w:rPr>
              <w:t xml:space="preserve"> The general information flow is shorn </w:t>
            </w:r>
          </w:p>
          <w:p w:rsidR="00811BEA" w:rsidRPr="00811BEA" w:rsidRDefault="00811BEA" w:rsidP="00811BEA">
            <w:pPr>
              <w:tabs>
                <w:tab w:val="left" w:pos="0"/>
              </w:tabs>
              <w:ind w:left="0" w:firstLine="0"/>
              <w:rPr>
                <w:rFonts w:eastAsia="Calibri"/>
                <w:bCs/>
                <w:szCs w:val="22"/>
              </w:rPr>
            </w:pPr>
          </w:p>
          <w:p w:rsidR="00811BEA" w:rsidRPr="00811BEA" w:rsidRDefault="00811BEA" w:rsidP="00811BEA">
            <w:pPr>
              <w:tabs>
                <w:tab w:val="left" w:pos="0"/>
              </w:tabs>
              <w:ind w:left="0" w:firstLine="0"/>
              <w:rPr>
                <w:rFonts w:eastAsia="Calibri"/>
                <w:bCs/>
                <w:szCs w:val="22"/>
              </w:rPr>
            </w:pPr>
          </w:p>
        </w:tc>
      </w:tr>
    </w:tbl>
    <w:p w:rsidR="00811BEA" w:rsidRDefault="00811BEA" w:rsidP="00A71B0E">
      <w:pPr>
        <w:ind w:left="0" w:firstLine="0"/>
        <w:jc w:val="left"/>
      </w:pPr>
    </w:p>
    <w:p w:rsidR="00811BEA" w:rsidRDefault="00811BEA" w:rsidP="00A71B0E">
      <w:pPr>
        <w:ind w:left="0" w:firstLine="0"/>
        <w:jc w:val="left"/>
      </w:pPr>
      <w:r>
        <w:rPr>
          <w:noProof/>
          <w:lang w:val="en-US"/>
        </w:rPr>
        <w:lastRenderedPageBreak/>
        <w:drawing>
          <wp:inline distT="0" distB="0" distL="0" distR="0" wp14:anchorId="7A275EFF" wp14:editId="34CAB683">
            <wp:extent cx="5267325" cy="4400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67325" cy="4400550"/>
                    </a:xfrm>
                    <a:prstGeom prst="rect">
                      <a:avLst/>
                    </a:prstGeom>
                  </pic:spPr>
                </pic:pic>
              </a:graphicData>
            </a:graphic>
          </wp:inline>
        </w:drawing>
      </w:r>
    </w:p>
    <w:p w:rsidR="00811BEA" w:rsidRDefault="00811BEA" w:rsidP="00811BEA">
      <w:pPr>
        <w:ind w:left="0" w:firstLine="0"/>
        <w:jc w:val="center"/>
        <w:rPr>
          <w:b/>
        </w:rPr>
      </w:pPr>
      <w:r w:rsidRPr="00811BEA">
        <w:rPr>
          <w:b/>
        </w:rPr>
        <w:t>11</w:t>
      </w:r>
      <w:r>
        <w:rPr>
          <w:b/>
        </w:rPr>
        <w:t>-р зураг</w:t>
      </w:r>
      <w:r w:rsidRPr="00811BEA">
        <w:rPr>
          <w:b/>
        </w:rPr>
        <w:t xml:space="preserve"> – Фазор өгөгдлийн хуримтлуулагчид ашиглах схем</w:t>
      </w:r>
    </w:p>
    <w:p w:rsidR="00811BEA" w:rsidRDefault="00811BEA" w:rsidP="00811BEA">
      <w:pPr>
        <w:ind w:left="0" w:firstLine="0"/>
        <w:jc w:val="center"/>
        <w:rPr>
          <w:b/>
        </w:rPr>
      </w:pPr>
    </w:p>
    <w:p w:rsidR="00811BEA" w:rsidRDefault="00811BEA" w:rsidP="00811BEA">
      <w:pPr>
        <w:ind w:left="0" w:firstLine="0"/>
        <w:jc w:val="center"/>
        <w:rPr>
          <w:b/>
        </w:rPr>
      </w:pPr>
      <w:r>
        <w:rPr>
          <w:noProof/>
          <w:lang w:val="en-US"/>
        </w:rPr>
        <w:lastRenderedPageBreak/>
        <w:drawing>
          <wp:inline distT="0" distB="0" distL="0" distR="0" wp14:anchorId="39439FF2" wp14:editId="3E796DB1">
            <wp:extent cx="4895850" cy="4295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95850" cy="4295775"/>
                    </a:xfrm>
                    <a:prstGeom prst="rect">
                      <a:avLst/>
                    </a:prstGeom>
                  </pic:spPr>
                </pic:pic>
              </a:graphicData>
            </a:graphic>
          </wp:inline>
        </w:drawing>
      </w:r>
    </w:p>
    <w:p w:rsidR="00811BEA" w:rsidRDefault="00811BEA" w:rsidP="00811BEA">
      <w:pPr>
        <w:ind w:left="0" w:firstLine="0"/>
        <w:jc w:val="center"/>
        <w:rPr>
          <w:b/>
        </w:rPr>
      </w:pPr>
      <w:r w:rsidRPr="00811BEA">
        <w:rPr>
          <w:b/>
        </w:rPr>
        <w:t>Figure 11 – Use case diagram for phasor data concentrator</w:t>
      </w:r>
    </w:p>
    <w:p w:rsidR="00811BEA" w:rsidRDefault="00811BEA" w:rsidP="00811BEA">
      <w:pPr>
        <w:ind w:left="0" w:firstLine="0"/>
        <w:jc w:val="center"/>
        <w:rPr>
          <w:b/>
        </w:rPr>
      </w:pPr>
    </w:p>
    <w:p w:rsidR="00811BEA" w:rsidRPr="001C4C31" w:rsidRDefault="00811BEA" w:rsidP="00811BEA">
      <w:pPr>
        <w:tabs>
          <w:tab w:val="left" w:pos="0"/>
        </w:tabs>
        <w:spacing w:before="93"/>
        <w:ind w:left="0" w:firstLine="0"/>
        <w:rPr>
          <w:b/>
        </w:rPr>
      </w:pPr>
      <w:r w:rsidRPr="00EF2D2B">
        <w:rPr>
          <w:b/>
        </w:rPr>
        <w:t>Үүнд:</w:t>
      </w:r>
    </w:p>
    <w:tbl>
      <w:tblPr>
        <w:tblStyle w:val="TableGrid"/>
        <w:tblW w:w="0" w:type="auto"/>
        <w:tblLook w:val="04A0" w:firstRow="1" w:lastRow="0" w:firstColumn="1" w:lastColumn="0" w:noHBand="0" w:noVBand="1"/>
      </w:tblPr>
      <w:tblGrid>
        <w:gridCol w:w="3096"/>
        <w:gridCol w:w="6248"/>
      </w:tblGrid>
      <w:tr w:rsidR="00811BEA" w:rsidTr="00D54D3B">
        <w:tc>
          <w:tcPr>
            <w:tcW w:w="3096" w:type="dxa"/>
          </w:tcPr>
          <w:p w:rsidR="00811BEA" w:rsidRPr="00EF2D2B" w:rsidRDefault="00811BEA" w:rsidP="00D54D3B">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6248" w:type="dxa"/>
          </w:tcPr>
          <w:p w:rsidR="00811BEA" w:rsidRPr="00EF2D2B" w:rsidRDefault="00811BEA" w:rsidP="00D54D3B">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811BEA" w:rsidTr="00D54D3B">
        <w:tc>
          <w:tcPr>
            <w:tcW w:w="3096"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PMU</w:t>
            </w:r>
          </w:p>
        </w:tc>
        <w:tc>
          <w:tcPr>
            <w:tcW w:w="6248"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Синхрофазорын утга, давтамж, давтамжийн өөрчлөлтийн хурд зэргийг тооцоолж, гаралтын өгөгдлийн мессежний давтагдсан урсгалыгIEC/TR 61850-90-5 форматаар, IEEE C37.118.2 формат эсвэл бусад мессеж багцын форматаар холбогдох хэмжилт ба цэгүүдийн төлөвийг хавсаргана.</w:t>
            </w:r>
          </w:p>
        </w:tc>
      </w:tr>
      <w:tr w:rsidR="00811BEA" w:rsidTr="00D54D3B">
        <w:tc>
          <w:tcPr>
            <w:tcW w:w="3096"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ssPDC</w:t>
            </w:r>
          </w:p>
        </w:tc>
        <w:tc>
          <w:tcPr>
            <w:tcW w:w="6248"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Дэд станцын фазор өгөгдлийн хуримтлуулагч–дэд станц дахь олон PMU-ийн өгөгдлийг сонгон, баталгаажуулдаг, агрегат хийх, шаардлагагүй бол устгах, интерполяци, хугацаагаар эрэмбэлэх.</w:t>
            </w:r>
          </w:p>
        </w:tc>
      </w:tr>
      <w:tr w:rsidR="00811BEA" w:rsidTr="00D54D3B">
        <w:tc>
          <w:tcPr>
            <w:tcW w:w="3096"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PDC</w:t>
            </w:r>
          </w:p>
        </w:tc>
        <w:tc>
          <w:tcPr>
            <w:tcW w:w="6248"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Фазор өгөгдлийн хуримтлуулагч</w:t>
            </w:r>
            <w:r w:rsidRPr="00EF2D2B">
              <w:rPr>
                <w:sz w:val="20"/>
                <w:szCs w:val="20"/>
                <w:lang w:val="mn-MN"/>
              </w:rPr>
              <w:t xml:space="preserve">–олон тооны PMU эсвэл PDC-ээс өгөгдөл сонгодог, баталгаажуулдаг, </w:t>
            </w:r>
            <w:r w:rsidRPr="00811BEA">
              <w:rPr>
                <w:sz w:val="20"/>
                <w:szCs w:val="20"/>
                <w:lang w:val="mn-MN"/>
              </w:rPr>
              <w:t>агрегат хийдэг. мэдээлэл дамжуулах холболтууд шаардлагатай бол өгөгдлийг IEC / TR 61850-90-5 руу хөрвүүлэх, өгөгдөл дамжуулах аюулгүй байдлыг хангах, гаргаж авсан өгөгдлийн утгыг масштаблах буюу тооцоолох.</w:t>
            </w:r>
          </w:p>
        </w:tc>
      </w:tr>
      <w:tr w:rsidR="00811BEA" w:rsidTr="00D54D3B">
        <w:tc>
          <w:tcPr>
            <w:tcW w:w="3096" w:type="dxa"/>
          </w:tcPr>
          <w:p w:rsidR="00811BEA" w:rsidRPr="00EF2D2B" w:rsidRDefault="00811BEA" w:rsidP="00811BEA">
            <w:pPr>
              <w:pStyle w:val="TableParagraph"/>
              <w:tabs>
                <w:tab w:val="left" w:pos="0"/>
              </w:tabs>
              <w:spacing w:before="58" w:line="276" w:lineRule="auto"/>
              <w:ind w:right="305"/>
              <w:rPr>
                <w:sz w:val="20"/>
                <w:szCs w:val="20"/>
                <w:lang w:val="mn-MN"/>
              </w:rPr>
            </w:pPr>
            <w:r w:rsidRPr="00EF2D2B">
              <w:rPr>
                <w:sz w:val="20"/>
                <w:szCs w:val="20"/>
                <w:lang w:val="mn-MN"/>
              </w:rPr>
              <w:t>Хэрэглэгчийн аппликейшин</w:t>
            </w:r>
          </w:p>
        </w:tc>
        <w:tc>
          <w:tcPr>
            <w:tcW w:w="6248" w:type="dxa"/>
          </w:tcPr>
          <w:p w:rsidR="00811BEA" w:rsidRPr="00EF2D2B" w:rsidRDefault="00811BEA" w:rsidP="00811BEA">
            <w:pPr>
              <w:pStyle w:val="TableParagraph"/>
              <w:tabs>
                <w:tab w:val="left" w:pos="0"/>
              </w:tabs>
              <w:spacing w:before="58" w:line="276" w:lineRule="auto"/>
              <w:ind w:right="305"/>
              <w:rPr>
                <w:sz w:val="20"/>
                <w:szCs w:val="20"/>
                <w:lang w:val="mn-MN"/>
              </w:rPr>
            </w:pPr>
            <w:r w:rsidRPr="00811BEA">
              <w:rPr>
                <w:sz w:val="20"/>
                <w:szCs w:val="20"/>
                <w:lang w:val="mn-MN"/>
              </w:rPr>
              <w:t>Дотоодын PDC-ээс цуглуулсан мэдээллийг хүлээн авах.  Доорх хэрэглээний нөхцөлүүдэд жагсаасан янз бүрийн клиент функцийг гүйцэтгэнэ.</w:t>
            </w:r>
          </w:p>
        </w:tc>
      </w:tr>
    </w:tbl>
    <w:p w:rsidR="00811BEA" w:rsidRPr="001C4C31" w:rsidRDefault="00811BEA" w:rsidP="00811BEA">
      <w:pPr>
        <w:tabs>
          <w:tab w:val="left" w:pos="0"/>
        </w:tabs>
        <w:spacing w:before="93"/>
        <w:ind w:left="0" w:firstLine="0"/>
        <w:rPr>
          <w:b/>
        </w:rPr>
      </w:pPr>
      <w:r>
        <w:rPr>
          <w:b/>
        </w:rPr>
        <w:t>Actors:</w:t>
      </w:r>
    </w:p>
    <w:tbl>
      <w:tblPr>
        <w:tblStyle w:val="TableGrid"/>
        <w:tblW w:w="0" w:type="auto"/>
        <w:tblLook w:val="04A0" w:firstRow="1" w:lastRow="0" w:firstColumn="1" w:lastColumn="0" w:noHBand="0" w:noVBand="1"/>
      </w:tblPr>
      <w:tblGrid>
        <w:gridCol w:w="3263"/>
        <w:gridCol w:w="6081"/>
      </w:tblGrid>
      <w:tr w:rsidR="00811BEA" w:rsidTr="00D54D3B">
        <w:tc>
          <w:tcPr>
            <w:tcW w:w="3263" w:type="dxa"/>
          </w:tcPr>
          <w:p w:rsidR="00811BEA" w:rsidRPr="00EF2D2B" w:rsidRDefault="00811BEA" w:rsidP="00D54D3B">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6081" w:type="dxa"/>
          </w:tcPr>
          <w:p w:rsidR="00811BEA" w:rsidRPr="00EF2D2B" w:rsidRDefault="00811BEA" w:rsidP="00D54D3B">
            <w:pPr>
              <w:pStyle w:val="TableParagraph"/>
              <w:tabs>
                <w:tab w:val="left" w:pos="0"/>
              </w:tabs>
              <w:spacing w:before="53" w:line="276" w:lineRule="auto"/>
              <w:ind w:right="2282"/>
              <w:rPr>
                <w:b/>
                <w:sz w:val="20"/>
                <w:szCs w:val="20"/>
                <w:lang w:val="mn-MN"/>
              </w:rPr>
            </w:pPr>
            <w:r w:rsidRPr="00EF2D2B">
              <w:rPr>
                <w:b/>
                <w:sz w:val="20"/>
                <w:szCs w:val="20"/>
                <w:lang w:val="mn-MN"/>
              </w:rPr>
              <w:t>Role description</w:t>
            </w:r>
          </w:p>
        </w:tc>
      </w:tr>
      <w:tr w:rsidR="00811BEA" w:rsidTr="00D54D3B">
        <w:tc>
          <w:tcPr>
            <w:tcW w:w="326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lastRenderedPageBreak/>
              <w:t>PMU</w:t>
            </w:r>
          </w:p>
        </w:tc>
        <w:tc>
          <w:tcPr>
            <w:tcW w:w="6081"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 xml:space="preserve">Computes synchrophasor values, frequency, rate of change of frequency, and attaches related measurement and status points in </w:t>
            </w:r>
            <w:r w:rsidRPr="00EF2D2B">
              <w:rPr>
                <w:sz w:val="20"/>
                <w:szCs w:val="20"/>
                <w:lang w:val="mn-MN"/>
              </w:rPr>
              <w:t xml:space="preserve">a </w:t>
            </w:r>
            <w:r w:rsidRPr="00811BEA">
              <w:rPr>
                <w:sz w:val="20"/>
                <w:szCs w:val="20"/>
                <w:lang w:val="mn-MN"/>
              </w:rPr>
              <w:t>repetitive stream of output data messages in IEC/TR 61850-90-5 format as specified  below,  IEEE  C37.118.2 format, or other message packet format.</w:t>
            </w:r>
          </w:p>
        </w:tc>
      </w:tr>
      <w:tr w:rsidR="00811BEA" w:rsidTr="00D54D3B">
        <w:tc>
          <w:tcPr>
            <w:tcW w:w="326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ssPDC</w:t>
            </w:r>
          </w:p>
        </w:tc>
        <w:tc>
          <w:tcPr>
            <w:tcW w:w="6081"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 xml:space="preserve">Substation Phasor Data Concentrator </w:t>
            </w:r>
            <w:r w:rsidRPr="00EF2D2B">
              <w:rPr>
                <w:sz w:val="20"/>
                <w:szCs w:val="20"/>
                <w:lang w:val="mn-MN"/>
              </w:rPr>
              <w:t xml:space="preserve">- </w:t>
            </w:r>
            <w:r w:rsidRPr="00811BEA">
              <w:rPr>
                <w:sz w:val="20"/>
                <w:szCs w:val="20"/>
                <w:lang w:val="mn-MN"/>
              </w:rPr>
              <w:t>selects, validates, aggregates, and optionally decimates, interpolates, or time aligns data from multiple PMUs in the substation. Optionally converts data to and from  IEC/TR 61850-90-5 as  required by communications connections, secures data transfer, and calculates or scales derived data values. Special instance of PDC</w:t>
            </w:r>
          </w:p>
        </w:tc>
      </w:tr>
      <w:tr w:rsidR="00811BEA" w:rsidTr="00D54D3B">
        <w:tc>
          <w:tcPr>
            <w:tcW w:w="326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PDC</w:t>
            </w:r>
          </w:p>
        </w:tc>
        <w:tc>
          <w:tcPr>
            <w:tcW w:w="6081"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 xml:space="preserve">Phasor Data Concentrator </w:t>
            </w:r>
            <w:r w:rsidRPr="00EF2D2B">
              <w:rPr>
                <w:sz w:val="20"/>
                <w:szCs w:val="20"/>
                <w:lang w:val="mn-MN"/>
              </w:rPr>
              <w:t xml:space="preserve">- </w:t>
            </w:r>
            <w:r w:rsidRPr="00811BEA">
              <w:rPr>
                <w:sz w:val="20"/>
                <w:szCs w:val="20"/>
                <w:lang w:val="mn-MN"/>
              </w:rPr>
              <w:t>selects, validates, aggregates, and optionally decimates, interpolates, or time aligns data from multiple PMUs or PDCs. Optionally converts data to and from IEC/TR 61850-90-5 as required by communications connections, secures data transfer, and calculates or scales derived data values</w:t>
            </w:r>
          </w:p>
        </w:tc>
      </w:tr>
      <w:tr w:rsidR="00811BEA" w:rsidTr="00D54D3B">
        <w:tc>
          <w:tcPr>
            <w:tcW w:w="326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User applications</w:t>
            </w:r>
          </w:p>
        </w:tc>
        <w:tc>
          <w:tcPr>
            <w:tcW w:w="6081"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 xml:space="preserve">Receive collected data from the local PDC </w:t>
            </w:r>
            <w:r w:rsidRPr="00EF2D2B">
              <w:rPr>
                <w:sz w:val="20"/>
                <w:szCs w:val="20"/>
                <w:lang w:val="mn-MN"/>
              </w:rPr>
              <w:t xml:space="preserve">&amp; </w:t>
            </w:r>
            <w:r w:rsidRPr="00811BEA">
              <w:rPr>
                <w:sz w:val="20"/>
                <w:szCs w:val="20"/>
                <w:lang w:val="mn-MN"/>
              </w:rPr>
              <w:t>perform  various  client  functions listed in use cases below</w:t>
            </w:r>
          </w:p>
        </w:tc>
      </w:tr>
    </w:tbl>
    <w:p w:rsidR="00811BEA" w:rsidRDefault="00811BEA" w:rsidP="00811BEA">
      <w:pPr>
        <w:ind w:left="0" w:firstLine="0"/>
        <w:rPr>
          <w:b/>
          <w:lang w:val="en-US"/>
        </w:rPr>
      </w:pPr>
    </w:p>
    <w:p w:rsidR="00811BEA" w:rsidRDefault="00811BEA" w:rsidP="00811BEA">
      <w:pPr>
        <w:tabs>
          <w:tab w:val="left" w:pos="0"/>
        </w:tabs>
        <w:spacing w:before="93"/>
        <w:ind w:left="0" w:firstLine="0"/>
        <w:rPr>
          <w:b/>
        </w:rPr>
      </w:pPr>
      <w:r>
        <w:rPr>
          <w:b/>
        </w:rPr>
        <w:t>Ажиллагаа:</w:t>
      </w:r>
    </w:p>
    <w:tbl>
      <w:tblPr>
        <w:tblStyle w:val="TableGrid"/>
        <w:tblW w:w="0" w:type="auto"/>
        <w:tblLook w:val="04A0" w:firstRow="1" w:lastRow="0" w:firstColumn="1" w:lastColumn="0" w:noHBand="0" w:noVBand="1"/>
      </w:tblPr>
      <w:tblGrid>
        <w:gridCol w:w="3539"/>
        <w:gridCol w:w="5805"/>
      </w:tblGrid>
      <w:tr w:rsidR="00811BEA" w:rsidRPr="00EF2D2B" w:rsidTr="00D54D3B">
        <w:tc>
          <w:tcPr>
            <w:tcW w:w="3539" w:type="dxa"/>
          </w:tcPr>
          <w:p w:rsidR="00811BEA" w:rsidRPr="00EF2D2B" w:rsidRDefault="00811BEA" w:rsidP="00D54D3B">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5805" w:type="dxa"/>
          </w:tcPr>
          <w:p w:rsidR="00811BEA" w:rsidRPr="00EF2D2B" w:rsidRDefault="00811BEA" w:rsidP="00D54D3B">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Өгөгдлийн түүвэр ба фазор тооцоолол</w:t>
            </w:r>
          </w:p>
        </w:tc>
        <w:tc>
          <w:tcPr>
            <w:tcW w:w="5805"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 xml:space="preserve">PMU нь оролтын утгуудаас түүвэрлэлт хийх, синхрофазорын утга, давтамж ба давтамжийн өөрчлөлтийн хурдыг тооцоолно.PMU нь </w:t>
            </w:r>
            <w:r w:rsidRPr="00EF2D2B">
              <w:rPr>
                <w:sz w:val="20"/>
                <w:szCs w:val="20"/>
                <w:lang w:val="mn-MN"/>
              </w:rPr>
              <w:t>хэмжилт ба цэгүүдийн төлөвийг хавсаргана</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Өгөгдөл үүсгэх ба илгээх</w:t>
            </w:r>
          </w:p>
        </w:tc>
        <w:tc>
          <w:tcPr>
            <w:tcW w:w="5805"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PMU нь гаралтын өгөгдлийн мессежний давтагдсан урсгалыгIEC/TR 61850-90-5 форматаар, IEEE C37.118.2 форматаар эсвэл бусад мессежний багц форматаар заасны дагуу илгээдэг.</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Өгөгдөл хүлээн авах ба илгээх</w:t>
            </w:r>
          </w:p>
        </w:tc>
        <w:tc>
          <w:tcPr>
            <w:tcW w:w="5805" w:type="dxa"/>
          </w:tcPr>
          <w:p w:rsidR="00811BEA" w:rsidRPr="00EF2D2B" w:rsidRDefault="00811BEA" w:rsidP="00811BEA">
            <w:pPr>
              <w:pStyle w:val="TableParagraph"/>
              <w:tabs>
                <w:tab w:val="left" w:pos="0"/>
              </w:tabs>
              <w:spacing w:before="58" w:line="276" w:lineRule="auto"/>
              <w:ind w:right="305" w:hanging="1"/>
              <w:jc w:val="both"/>
              <w:rPr>
                <w:sz w:val="20"/>
                <w:szCs w:val="20"/>
                <w:lang w:val="mn-MN"/>
              </w:rPr>
            </w:pPr>
            <w:r w:rsidRPr="00811BEA">
              <w:rPr>
                <w:sz w:val="20"/>
                <w:szCs w:val="20"/>
                <w:lang w:val="mn-MN"/>
              </w:rPr>
              <w:t xml:space="preserve">SSPDC нь дэд станцаас өгөгдөл хүлээн авч, бусад PMU-ийн өгөгдөлтэй нэгтгэж, нэгтгэгдсэн гаралтын урсгалыг дараагийн очих PDC руу дамжуулдаг. </w:t>
            </w:r>
          </w:p>
          <w:p w:rsidR="00811BEA" w:rsidRPr="00EF2D2B" w:rsidRDefault="00811BEA" w:rsidP="00811BEA">
            <w:pPr>
              <w:pStyle w:val="TableParagraph"/>
              <w:tabs>
                <w:tab w:val="left" w:pos="0"/>
              </w:tabs>
              <w:spacing w:before="58" w:line="276" w:lineRule="auto"/>
              <w:ind w:right="305" w:hanging="1"/>
              <w:jc w:val="both"/>
              <w:rPr>
                <w:sz w:val="20"/>
                <w:szCs w:val="20"/>
                <w:lang w:val="mn-MN"/>
              </w:rPr>
            </w:pPr>
            <w:r w:rsidRPr="00EF2D2B">
              <w:rPr>
                <w:sz w:val="20"/>
                <w:szCs w:val="20"/>
                <w:lang w:val="mn-MN"/>
              </w:rPr>
              <w:t xml:space="preserve">PDC нь PMU, ssPDCs эсвэл бусад PDC-ээс өгөгдөл хүлээн авдаг. Энэ нь олон PMU эсвэл PDC-ээс </w:t>
            </w:r>
            <w:r w:rsidRPr="00811BEA">
              <w:rPr>
                <w:sz w:val="20"/>
                <w:szCs w:val="20"/>
                <w:lang w:val="mn-MN"/>
              </w:rPr>
              <w:t>өгөгдлийг сонгох, баталгаажуулах, агрегат хийх, шаардлагагүй бол устгах, интерполяцлах, хугацаагаар эрэмбэлэх. мэдээлэл дамжуулах холболтууд шаардлагатай бол өгөгдлийг IEC/TR 61850-90-5 руу хөрвүүлэх, өгөгдөл дамжуулах аюулгүй байдлыг хангах, гаргаж авсан өгөгдлийн утгыг масштаблах буюу тооцоолох.</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Өгөгдөл хүлээн авах</w:t>
            </w:r>
          </w:p>
        </w:tc>
        <w:tc>
          <w:tcPr>
            <w:tcW w:w="5805"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 xml:space="preserve">PDC нь PMU, ssPDCs эсвэл бусад PDC-ээс өгөгдөл хүлээн авдаг. Энэ нь олон PMU эсвэл PDC-ээс </w:t>
            </w:r>
            <w:r w:rsidRPr="00811BEA">
              <w:rPr>
                <w:sz w:val="20"/>
                <w:szCs w:val="20"/>
                <w:lang w:val="mn-MN"/>
              </w:rPr>
              <w:t>өгөгдлийг сонгох, баталгаажуулах, агрегат хийх, шаардлагагүй бол устгах, интерполяцилах, хугацаагаар эрэмбэлэх буюу гаргаж авсан өгөгдлийн утгыг масштаблах буюу тооцоолох.</w:t>
            </w:r>
            <w:r w:rsidRPr="00EF2D2B">
              <w:rPr>
                <w:sz w:val="20"/>
                <w:szCs w:val="20"/>
                <w:lang w:val="mn-MN"/>
              </w:rPr>
              <w:t>PDC нь гаралтын урсгалыг хэрэглэгчийн аппликейшин руу илгээдэг.</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 xml:space="preserve">Өгөгдөл хүлээн өвөх – </w:t>
            </w:r>
            <w:r w:rsidRPr="00EF2D2B">
              <w:rPr>
                <w:sz w:val="20"/>
                <w:szCs w:val="20"/>
                <w:lang w:val="mn-MN"/>
              </w:rPr>
              <w:lastRenderedPageBreak/>
              <w:t>туршилтын горим</w:t>
            </w:r>
          </w:p>
        </w:tc>
        <w:tc>
          <w:tcPr>
            <w:tcW w:w="5805"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lastRenderedPageBreak/>
              <w:t xml:space="preserve">Нэг буюу хэд хэдэн оролтын өгөгдлийн урсгалууд нь </w:t>
            </w:r>
            <w:r w:rsidRPr="00731F96">
              <w:rPr>
                <w:sz w:val="20"/>
                <w:szCs w:val="20"/>
                <w:lang w:val="mn-MN"/>
              </w:rPr>
              <w:lastRenderedPageBreak/>
              <w:t>туршилтын горимыг заадаг.</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lastRenderedPageBreak/>
              <w:t>Өгөгдөл илгээх  – туршилтын горим</w:t>
            </w:r>
          </w:p>
        </w:tc>
        <w:tc>
          <w:tcPr>
            <w:tcW w:w="5805"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Нэг буюу хэд хэдэн гаралтын өгөгдлийн урсгалууд нь туршилтын горимыг заах ёстой.</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Ажиллагаанд оруулах</w:t>
            </w:r>
          </w:p>
        </w:tc>
        <w:tc>
          <w:tcPr>
            <w:tcW w:w="5805"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PDC анх удаа, эсвэл анх удаа шинэ тохиргоотойгоор асаалттай байна</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Оролтын өөрчлөлт</w:t>
            </w:r>
          </w:p>
        </w:tc>
        <w:tc>
          <w:tcPr>
            <w:tcW w:w="5805"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Оролтын урсгалын тохиргоо нь гаралтын урсгалыг дахин тохируулах шаардлагатай болж өөрчлөгддөг</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Оролтын гэмтэл</w:t>
            </w:r>
          </w:p>
        </w:tc>
        <w:tc>
          <w:tcPr>
            <w:tcW w:w="5805" w:type="dxa"/>
          </w:tcPr>
          <w:p w:rsidR="00811BEA" w:rsidRPr="00EF2D2B" w:rsidRDefault="00811BEA" w:rsidP="00811BEA">
            <w:pPr>
              <w:pStyle w:val="TableParagraph"/>
              <w:tabs>
                <w:tab w:val="left" w:pos="0"/>
              </w:tabs>
              <w:spacing w:before="58" w:line="276" w:lineRule="auto"/>
              <w:ind w:right="305" w:hanging="1"/>
              <w:jc w:val="both"/>
              <w:rPr>
                <w:sz w:val="20"/>
                <w:szCs w:val="20"/>
                <w:lang w:val="mn-MN"/>
              </w:rPr>
            </w:pPr>
            <w:r w:rsidRPr="00811BEA">
              <w:rPr>
                <w:sz w:val="20"/>
                <w:szCs w:val="20"/>
                <w:lang w:val="mn-MN"/>
              </w:rPr>
              <w:t>PDC нь нэг буюу хэд хэдэн холбогдсон эсвэл захиалсан өгөгдлийнурсгалын  хүлээж авахаа зогсоох, эсвэл оролтын урсгалын утга нь чанар муутай байх</w:t>
            </w:r>
          </w:p>
        </w:tc>
      </w:tr>
      <w:tr w:rsidR="00811BEA" w:rsidRPr="00731F96" w:rsidTr="00D54D3B">
        <w:tc>
          <w:tcPr>
            <w:tcW w:w="3539"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Идэвхгүй болгох/идэвхжүүлэх буюухориг тавих/нөхөх</w:t>
            </w:r>
          </w:p>
        </w:tc>
        <w:tc>
          <w:tcPr>
            <w:tcW w:w="5805"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PDC нь дурын хэлбэлзлийн үед унтраагаад буцаагаадасаадаг.</w:t>
            </w:r>
            <w:r w:rsidRPr="00731F96">
              <w:rPr>
                <w:sz w:val="20"/>
                <w:szCs w:val="20"/>
                <w:lang w:val="mn-MN"/>
              </w:rPr>
              <w:t>Идэвхгүй бол</w:t>
            </w:r>
            <w:r w:rsidRPr="00EF2D2B">
              <w:rPr>
                <w:sz w:val="20"/>
                <w:szCs w:val="20"/>
                <w:lang w:val="mn-MN"/>
              </w:rPr>
              <w:t>сон</w:t>
            </w:r>
            <w:r w:rsidRPr="00811BEA">
              <w:rPr>
                <w:sz w:val="20"/>
                <w:szCs w:val="20"/>
                <w:lang w:val="mn-MN"/>
              </w:rPr>
              <w:t xml:space="preserve"> PDC-ийг ижил тохируулагдсан нэгжээр нөхөх нь шугамын тасалдалтын үед тохиолдож болно.IEEE C37.118.2-т 1 минутын өөрчлөлтийн флагийн эффектийг авчүзэх.</w:t>
            </w:r>
          </w:p>
        </w:tc>
      </w:tr>
      <w:tr w:rsidR="00811BEA" w:rsidRPr="00731F96" w:rsidTr="00D54D3B">
        <w:tc>
          <w:tcPr>
            <w:tcW w:w="3539"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Өгөгдөл хүлээн авах–хэрэглэгчийн аппликейшин</w:t>
            </w:r>
          </w:p>
        </w:tc>
        <w:tc>
          <w:tcPr>
            <w:tcW w:w="5805"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Аппликейшнууд нь нөхцөл байдлын талаарх ойлголт, төлөвийн тооцоолол, онлайнаар аюулгүй байдлын үнэлгээ, дэлгэцэд харуулах, өгөгдөл боловсруулах, дохиолол өгөх, архивлах, өргөн хүрээний удирдлага,тусгай хамгаалалт буюу удирдлагын функцүүдийг хангадаг.</w:t>
            </w:r>
          </w:p>
        </w:tc>
      </w:tr>
    </w:tbl>
    <w:p w:rsidR="00811BEA" w:rsidRPr="00EF2D2B" w:rsidRDefault="00811BEA" w:rsidP="00811BEA">
      <w:pPr>
        <w:tabs>
          <w:tab w:val="left" w:pos="0"/>
        </w:tabs>
        <w:spacing w:before="93"/>
        <w:ind w:left="0" w:firstLine="0"/>
        <w:rPr>
          <w:b/>
        </w:rPr>
      </w:pPr>
      <w:r w:rsidRPr="00731F96">
        <w:rPr>
          <w:b/>
        </w:rPr>
        <w:t>Oper</w:t>
      </w:r>
      <w:r>
        <w:rPr>
          <w:b/>
        </w:rPr>
        <w:t>ations:</w:t>
      </w:r>
    </w:p>
    <w:tbl>
      <w:tblPr>
        <w:tblStyle w:val="TableGrid"/>
        <w:tblW w:w="0" w:type="auto"/>
        <w:tblLook w:val="04A0" w:firstRow="1" w:lastRow="0" w:firstColumn="1" w:lastColumn="0" w:noHBand="0" w:noVBand="1"/>
      </w:tblPr>
      <w:tblGrid>
        <w:gridCol w:w="3723"/>
        <w:gridCol w:w="5621"/>
      </w:tblGrid>
      <w:tr w:rsidR="00811BEA" w:rsidRPr="00EF2D2B" w:rsidTr="00D54D3B">
        <w:tc>
          <w:tcPr>
            <w:tcW w:w="3723" w:type="dxa"/>
          </w:tcPr>
          <w:p w:rsidR="00811BEA" w:rsidRPr="00EF2D2B" w:rsidRDefault="00811BEA" w:rsidP="00D54D3B">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621" w:type="dxa"/>
          </w:tcPr>
          <w:p w:rsidR="00811BEA" w:rsidRPr="00EF2D2B" w:rsidRDefault="00811BEA" w:rsidP="00D54D3B">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811BEA" w:rsidRPr="00EF2D2B"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Data sampling &amp; phasor estimate</w:t>
            </w:r>
          </w:p>
        </w:tc>
        <w:tc>
          <w:tcPr>
            <w:tcW w:w="5621"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PMU samples input values and computes synchrophasor values, frequency, and rate of change of frequency. PMU attaches related measurement and status points</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Data origination &amp; sending</w:t>
            </w:r>
          </w:p>
        </w:tc>
        <w:tc>
          <w:tcPr>
            <w:tcW w:w="5621"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 xml:space="preserve">PMU  sends  </w:t>
            </w:r>
            <w:r w:rsidRPr="00EF2D2B">
              <w:rPr>
                <w:sz w:val="20"/>
                <w:szCs w:val="20"/>
                <w:lang w:val="mn-MN"/>
              </w:rPr>
              <w:t xml:space="preserve">a  </w:t>
            </w:r>
            <w:r w:rsidRPr="00811BEA">
              <w:rPr>
                <w:sz w:val="20"/>
                <w:szCs w:val="20"/>
                <w:lang w:val="mn-MN"/>
              </w:rPr>
              <w:t>repetitive  stream  of   output   data   messages   in IEC/TR 61850-90-5 format as specified below, IEEE  C37.118.2  format, or other message packet format</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Data receiving/sending</w:t>
            </w:r>
          </w:p>
        </w:tc>
        <w:tc>
          <w:tcPr>
            <w:tcW w:w="5621" w:type="dxa"/>
          </w:tcPr>
          <w:p w:rsidR="00811BEA" w:rsidRPr="00EF2D2B" w:rsidRDefault="00811BEA" w:rsidP="00811BEA">
            <w:pPr>
              <w:pStyle w:val="TableParagraph"/>
              <w:tabs>
                <w:tab w:val="left" w:pos="0"/>
              </w:tabs>
              <w:spacing w:before="58" w:line="276" w:lineRule="auto"/>
              <w:ind w:right="305" w:hanging="1"/>
              <w:jc w:val="both"/>
              <w:rPr>
                <w:sz w:val="20"/>
                <w:szCs w:val="20"/>
                <w:lang w:val="mn-MN"/>
              </w:rPr>
            </w:pPr>
            <w:r w:rsidRPr="00811BEA">
              <w:rPr>
                <w:sz w:val="20"/>
                <w:szCs w:val="20"/>
                <w:lang w:val="mn-MN"/>
              </w:rPr>
              <w:t>An ssPDC receives data from within the substation, combines it  with  data from other PMUs, and forwards merged output stream to the next destination PDC.</w:t>
            </w:r>
          </w:p>
          <w:p w:rsidR="00811BEA" w:rsidRPr="00EF2D2B" w:rsidRDefault="00811BEA" w:rsidP="00811BEA">
            <w:pPr>
              <w:pStyle w:val="TableParagraph"/>
              <w:tabs>
                <w:tab w:val="left" w:pos="0"/>
              </w:tabs>
              <w:spacing w:before="58" w:line="276" w:lineRule="auto"/>
              <w:ind w:right="305" w:hanging="1"/>
              <w:jc w:val="both"/>
              <w:rPr>
                <w:sz w:val="20"/>
                <w:szCs w:val="20"/>
                <w:lang w:val="mn-MN"/>
              </w:rPr>
            </w:pPr>
            <w:r w:rsidRPr="00EF2D2B">
              <w:rPr>
                <w:sz w:val="20"/>
                <w:szCs w:val="20"/>
                <w:lang w:val="mn-MN"/>
              </w:rPr>
              <w:t xml:space="preserve">A </w:t>
            </w:r>
            <w:r w:rsidRPr="00811BEA">
              <w:rPr>
                <w:sz w:val="20"/>
                <w:szCs w:val="20"/>
                <w:lang w:val="mn-MN"/>
              </w:rPr>
              <w:t>PDC receives data from PMUs, ssPDCs, or other PDCs. It selects, validates, aggregates, and optionally decimates, interpolates, or time aligns data from multiple PMUs or PDCs. Optionally it converts data to and from IEC/TR 61850-90-5 as required by communications connections, secures data transfer, and calculates or  scales  derived data values</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Data receiving</w:t>
            </w:r>
          </w:p>
        </w:tc>
        <w:tc>
          <w:tcPr>
            <w:tcW w:w="5621"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 xml:space="preserve">A </w:t>
            </w:r>
            <w:r w:rsidRPr="00811BEA">
              <w:rPr>
                <w:sz w:val="20"/>
                <w:szCs w:val="20"/>
                <w:lang w:val="mn-MN"/>
              </w:rPr>
              <w:t>PDC receives data from PMUs, ssPDCs, or other PDCs. It selects, validates, aggregates, and optionally decimates,  interpolates,  time aligns data, or calculates or scales derived values from  multiple PMUs   or PDCs. PDC sends output streams to user applications</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Data receiving – test mode</w:t>
            </w:r>
          </w:p>
        </w:tc>
        <w:tc>
          <w:tcPr>
            <w:tcW w:w="5621"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One or more input data streams are indicating test mode</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Data sending – test mode</w:t>
            </w:r>
          </w:p>
        </w:tc>
        <w:tc>
          <w:tcPr>
            <w:tcW w:w="5621"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One or more output data streams are to be set to indicate test mode</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Commissioning</w:t>
            </w:r>
          </w:p>
        </w:tc>
        <w:tc>
          <w:tcPr>
            <w:tcW w:w="5621"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 xml:space="preserve">PDC is turned on for the first time, or for the first time with </w:t>
            </w:r>
            <w:r w:rsidRPr="00731F96">
              <w:rPr>
                <w:sz w:val="20"/>
                <w:szCs w:val="20"/>
                <w:lang w:val="mn-MN"/>
              </w:rPr>
              <w:lastRenderedPageBreak/>
              <w:t>a new configuration</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lastRenderedPageBreak/>
              <w:t>Input change</w:t>
            </w:r>
          </w:p>
        </w:tc>
        <w:tc>
          <w:tcPr>
            <w:tcW w:w="5621"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The configuration of an input stream changes in a way that requires reconfiguration of an output stream</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Input failure</w:t>
            </w:r>
          </w:p>
        </w:tc>
        <w:tc>
          <w:tcPr>
            <w:tcW w:w="5621" w:type="dxa"/>
          </w:tcPr>
          <w:p w:rsidR="00811BEA" w:rsidRPr="00EF2D2B" w:rsidRDefault="00811BEA" w:rsidP="00811BEA">
            <w:pPr>
              <w:pStyle w:val="TableParagraph"/>
              <w:tabs>
                <w:tab w:val="left" w:pos="0"/>
              </w:tabs>
              <w:spacing w:before="58" w:line="276" w:lineRule="auto"/>
              <w:ind w:right="305" w:hanging="1"/>
              <w:jc w:val="both"/>
              <w:rPr>
                <w:sz w:val="20"/>
                <w:szCs w:val="20"/>
                <w:lang w:val="mn-MN"/>
              </w:rPr>
            </w:pPr>
            <w:r w:rsidRPr="00811BEA">
              <w:rPr>
                <w:sz w:val="20"/>
                <w:szCs w:val="20"/>
                <w:lang w:val="mn-MN"/>
              </w:rPr>
              <w:t>PDC stops receiving one or more connected  or  subscribed  data  streams completely, or values of input stream have bad quality</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Deenergization/energization or fail/replace</w:t>
            </w:r>
          </w:p>
        </w:tc>
        <w:tc>
          <w:tcPr>
            <w:tcW w:w="5621"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 xml:space="preserve">PDC is turned off for an arbitrary period and turned back  on. Replacement of failed PDC by identically configured unit may occur  during  time  off  line.  Consider  effect   of   </w:t>
            </w:r>
            <w:r w:rsidRPr="00EF2D2B">
              <w:rPr>
                <w:sz w:val="20"/>
                <w:szCs w:val="20"/>
                <w:lang w:val="mn-MN"/>
              </w:rPr>
              <w:t xml:space="preserve">1   </w:t>
            </w:r>
            <w:r w:rsidRPr="00811BEA">
              <w:rPr>
                <w:sz w:val="20"/>
                <w:szCs w:val="20"/>
                <w:lang w:val="mn-MN"/>
              </w:rPr>
              <w:t>min   change   flag   in IEEE C37.118.2</w:t>
            </w:r>
          </w:p>
        </w:tc>
      </w:tr>
      <w:tr w:rsidR="00811BEA" w:rsidRPr="00731F96" w:rsidTr="00D54D3B">
        <w:tc>
          <w:tcPr>
            <w:tcW w:w="3723"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Data receiving - user applications</w:t>
            </w:r>
          </w:p>
        </w:tc>
        <w:tc>
          <w:tcPr>
            <w:tcW w:w="5621"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Applications provide situational awareness, state estimation, on-line security assessment, display, data processing,  alarming,  archiving,  wide area control, and specific protection or control functions</w:t>
            </w:r>
          </w:p>
        </w:tc>
      </w:tr>
    </w:tbl>
    <w:p w:rsidR="00811BEA" w:rsidRPr="00EF2D2B" w:rsidRDefault="00811BEA" w:rsidP="00811BEA">
      <w:pPr>
        <w:tabs>
          <w:tab w:val="left" w:pos="0"/>
        </w:tabs>
        <w:spacing w:before="93"/>
        <w:rPr>
          <w:b/>
        </w:rPr>
      </w:pPr>
    </w:p>
    <w:p w:rsidR="00811BEA" w:rsidRPr="00731F96" w:rsidRDefault="00811BEA" w:rsidP="00811BEA">
      <w:pPr>
        <w:tabs>
          <w:tab w:val="left" w:pos="0"/>
        </w:tabs>
        <w:spacing w:before="93"/>
        <w:ind w:left="0" w:firstLine="0"/>
        <w:rPr>
          <w:b/>
        </w:rPr>
      </w:pPr>
      <w:r w:rsidRPr="00731F96">
        <w:rPr>
          <w:b/>
        </w:rPr>
        <w:t>Үндсэн</w:t>
      </w:r>
      <w:r>
        <w:rPr>
          <w:b/>
        </w:rPr>
        <w:t xml:space="preserve"> урсгал:</w:t>
      </w:r>
    </w:p>
    <w:p w:rsidR="00811BEA" w:rsidRPr="00EF2D2B" w:rsidRDefault="00811BEA" w:rsidP="00811BEA">
      <w:pPr>
        <w:ind w:left="0" w:firstLine="0"/>
      </w:pPr>
      <w:r w:rsidRPr="00EF2D2B">
        <w:t>Өгөдөл үүсгэх ба илгээх</w:t>
      </w:r>
    </w:p>
    <w:tbl>
      <w:tblPr>
        <w:tblStyle w:val="TableGrid"/>
        <w:tblW w:w="0" w:type="auto"/>
        <w:tblLook w:val="04A0" w:firstRow="1" w:lastRow="0" w:firstColumn="1" w:lastColumn="0" w:noHBand="0" w:noVBand="1"/>
      </w:tblPr>
      <w:tblGrid>
        <w:gridCol w:w="1696"/>
        <w:gridCol w:w="7648"/>
      </w:tblGrid>
      <w:tr w:rsidR="00811BEA" w:rsidRPr="00EF2D2B" w:rsidTr="00D54D3B">
        <w:tc>
          <w:tcPr>
            <w:tcW w:w="1696" w:type="dxa"/>
          </w:tcPr>
          <w:p w:rsidR="00811BEA" w:rsidRPr="00EF2D2B" w:rsidRDefault="00811BEA"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811BEA" w:rsidRPr="00731F96" w:rsidRDefault="00811BEA"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PMU нь V ба I-ийн синхрофазорууд, чадлын урсгал, давтамж, давтамжийн өөрчлөлтийн хурд, цэгүүдийн төлөв ба бусад хэмжигдэхүүнүүдийг хэмждэг.</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Алхам2</w:t>
            </w:r>
          </w:p>
        </w:tc>
        <w:tc>
          <w:tcPr>
            <w:tcW w:w="7648"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PMU нь өгөгдлийн урсгалыг тохируулсан гаралтын хурдаар тооцоолно</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Алхам 3</w:t>
            </w:r>
          </w:p>
        </w:tc>
        <w:tc>
          <w:tcPr>
            <w:tcW w:w="7648"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PMU нь тохирох төлөвийн флаг ба цаг хугацааны тэмдэг бүхий өгөгдлийн</w:t>
            </w:r>
            <w:r w:rsidRPr="00EF2D2B">
              <w:rPr>
                <w:sz w:val="20"/>
                <w:szCs w:val="20"/>
                <w:lang w:val="mn-MN"/>
              </w:rPr>
              <w:t xml:space="preserve"> урсгалыг өгдөг</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Алхам 4</w:t>
            </w:r>
          </w:p>
        </w:tc>
        <w:tc>
          <w:tcPr>
            <w:tcW w:w="7648"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PMU нь өгөгдлийн багцуудыг ssPDC эсвэл PDC руу тасралтгүй урсгал болон тохируулагдсан өгөгдлийн холбооны протоколоор илгээдэг</w:t>
            </w:r>
          </w:p>
        </w:tc>
      </w:tr>
    </w:tbl>
    <w:p w:rsidR="00811BEA" w:rsidRPr="00731F96" w:rsidRDefault="00811BEA" w:rsidP="00811BEA">
      <w:pPr>
        <w:tabs>
          <w:tab w:val="left" w:pos="0"/>
        </w:tabs>
        <w:spacing w:before="93"/>
        <w:ind w:left="0" w:firstLine="0"/>
        <w:rPr>
          <w:b/>
        </w:rPr>
      </w:pPr>
      <w:r>
        <w:rPr>
          <w:b/>
        </w:rPr>
        <w:t>Basic flow:</w:t>
      </w:r>
    </w:p>
    <w:p w:rsidR="00811BEA" w:rsidRPr="00EF2D2B" w:rsidRDefault="00811BEA" w:rsidP="00811BEA">
      <w:pPr>
        <w:ind w:left="0" w:firstLine="0"/>
      </w:pPr>
      <w:r w:rsidRPr="00EF2D2B">
        <w:t>Data origination &amp; sending</w:t>
      </w:r>
    </w:p>
    <w:tbl>
      <w:tblPr>
        <w:tblStyle w:val="TableGrid"/>
        <w:tblW w:w="0" w:type="auto"/>
        <w:tblLook w:val="04A0" w:firstRow="1" w:lastRow="0" w:firstColumn="1" w:lastColumn="0" w:noHBand="0" w:noVBand="1"/>
      </w:tblPr>
      <w:tblGrid>
        <w:gridCol w:w="1980"/>
        <w:gridCol w:w="7364"/>
      </w:tblGrid>
      <w:tr w:rsidR="00811BEA" w:rsidRPr="00731F96" w:rsidTr="00D54D3B">
        <w:tc>
          <w:tcPr>
            <w:tcW w:w="1980" w:type="dxa"/>
          </w:tcPr>
          <w:p w:rsidR="00811BEA" w:rsidRPr="00EF2D2B" w:rsidRDefault="00811BEA"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811BEA" w:rsidRPr="00EF2D2B" w:rsidRDefault="00811BEA"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Step 1</w:t>
            </w:r>
          </w:p>
        </w:tc>
        <w:tc>
          <w:tcPr>
            <w:tcW w:w="7364"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811BEA">
              <w:rPr>
                <w:sz w:val="20"/>
                <w:szCs w:val="20"/>
                <w:lang w:val="mn-MN"/>
              </w:rPr>
              <w:t xml:space="preserve">PMU measures </w:t>
            </w:r>
            <w:r w:rsidRPr="00EF2D2B">
              <w:rPr>
                <w:sz w:val="20"/>
                <w:szCs w:val="20"/>
                <w:lang w:val="mn-MN"/>
              </w:rPr>
              <w:t xml:space="preserve">V &amp; I </w:t>
            </w:r>
            <w:r w:rsidRPr="00811BEA">
              <w:rPr>
                <w:sz w:val="20"/>
                <w:szCs w:val="20"/>
                <w:lang w:val="mn-MN"/>
              </w:rPr>
              <w:t>synchrophasors, power flows, frequency, rate of change of frequency, and other measurement and status points</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Step 2</w:t>
            </w:r>
          </w:p>
        </w:tc>
        <w:tc>
          <w:tcPr>
            <w:tcW w:w="7364"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PMU computes data set at configured output rate</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Step 3</w:t>
            </w:r>
          </w:p>
        </w:tc>
        <w:tc>
          <w:tcPr>
            <w:tcW w:w="7364"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PMU packages data set with appropriate status flags and time stamp</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Step 4</w:t>
            </w:r>
          </w:p>
        </w:tc>
        <w:tc>
          <w:tcPr>
            <w:tcW w:w="7364"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PMU sends data sets to the ssPDC or PDC in a continuous stream and configured data communications protocol</w:t>
            </w:r>
          </w:p>
        </w:tc>
      </w:tr>
    </w:tbl>
    <w:p w:rsidR="00811BEA" w:rsidRDefault="00811BEA" w:rsidP="00811BEA">
      <w:pPr>
        <w:ind w:left="0" w:firstLine="0"/>
        <w:jc w:val="center"/>
        <w:rPr>
          <w:b/>
        </w:rPr>
      </w:pPr>
    </w:p>
    <w:p w:rsidR="00811BEA" w:rsidRPr="00811BEA" w:rsidRDefault="00811BEA" w:rsidP="00811BEA">
      <w:pPr>
        <w:ind w:left="0" w:firstLine="0"/>
      </w:pPr>
      <w:r w:rsidRPr="00811BEA">
        <w:t>Өгөгдөл хүлээн авах/илгээх – ssPDC</w:t>
      </w:r>
    </w:p>
    <w:tbl>
      <w:tblPr>
        <w:tblStyle w:val="TableGrid"/>
        <w:tblW w:w="0" w:type="auto"/>
        <w:tblLook w:val="04A0" w:firstRow="1" w:lastRow="0" w:firstColumn="1" w:lastColumn="0" w:noHBand="0" w:noVBand="1"/>
      </w:tblPr>
      <w:tblGrid>
        <w:gridCol w:w="1696"/>
        <w:gridCol w:w="7648"/>
      </w:tblGrid>
      <w:tr w:rsidR="00811BEA" w:rsidRPr="00EF2D2B" w:rsidTr="00D54D3B">
        <w:tc>
          <w:tcPr>
            <w:tcW w:w="1696" w:type="dxa"/>
          </w:tcPr>
          <w:p w:rsidR="00811BEA" w:rsidRPr="00EF2D2B" w:rsidRDefault="00811BEA"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811BEA" w:rsidRPr="00731F96" w:rsidRDefault="00811BEA"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ssPDC нь олон PMU үүсгүүрүүдээс синхрофазорын өгөгдлийн урсгалыг хүлээн авдаг</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Алхам 2</w:t>
            </w:r>
          </w:p>
        </w:tc>
        <w:tc>
          <w:tcPr>
            <w:tcW w:w="7648"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ssPDC нь өгөгдөл оруулах бүрд</w:t>
            </w:r>
            <w:r w:rsidRPr="00EF2D2B">
              <w:rPr>
                <w:sz w:val="20"/>
                <w:szCs w:val="20"/>
                <w:lang w:val="mn-MN"/>
              </w:rPr>
              <w:t xml:space="preserve"> мэдээлэл дамжуулах протоколыг хөрвүүлдэг</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Алхам 3</w:t>
            </w:r>
          </w:p>
        </w:tc>
        <w:tc>
          <w:tcPr>
            <w:tcW w:w="7648"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 xml:space="preserve">ssPDC нь цэгүүдийн </w:t>
            </w:r>
            <w:r w:rsidRPr="00EF2D2B">
              <w:rPr>
                <w:sz w:val="20"/>
                <w:szCs w:val="20"/>
                <w:lang w:val="mn-MN"/>
              </w:rPr>
              <w:t>өгөгдлийг гаралтын урсгалд баталгаажуулдаг, сонгодог, нэгтгэдэг</w:t>
            </w:r>
          </w:p>
        </w:tc>
      </w:tr>
      <w:tr w:rsidR="00811BEA" w:rsidRPr="00731F96" w:rsidTr="00D54D3B">
        <w:tc>
          <w:tcPr>
            <w:tcW w:w="1696"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Алхам 4</w:t>
            </w:r>
          </w:p>
        </w:tc>
        <w:tc>
          <w:tcPr>
            <w:tcW w:w="7648"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ssPDC форматлах, хамгаалах, гаралтын өгөгдлийг PDC руу илгээдэг</w:t>
            </w:r>
          </w:p>
        </w:tc>
      </w:tr>
    </w:tbl>
    <w:p w:rsidR="00811BEA" w:rsidRPr="00811BEA" w:rsidRDefault="00811BEA" w:rsidP="00811BEA">
      <w:pPr>
        <w:ind w:left="0" w:firstLine="0"/>
      </w:pPr>
      <w:r w:rsidRPr="00811BEA">
        <w:t>Data receiving/sending – ssPDC</w:t>
      </w:r>
    </w:p>
    <w:tbl>
      <w:tblPr>
        <w:tblStyle w:val="TableGrid"/>
        <w:tblW w:w="0" w:type="auto"/>
        <w:tblLook w:val="04A0" w:firstRow="1" w:lastRow="0" w:firstColumn="1" w:lastColumn="0" w:noHBand="0" w:noVBand="1"/>
      </w:tblPr>
      <w:tblGrid>
        <w:gridCol w:w="1980"/>
        <w:gridCol w:w="7364"/>
      </w:tblGrid>
      <w:tr w:rsidR="00811BEA" w:rsidRPr="00731F96" w:rsidTr="00D54D3B">
        <w:tc>
          <w:tcPr>
            <w:tcW w:w="1980" w:type="dxa"/>
          </w:tcPr>
          <w:p w:rsidR="00811BEA" w:rsidRPr="00EF2D2B" w:rsidRDefault="00811BEA"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811BEA" w:rsidRPr="00EF2D2B" w:rsidRDefault="00811BEA"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lastRenderedPageBreak/>
              <w:t>Step 1</w:t>
            </w:r>
          </w:p>
        </w:tc>
        <w:tc>
          <w:tcPr>
            <w:tcW w:w="7364"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ssPDC receives synchrophasor data streams from multiple PMU sources</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Step 2</w:t>
            </w:r>
          </w:p>
        </w:tc>
        <w:tc>
          <w:tcPr>
            <w:tcW w:w="7364"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ssPDC converts communications protocol of each data input</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Step 3</w:t>
            </w:r>
          </w:p>
        </w:tc>
        <w:tc>
          <w:tcPr>
            <w:tcW w:w="7364"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ssPDC validates, selects, combines, and merges data points into output stream</w:t>
            </w:r>
          </w:p>
        </w:tc>
      </w:tr>
      <w:tr w:rsidR="00811BEA" w:rsidRPr="00731F96" w:rsidTr="00D54D3B">
        <w:tc>
          <w:tcPr>
            <w:tcW w:w="1980" w:type="dxa"/>
          </w:tcPr>
          <w:p w:rsidR="00811BEA" w:rsidRPr="00EF2D2B" w:rsidRDefault="00811BEA" w:rsidP="00811BEA">
            <w:pPr>
              <w:pStyle w:val="TableParagraph"/>
              <w:tabs>
                <w:tab w:val="left" w:pos="0"/>
              </w:tabs>
              <w:spacing w:before="58" w:line="276" w:lineRule="auto"/>
              <w:ind w:right="305"/>
              <w:jc w:val="both"/>
              <w:rPr>
                <w:sz w:val="20"/>
                <w:szCs w:val="20"/>
                <w:lang w:val="mn-MN"/>
              </w:rPr>
            </w:pPr>
            <w:r w:rsidRPr="00EF2D2B">
              <w:rPr>
                <w:sz w:val="20"/>
                <w:szCs w:val="20"/>
                <w:lang w:val="mn-MN"/>
              </w:rPr>
              <w:t>Step 4</w:t>
            </w:r>
          </w:p>
        </w:tc>
        <w:tc>
          <w:tcPr>
            <w:tcW w:w="7364" w:type="dxa"/>
          </w:tcPr>
          <w:p w:rsidR="00811BEA" w:rsidRPr="00731F96" w:rsidRDefault="00811BEA" w:rsidP="00811BEA">
            <w:pPr>
              <w:pStyle w:val="TableParagraph"/>
              <w:tabs>
                <w:tab w:val="left" w:pos="0"/>
              </w:tabs>
              <w:spacing w:before="58" w:line="276" w:lineRule="auto"/>
              <w:ind w:right="305"/>
              <w:jc w:val="both"/>
              <w:rPr>
                <w:sz w:val="20"/>
                <w:szCs w:val="20"/>
                <w:lang w:val="mn-MN"/>
              </w:rPr>
            </w:pPr>
            <w:r w:rsidRPr="00731F96">
              <w:rPr>
                <w:sz w:val="20"/>
                <w:szCs w:val="20"/>
                <w:lang w:val="mn-MN"/>
              </w:rPr>
              <w:t>ssPDC formats, secures, and sends output data to PDC</w:t>
            </w:r>
          </w:p>
        </w:tc>
      </w:tr>
    </w:tbl>
    <w:p w:rsidR="00D54D3B" w:rsidRDefault="00D54D3B" w:rsidP="00D54D3B">
      <w:pPr>
        <w:ind w:left="0" w:firstLine="0"/>
        <w:rPr>
          <w:b/>
        </w:rPr>
      </w:pPr>
    </w:p>
    <w:p w:rsidR="00D54D3B" w:rsidRPr="00811BEA" w:rsidRDefault="00D54D3B" w:rsidP="00D54D3B">
      <w:pPr>
        <w:ind w:left="0" w:firstLine="0"/>
      </w:pPr>
      <w:r w:rsidRPr="00811BEA">
        <w:t>Өгөгдөл</w:t>
      </w:r>
      <w:r>
        <w:t xml:space="preserve"> хүлээн авах/илгээх – </w:t>
      </w:r>
      <w:r w:rsidRPr="00811BEA">
        <w:t>PDC</w:t>
      </w:r>
    </w:p>
    <w:tbl>
      <w:tblPr>
        <w:tblStyle w:val="TableGrid"/>
        <w:tblW w:w="0" w:type="auto"/>
        <w:tblLook w:val="04A0" w:firstRow="1" w:lastRow="0" w:firstColumn="1" w:lastColumn="0" w:noHBand="0" w:noVBand="1"/>
      </w:tblPr>
      <w:tblGrid>
        <w:gridCol w:w="1696"/>
        <w:gridCol w:w="7648"/>
      </w:tblGrid>
      <w:tr w:rsidR="00D54D3B" w:rsidRPr="00EF2D2B" w:rsidTr="00D54D3B">
        <w:tc>
          <w:tcPr>
            <w:tcW w:w="1696" w:type="dxa"/>
          </w:tcPr>
          <w:p w:rsidR="00D54D3B" w:rsidRPr="00EF2D2B" w:rsidRDefault="00D54D3B"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D54D3B" w:rsidRPr="00731F96" w:rsidRDefault="00D54D3B"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54D3B" w:rsidRPr="00731F96"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receives synchrophasor data from multiple PMU, ssPDC, or PDC sources</w:t>
            </w:r>
          </w:p>
        </w:tc>
      </w:tr>
      <w:tr w:rsidR="00D54D3B" w:rsidRPr="00731F96"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2</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олон PMU, ssPDC буюу PDC үүсгүүрүүдээс синхрофазорын өгөгдлийг хүлээн авдаг</w:t>
            </w:r>
          </w:p>
        </w:tc>
      </w:tr>
      <w:tr w:rsidR="00D54D3B" w:rsidRPr="00731F96"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3</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өгөгдөл оруулах, тохируулах, задлах буюу интерполяцлах, өгөгдлийн утгыг тооцоолох буюумасштаблах ба олон гаралтын урсгал тус бүрийн гаралтын өгөгдлийг сонгоно</w:t>
            </w:r>
          </w:p>
        </w:tc>
      </w:tr>
      <w:tr w:rsidR="00D54D3B" w:rsidRPr="00731F96"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4</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нэг буюу хэд хэдэн гаралтын өгөгдлийн урсгалыг форматлах, хамгаалах, хэвлэхбуюу илгээдэг</w:t>
            </w:r>
          </w:p>
        </w:tc>
      </w:tr>
    </w:tbl>
    <w:p w:rsidR="00D54D3B" w:rsidRPr="00811BEA" w:rsidRDefault="00D54D3B" w:rsidP="00D54D3B">
      <w:pPr>
        <w:ind w:left="0" w:firstLine="0"/>
      </w:pPr>
      <w:r>
        <w:t xml:space="preserve">Data receiving/sending – </w:t>
      </w:r>
      <w:r w:rsidRPr="00811BEA">
        <w:t>PDC</w:t>
      </w:r>
    </w:p>
    <w:tbl>
      <w:tblPr>
        <w:tblStyle w:val="TableGrid"/>
        <w:tblW w:w="0" w:type="auto"/>
        <w:tblLook w:val="04A0" w:firstRow="1" w:lastRow="0" w:firstColumn="1" w:lastColumn="0" w:noHBand="0" w:noVBand="1"/>
      </w:tblPr>
      <w:tblGrid>
        <w:gridCol w:w="1980"/>
        <w:gridCol w:w="7364"/>
      </w:tblGrid>
      <w:tr w:rsidR="00D54D3B" w:rsidRPr="00731F96" w:rsidTr="00D54D3B">
        <w:tc>
          <w:tcPr>
            <w:tcW w:w="1980" w:type="dxa"/>
          </w:tcPr>
          <w:p w:rsidR="00D54D3B" w:rsidRPr="00EF2D2B" w:rsidRDefault="00D54D3B"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D54D3B" w:rsidRPr="00EF2D2B" w:rsidRDefault="00D54D3B"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1</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receives synchrophasor data from multiple PMU, ssPDC, or PDC sources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2</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converts communications protocol of each data input</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3</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validates, aligns, decimates or interpolates data inputs, computes or scales data</w:t>
            </w:r>
            <w:r>
              <w:rPr>
                <w:sz w:val="20"/>
                <w:szCs w:val="20"/>
                <w:lang w:val="mn-MN"/>
              </w:rPr>
              <w:t xml:space="preserve"> </w:t>
            </w:r>
            <w:r w:rsidRPr="00D54D3B">
              <w:rPr>
                <w:sz w:val="20"/>
                <w:szCs w:val="20"/>
                <w:lang w:val="mn-MN"/>
              </w:rPr>
              <w:t>values, and selects output data for each of multiple output streams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4</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formats, secures, and publishes or sends one or more output data streams</w:t>
            </w:r>
          </w:p>
        </w:tc>
      </w:tr>
    </w:tbl>
    <w:p w:rsidR="00D54D3B" w:rsidRDefault="00D54D3B" w:rsidP="00D54D3B">
      <w:pPr>
        <w:ind w:left="0" w:firstLine="0"/>
        <w:rPr>
          <w:b/>
        </w:rPr>
      </w:pPr>
    </w:p>
    <w:p w:rsidR="00D54D3B" w:rsidRPr="00D54D3B" w:rsidRDefault="00D54D3B" w:rsidP="00D54D3B">
      <w:pPr>
        <w:ind w:left="0" w:firstLine="0"/>
      </w:pPr>
      <w:r w:rsidRPr="00D54D3B">
        <w:t>Өгөгдөл хүлээн өвөх – туршилтын горим</w:t>
      </w:r>
    </w:p>
    <w:tbl>
      <w:tblPr>
        <w:tblStyle w:val="TableGrid"/>
        <w:tblW w:w="0" w:type="auto"/>
        <w:tblLook w:val="04A0" w:firstRow="1" w:lastRow="0" w:firstColumn="1" w:lastColumn="0" w:noHBand="0" w:noVBand="1"/>
      </w:tblPr>
      <w:tblGrid>
        <w:gridCol w:w="1696"/>
        <w:gridCol w:w="7648"/>
      </w:tblGrid>
      <w:tr w:rsidR="00D54D3B" w:rsidRPr="00EF2D2B" w:rsidTr="00D54D3B">
        <w:tc>
          <w:tcPr>
            <w:tcW w:w="1696" w:type="dxa"/>
          </w:tcPr>
          <w:p w:rsidR="00D54D3B" w:rsidRPr="00EF2D2B" w:rsidRDefault="00D54D3B"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D54D3B" w:rsidRPr="00731F96" w:rsidRDefault="00D54D3B"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54D3B" w:rsidRPr="00731F96"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буюу ssPDC нь олон PMU, ssPDC буюу PDC үүсгүүрүүдээс синхрофазорын өгөгдлийг хүлээн авдаг</w:t>
            </w:r>
          </w:p>
        </w:tc>
      </w:tr>
      <w:tr w:rsidR="00D54D3B" w:rsidRPr="00731F96" w:rsidTr="00D54D3B">
        <w:tc>
          <w:tcPr>
            <w:tcW w:w="1696" w:type="dxa"/>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2</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 xml:space="preserve">PDC нь өгөгдөл оруулах бүрд </w:t>
            </w:r>
            <w:r w:rsidRPr="00EF2D2B">
              <w:rPr>
                <w:sz w:val="20"/>
                <w:szCs w:val="20"/>
                <w:lang w:val="mn-MN"/>
              </w:rPr>
              <w:t>мэдээлэл дамжуулах протоколыг хөрвүүлдэг</w:t>
            </w:r>
          </w:p>
        </w:tc>
      </w:tr>
      <w:tr w:rsidR="00D54D3B" w:rsidRPr="00731F96" w:rsidTr="00D54D3B">
        <w:tc>
          <w:tcPr>
            <w:tcW w:w="1696" w:type="dxa"/>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3</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оролтын урсгал бүрд өгөгдлийн ба</w:t>
            </w:r>
            <w:r w:rsidRPr="00EF2D2B">
              <w:rPr>
                <w:sz w:val="20"/>
                <w:szCs w:val="20"/>
                <w:lang w:val="mn-MN"/>
              </w:rPr>
              <w:t>гц бүрийн туршилтын горимын утгыг тодорхойлдог</w:t>
            </w:r>
          </w:p>
        </w:tc>
      </w:tr>
      <w:tr w:rsidR="00D54D3B" w:rsidRPr="00731F96" w:rsidTr="00D54D3B">
        <w:tc>
          <w:tcPr>
            <w:tcW w:w="1696" w:type="dxa"/>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4</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өгөгдөл оруулах, тохируулах, задлах буюу интерполяцлах, туршилтын горимын харгалзах утгыг тооцоолох буюу масштаблах ба олон гаралтын урсгал тус бүрийн гаралтын өгөгдлийг сонгоно</w:t>
            </w:r>
          </w:p>
        </w:tc>
      </w:tr>
      <w:tr w:rsidR="00D54D3B" w:rsidRPr="00731F96" w:rsidTr="00D54D3B">
        <w:tc>
          <w:tcPr>
            <w:tcW w:w="1696" w:type="dxa"/>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5</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гаралтын урсгал бүрт өгөгдлийн сан болгон тохируулсан туршилтын горимын утгыг харуулдаг.</w:t>
            </w:r>
          </w:p>
        </w:tc>
      </w:tr>
      <w:tr w:rsidR="00D54D3B" w:rsidRPr="00731F96" w:rsidTr="00D54D3B">
        <w:tc>
          <w:tcPr>
            <w:tcW w:w="1696" w:type="dxa"/>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6</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нэг буюу хэд хэдэн гаралтын өгөгдлийн урсгалыг форматлах, хамгаалах, хэвлэхбуюу илгээдэг</w:t>
            </w:r>
          </w:p>
        </w:tc>
      </w:tr>
    </w:tbl>
    <w:p w:rsidR="00D54D3B" w:rsidRPr="00D54D3B" w:rsidRDefault="00D54D3B" w:rsidP="00D54D3B">
      <w:pPr>
        <w:ind w:left="0" w:firstLine="0"/>
      </w:pPr>
      <w:r w:rsidRPr="00D54D3B">
        <w:t>Data receiving – test mode</w:t>
      </w:r>
    </w:p>
    <w:tbl>
      <w:tblPr>
        <w:tblStyle w:val="TableGrid"/>
        <w:tblW w:w="0" w:type="auto"/>
        <w:tblLook w:val="04A0" w:firstRow="1" w:lastRow="0" w:firstColumn="1" w:lastColumn="0" w:noHBand="0" w:noVBand="1"/>
      </w:tblPr>
      <w:tblGrid>
        <w:gridCol w:w="1980"/>
        <w:gridCol w:w="7364"/>
      </w:tblGrid>
      <w:tr w:rsidR="00D54D3B" w:rsidRPr="00731F96" w:rsidTr="00D54D3B">
        <w:tc>
          <w:tcPr>
            <w:tcW w:w="1980" w:type="dxa"/>
          </w:tcPr>
          <w:p w:rsidR="00D54D3B" w:rsidRPr="00EF2D2B" w:rsidRDefault="00D54D3B"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D54D3B" w:rsidRPr="00EF2D2B" w:rsidRDefault="00D54D3B"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step</w:t>
            </w:r>
            <w:r w:rsidRPr="00EF2D2B">
              <w:rPr>
                <w:sz w:val="20"/>
                <w:szCs w:val="20"/>
                <w:lang w:val="mn-MN"/>
              </w:rPr>
              <w:t xml:space="preserve"> 1</w:t>
            </w:r>
          </w:p>
        </w:tc>
        <w:tc>
          <w:tcPr>
            <w:tcW w:w="7364" w:type="dxa"/>
          </w:tcPr>
          <w:p w:rsidR="00D54D3B" w:rsidRPr="00731F96" w:rsidRDefault="00D54D3B" w:rsidP="00D54D3B">
            <w:pPr>
              <w:pStyle w:val="TableParagraph"/>
              <w:tabs>
                <w:tab w:val="left" w:pos="0"/>
              </w:tabs>
              <w:spacing w:before="58" w:line="276" w:lineRule="auto"/>
              <w:ind w:right="305" w:hanging="1"/>
              <w:jc w:val="both"/>
              <w:rPr>
                <w:sz w:val="20"/>
                <w:szCs w:val="20"/>
                <w:lang w:val="mn-MN"/>
              </w:rPr>
            </w:pPr>
            <w:r w:rsidRPr="00731F96">
              <w:rPr>
                <w:sz w:val="20"/>
                <w:szCs w:val="20"/>
                <w:lang w:val="mn-MN"/>
              </w:rPr>
              <w:t>PDC or sources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step</w:t>
            </w:r>
            <w:r w:rsidRPr="00EF2D2B">
              <w:rPr>
                <w:sz w:val="20"/>
                <w:szCs w:val="20"/>
                <w:lang w:val="mn-MN"/>
              </w:rPr>
              <w:t xml:space="preserve"> 2</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converts communications protocol of each data input</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step</w:t>
            </w:r>
            <w:r w:rsidRPr="00EF2D2B">
              <w:rPr>
                <w:sz w:val="20"/>
                <w:szCs w:val="20"/>
                <w:lang w:val="mn-MN"/>
              </w:rPr>
              <w:t xml:space="preserve"> 3</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determines test mode value for each dataset in each input stream</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lastRenderedPageBreak/>
              <w:t>step</w:t>
            </w:r>
            <w:r w:rsidRPr="00EF2D2B">
              <w:rPr>
                <w:sz w:val="20"/>
                <w:szCs w:val="20"/>
                <w:lang w:val="mn-MN"/>
              </w:rPr>
              <w:t xml:space="preserve"> 4</w:t>
            </w:r>
          </w:p>
        </w:tc>
        <w:tc>
          <w:tcPr>
            <w:tcW w:w="7364"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validates, aligns, decimates or interpolates data inputs, calculates or scales values   in consideration of test modes, and selects output data for each of multiple  output  streams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step</w:t>
            </w:r>
            <w:r w:rsidRPr="00EF2D2B">
              <w:rPr>
                <w:sz w:val="20"/>
                <w:szCs w:val="20"/>
                <w:lang w:val="mn-MN"/>
              </w:rPr>
              <w:t xml:space="preserve"> 5</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maps test mode values as configured to each dataset in each output stream.</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step</w:t>
            </w:r>
            <w:r w:rsidRPr="00EF2D2B">
              <w:rPr>
                <w:sz w:val="20"/>
                <w:szCs w:val="20"/>
                <w:lang w:val="mn-MN"/>
              </w:rPr>
              <w:t xml:space="preserve"> 6</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formats, secures, and publishes or sends one or more output data streams</w:t>
            </w:r>
          </w:p>
        </w:tc>
      </w:tr>
    </w:tbl>
    <w:p w:rsidR="00D54D3B" w:rsidRDefault="00D54D3B" w:rsidP="00D54D3B">
      <w:pPr>
        <w:ind w:left="0" w:firstLine="0"/>
        <w:rPr>
          <w:b/>
        </w:rPr>
      </w:pPr>
    </w:p>
    <w:p w:rsidR="00D54D3B" w:rsidRPr="00D54D3B" w:rsidRDefault="00D54D3B" w:rsidP="00D54D3B">
      <w:pPr>
        <w:ind w:left="0" w:firstLine="0"/>
      </w:pPr>
      <w:r w:rsidRPr="00D54D3B">
        <w:t>Өгөгдөл илгээх – туршилтын горим</w:t>
      </w:r>
    </w:p>
    <w:tbl>
      <w:tblPr>
        <w:tblStyle w:val="TableGrid"/>
        <w:tblW w:w="0" w:type="auto"/>
        <w:tblLook w:val="04A0" w:firstRow="1" w:lastRow="0" w:firstColumn="1" w:lastColumn="0" w:noHBand="0" w:noVBand="1"/>
      </w:tblPr>
      <w:tblGrid>
        <w:gridCol w:w="1696"/>
        <w:gridCol w:w="7648"/>
      </w:tblGrid>
      <w:tr w:rsidR="00D54D3B" w:rsidRPr="00EF2D2B" w:rsidTr="00D54D3B">
        <w:tc>
          <w:tcPr>
            <w:tcW w:w="1696" w:type="dxa"/>
          </w:tcPr>
          <w:p w:rsidR="00D54D3B" w:rsidRPr="00EF2D2B" w:rsidRDefault="00D54D3B"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D54D3B" w:rsidRPr="00731F96" w:rsidRDefault="00D54D3B"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олон PMU, ssPDC буюу PDC үүсгүүрүүдээс синхрофазорын өгөгдлийг хүлээн авдаг</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2</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 xml:space="preserve">ssPDC нь өгөгдөл оруулах бүрд </w:t>
            </w:r>
            <w:r w:rsidRPr="00EF2D2B">
              <w:rPr>
                <w:sz w:val="20"/>
                <w:szCs w:val="20"/>
                <w:lang w:val="mn-MN"/>
              </w:rPr>
              <w:t>мэдээлэл дамжуулах протоколыг хөрвүүлдэг</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3</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 xml:space="preserve">ssPDC </w:t>
            </w:r>
            <w:r w:rsidRPr="00731F96">
              <w:rPr>
                <w:sz w:val="20"/>
                <w:szCs w:val="20"/>
                <w:lang w:val="mn-MN"/>
              </w:rPr>
              <w:t>нь өгөгдөл оруулах, тохируулах, задлах буюу интерполяцлах, утгыг тооцоолох буюу масштаблах ба олон гаралтын урсгал тус бүрийн гаралтын өгөгдлийг сонгоно</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4</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 xml:space="preserve">PDC нь гаралтын урсгал бүрд өгөгдлийн багц </w:t>
            </w:r>
            <w:r w:rsidRPr="00EF2D2B">
              <w:rPr>
                <w:sz w:val="20"/>
                <w:szCs w:val="20"/>
                <w:lang w:val="mn-MN"/>
              </w:rPr>
              <w:t>бүрд дотоод туршилтын горимын утгыг харуулдаг</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5</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нэг буюу хэд хэдэн гаралтын өгөгдлийн урсгалыг форматлах, хамгаалах, хэвлэх</w:t>
            </w:r>
            <w:r w:rsidRPr="00EF2D2B">
              <w:rPr>
                <w:sz w:val="20"/>
                <w:szCs w:val="20"/>
                <w:lang w:val="mn-MN"/>
              </w:rPr>
              <w:t xml:space="preserve"> буюу илгээдэг</w:t>
            </w:r>
          </w:p>
        </w:tc>
      </w:tr>
    </w:tbl>
    <w:p w:rsidR="00D54D3B" w:rsidRPr="00D54D3B" w:rsidRDefault="00D54D3B" w:rsidP="00D54D3B">
      <w:pPr>
        <w:pStyle w:val="TableParagraph"/>
        <w:tabs>
          <w:tab w:val="left" w:pos="0"/>
        </w:tabs>
        <w:spacing w:before="58" w:line="276" w:lineRule="auto"/>
        <w:ind w:right="305"/>
        <w:jc w:val="both"/>
        <w:rPr>
          <w:rFonts w:eastAsiaTheme="minorHAnsi"/>
          <w:sz w:val="24"/>
          <w:szCs w:val="24"/>
          <w:lang w:val="mn-MN"/>
        </w:rPr>
      </w:pPr>
      <w:r w:rsidRPr="00D54D3B">
        <w:rPr>
          <w:sz w:val="24"/>
          <w:szCs w:val="24"/>
          <w:lang w:val="mn-MN"/>
        </w:rPr>
        <w:t>Data receiving – test</w:t>
      </w:r>
      <w:r w:rsidRPr="00D54D3B">
        <w:rPr>
          <w:rFonts w:eastAsiaTheme="minorHAnsi"/>
          <w:sz w:val="24"/>
          <w:szCs w:val="24"/>
          <w:lang w:val="mn-MN"/>
        </w:rPr>
        <w:t xml:space="preserve"> mode</w:t>
      </w:r>
    </w:p>
    <w:tbl>
      <w:tblPr>
        <w:tblStyle w:val="TableGrid"/>
        <w:tblW w:w="0" w:type="auto"/>
        <w:tblLook w:val="04A0" w:firstRow="1" w:lastRow="0" w:firstColumn="1" w:lastColumn="0" w:noHBand="0" w:noVBand="1"/>
      </w:tblPr>
      <w:tblGrid>
        <w:gridCol w:w="1980"/>
        <w:gridCol w:w="7364"/>
      </w:tblGrid>
      <w:tr w:rsidR="00D54D3B" w:rsidRPr="00731F96" w:rsidTr="00D54D3B">
        <w:tc>
          <w:tcPr>
            <w:tcW w:w="1980" w:type="dxa"/>
          </w:tcPr>
          <w:p w:rsidR="00D54D3B" w:rsidRPr="00EF2D2B" w:rsidRDefault="00D54D3B"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D54D3B" w:rsidRPr="00EF2D2B" w:rsidRDefault="00D54D3B"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1</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receives synchrophasor data from multiple PMU, ssPDC, or PDC sources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2</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ssPDC converts communications protocol of each data input</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3</w:t>
            </w:r>
          </w:p>
        </w:tc>
        <w:tc>
          <w:tcPr>
            <w:tcW w:w="7364"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ssPDC validates, aligns, decimates or interpolates data inputs, calculates or scales  values, and selects output data for each of multiple output streams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4</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maps local test mode value to each dataset in each output stream</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5</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formats, secures, and publishes or sends one or more output data streams</w:t>
            </w:r>
          </w:p>
        </w:tc>
      </w:tr>
    </w:tbl>
    <w:p w:rsidR="00D54D3B" w:rsidRDefault="00D54D3B" w:rsidP="00D54D3B">
      <w:pPr>
        <w:ind w:left="0" w:firstLine="0"/>
        <w:rPr>
          <w:b/>
        </w:rPr>
      </w:pPr>
    </w:p>
    <w:p w:rsidR="00D54D3B" w:rsidRPr="00D54D3B" w:rsidRDefault="00D54D3B" w:rsidP="00D54D3B">
      <w:pPr>
        <w:pStyle w:val="TableParagraph"/>
        <w:tabs>
          <w:tab w:val="left" w:pos="0"/>
        </w:tabs>
        <w:spacing w:before="58" w:line="276" w:lineRule="auto"/>
        <w:ind w:right="305"/>
        <w:jc w:val="both"/>
        <w:rPr>
          <w:sz w:val="24"/>
          <w:szCs w:val="24"/>
          <w:lang w:val="mn-MN"/>
        </w:rPr>
      </w:pPr>
      <w:r w:rsidRPr="00D54D3B">
        <w:rPr>
          <w:sz w:val="24"/>
          <w:szCs w:val="24"/>
          <w:lang w:val="mn-MN"/>
        </w:rPr>
        <w:t>Ажиллагаанд оруулах</w:t>
      </w:r>
    </w:p>
    <w:tbl>
      <w:tblPr>
        <w:tblStyle w:val="TableGrid"/>
        <w:tblW w:w="0" w:type="auto"/>
        <w:tblLook w:val="04A0" w:firstRow="1" w:lastRow="0" w:firstColumn="1" w:lastColumn="0" w:noHBand="0" w:noVBand="1"/>
      </w:tblPr>
      <w:tblGrid>
        <w:gridCol w:w="1696"/>
        <w:gridCol w:w="7648"/>
      </w:tblGrid>
      <w:tr w:rsidR="00D54D3B" w:rsidRPr="00EF2D2B" w:rsidTr="00D54D3B">
        <w:tc>
          <w:tcPr>
            <w:tcW w:w="1696" w:type="dxa"/>
          </w:tcPr>
          <w:p w:rsidR="00D54D3B" w:rsidRPr="00EF2D2B" w:rsidRDefault="00D54D3B"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D54D3B" w:rsidRPr="00731F96" w:rsidRDefault="00D54D3B"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tcPr>
          <w:p w:rsidR="00D54D3B" w:rsidRPr="00EF2D2B" w:rsidRDefault="00D54D3B" w:rsidP="00D54D3B">
            <w:pPr>
              <w:pStyle w:val="TableParagraph"/>
              <w:tabs>
                <w:tab w:val="left" w:pos="0"/>
              </w:tabs>
              <w:spacing w:line="276" w:lineRule="auto"/>
              <w:ind w:right="305"/>
              <w:jc w:val="both"/>
              <w:rPr>
                <w:sz w:val="20"/>
                <w:szCs w:val="20"/>
                <w:lang w:val="mn-MN"/>
              </w:rPr>
            </w:pPr>
            <w:r w:rsidRPr="00EF2D2B">
              <w:rPr>
                <w:sz w:val="20"/>
                <w:szCs w:val="20"/>
                <w:lang w:val="mn-MN"/>
              </w:rPr>
              <w:t>PDC нь шугам унтрах байх үед тохируулагдсан</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2</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PDC нь эрчимжилт ба гүйдлийн оролтын тохиргоог ашигладаг</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3</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PDC нь өгөгдөл оруулах бүрд мэдээлэл дамжуулах протоколыг хөрвүүлдэг</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4</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PDC нь оролт бүрийн тохиргоо ба ConfRev-ийг баталгаажуулдаг</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5</w:t>
            </w:r>
          </w:p>
        </w:tc>
        <w:tc>
          <w:tcPr>
            <w:tcW w:w="7648" w:type="dxa"/>
          </w:tcPr>
          <w:p w:rsidR="00D54D3B" w:rsidRPr="00731F96" w:rsidRDefault="00D54D3B" w:rsidP="00D54D3B">
            <w:pPr>
              <w:pStyle w:val="TableParagraph"/>
              <w:tabs>
                <w:tab w:val="left" w:pos="0"/>
              </w:tabs>
              <w:spacing w:line="276" w:lineRule="auto"/>
              <w:ind w:right="305"/>
              <w:jc w:val="both"/>
              <w:rPr>
                <w:sz w:val="20"/>
                <w:szCs w:val="20"/>
                <w:lang w:val="mn-MN"/>
              </w:rPr>
            </w:pPr>
            <w:r w:rsidRPr="00D54D3B">
              <w:rPr>
                <w:sz w:val="20"/>
                <w:szCs w:val="20"/>
                <w:lang w:val="mn-MN"/>
              </w:rPr>
              <w:t>PDC нь PDC буюу оролтод сонгогдсон туршилтын горимууд ба тохирох ConfRev-тай хамт илгээх/хүлээн авч эхэлнэ.</w:t>
            </w:r>
          </w:p>
        </w:tc>
      </w:tr>
    </w:tbl>
    <w:p w:rsidR="00D54D3B" w:rsidRPr="00D54D3B" w:rsidRDefault="00D54D3B" w:rsidP="00D54D3B">
      <w:pPr>
        <w:pStyle w:val="TableParagraph"/>
        <w:tabs>
          <w:tab w:val="left" w:pos="0"/>
        </w:tabs>
        <w:spacing w:before="58" w:line="276" w:lineRule="auto"/>
        <w:ind w:right="305"/>
        <w:jc w:val="both"/>
        <w:rPr>
          <w:sz w:val="24"/>
          <w:szCs w:val="24"/>
          <w:lang w:val="mn-MN"/>
        </w:rPr>
      </w:pPr>
      <w:r w:rsidRPr="00D54D3B">
        <w:rPr>
          <w:sz w:val="24"/>
          <w:szCs w:val="24"/>
          <w:lang w:val="mn-MN"/>
        </w:rPr>
        <w:t>Commissioning</w:t>
      </w:r>
    </w:p>
    <w:tbl>
      <w:tblPr>
        <w:tblStyle w:val="TableGrid"/>
        <w:tblW w:w="0" w:type="auto"/>
        <w:tblLook w:val="04A0" w:firstRow="1" w:lastRow="0" w:firstColumn="1" w:lastColumn="0" w:noHBand="0" w:noVBand="1"/>
      </w:tblPr>
      <w:tblGrid>
        <w:gridCol w:w="1980"/>
        <w:gridCol w:w="7364"/>
      </w:tblGrid>
      <w:tr w:rsidR="00D54D3B" w:rsidRPr="00731F96" w:rsidTr="00D54D3B">
        <w:tc>
          <w:tcPr>
            <w:tcW w:w="1980" w:type="dxa"/>
          </w:tcPr>
          <w:p w:rsidR="00D54D3B" w:rsidRPr="00EF2D2B" w:rsidRDefault="00D54D3B"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D54D3B" w:rsidRPr="00EF2D2B" w:rsidRDefault="00D54D3B"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1</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is configured while off line</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2</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is energized and applies current input configuration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3</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converts communications protocol of each data input</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4</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validates configuration and ConfRev of each input</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lastRenderedPageBreak/>
              <w:t>Step 5</w:t>
            </w:r>
          </w:p>
        </w:tc>
        <w:tc>
          <w:tcPr>
            <w:tcW w:w="7364"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commences receiving/sending with test modes as  selected in PDC or inputs, and  with appropriate ConfRev</w:t>
            </w:r>
          </w:p>
        </w:tc>
      </w:tr>
    </w:tbl>
    <w:p w:rsidR="00D54D3B" w:rsidRDefault="00D54D3B" w:rsidP="00811BEA">
      <w:pPr>
        <w:ind w:left="0" w:firstLine="0"/>
        <w:jc w:val="center"/>
        <w:rPr>
          <w:b/>
        </w:rPr>
      </w:pPr>
    </w:p>
    <w:p w:rsidR="00D54D3B" w:rsidRPr="00D54D3B" w:rsidRDefault="00D54D3B" w:rsidP="00D54D3B">
      <w:pPr>
        <w:pStyle w:val="TableParagraph"/>
        <w:tabs>
          <w:tab w:val="left" w:pos="0"/>
        </w:tabs>
        <w:spacing w:before="58" w:line="276" w:lineRule="auto"/>
        <w:ind w:right="305"/>
        <w:jc w:val="both"/>
        <w:rPr>
          <w:sz w:val="24"/>
          <w:szCs w:val="24"/>
          <w:lang w:val="mn-MN"/>
        </w:rPr>
      </w:pPr>
      <w:r w:rsidRPr="00D54D3B">
        <w:rPr>
          <w:sz w:val="24"/>
          <w:szCs w:val="24"/>
          <w:lang w:val="mn-MN"/>
        </w:rPr>
        <w:t>Оролтын өөрчлөлт</w:t>
      </w:r>
    </w:p>
    <w:tbl>
      <w:tblPr>
        <w:tblStyle w:val="TableGrid"/>
        <w:tblW w:w="0" w:type="auto"/>
        <w:tblLook w:val="04A0" w:firstRow="1" w:lastRow="0" w:firstColumn="1" w:lastColumn="0" w:noHBand="0" w:noVBand="1"/>
      </w:tblPr>
      <w:tblGrid>
        <w:gridCol w:w="1696"/>
        <w:gridCol w:w="7648"/>
      </w:tblGrid>
      <w:tr w:rsidR="00D54D3B" w:rsidRPr="00EF2D2B" w:rsidTr="00D54D3B">
        <w:tc>
          <w:tcPr>
            <w:tcW w:w="1696" w:type="dxa"/>
          </w:tcPr>
          <w:p w:rsidR="00D54D3B" w:rsidRPr="00EF2D2B" w:rsidRDefault="00D54D3B"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D54D3B" w:rsidRPr="00731F96" w:rsidRDefault="00D54D3B"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PDC нь оролт бүрийн тохиргооны өөрчлөлт ба ConfRev-ийг тодорхойлдог. Өөрчлөлт нь зориудын локалбуюу өргөн хүрээний шинэчлэлтийн явцад хүлээгдэж буй үйл явдал буюу тохиргооны алдаа гарсантай холбоотой байж болно</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2</w:t>
            </w:r>
          </w:p>
        </w:tc>
        <w:tc>
          <w:tcPr>
            <w:tcW w:w="7648"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нь өөрчлөгдсөн гаралтын өгөгдлийн чанарыг муугаар тодорхойлж, үүсгүүрүүдийг тодорхойлох боломжгүй тохиолдолд тэг утгыг оруулна</w:t>
            </w:r>
          </w:p>
        </w:tc>
      </w:tr>
      <w:tr w:rsidR="00D54D3B" w:rsidRPr="00D54D3B" w:rsidTr="00D54D3B">
        <w:tc>
          <w:tcPr>
            <w:tcW w:w="1696"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3</w:t>
            </w:r>
          </w:p>
        </w:tc>
        <w:tc>
          <w:tcPr>
            <w:tcW w:w="7648"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PDC нь оролтын шинэ ConfRev-ийг танихын тулд түүний тохиргоо шинэчлэгдэх хүртэл локал дохиоллын гаралтыг бий болгодог</w:t>
            </w:r>
          </w:p>
        </w:tc>
      </w:tr>
    </w:tbl>
    <w:p w:rsidR="00D54D3B" w:rsidRPr="00D54D3B" w:rsidRDefault="00D54D3B" w:rsidP="00D54D3B">
      <w:pPr>
        <w:pStyle w:val="TableParagraph"/>
        <w:tabs>
          <w:tab w:val="left" w:pos="0"/>
        </w:tabs>
        <w:spacing w:before="58" w:line="276" w:lineRule="auto"/>
        <w:ind w:right="305"/>
        <w:jc w:val="both"/>
        <w:rPr>
          <w:sz w:val="24"/>
          <w:szCs w:val="24"/>
        </w:rPr>
      </w:pPr>
      <w:r>
        <w:rPr>
          <w:sz w:val="24"/>
          <w:szCs w:val="24"/>
        </w:rPr>
        <w:t>Input change</w:t>
      </w:r>
    </w:p>
    <w:tbl>
      <w:tblPr>
        <w:tblStyle w:val="TableGrid"/>
        <w:tblW w:w="0" w:type="auto"/>
        <w:tblLook w:val="04A0" w:firstRow="1" w:lastRow="0" w:firstColumn="1" w:lastColumn="0" w:noHBand="0" w:noVBand="1"/>
      </w:tblPr>
      <w:tblGrid>
        <w:gridCol w:w="1980"/>
        <w:gridCol w:w="7364"/>
      </w:tblGrid>
      <w:tr w:rsidR="00D54D3B" w:rsidRPr="00731F96" w:rsidTr="00D54D3B">
        <w:tc>
          <w:tcPr>
            <w:tcW w:w="1980" w:type="dxa"/>
          </w:tcPr>
          <w:p w:rsidR="00D54D3B" w:rsidRPr="00EF2D2B" w:rsidRDefault="00D54D3B"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D54D3B" w:rsidRPr="00EF2D2B" w:rsidRDefault="00D54D3B"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1</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detects change of configuration and ConfRev of each input. A change may be an expected event in an intentional local or wide area updating process, or may be due to a configuration error</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2</w:t>
            </w:r>
          </w:p>
        </w:tc>
        <w:tc>
          <w:tcPr>
            <w:tcW w:w="7364"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marks bad quality for changed output data, and inserts null data if  source  data cannot be identified</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3</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generates local alarm output until its configuration is updated to recognize new ConfRev of inputs</w:t>
            </w:r>
          </w:p>
        </w:tc>
      </w:tr>
    </w:tbl>
    <w:p w:rsidR="00D54D3B" w:rsidRDefault="00D54D3B" w:rsidP="00811BEA">
      <w:pPr>
        <w:ind w:left="0" w:firstLine="0"/>
        <w:jc w:val="center"/>
        <w:rPr>
          <w:b/>
        </w:rPr>
      </w:pPr>
    </w:p>
    <w:p w:rsidR="00D54D3B" w:rsidRPr="00D54D3B" w:rsidRDefault="00D54D3B" w:rsidP="00D54D3B">
      <w:pPr>
        <w:pStyle w:val="TableParagraph"/>
        <w:tabs>
          <w:tab w:val="left" w:pos="0"/>
        </w:tabs>
        <w:spacing w:before="58" w:line="276" w:lineRule="auto"/>
        <w:ind w:right="305"/>
        <w:jc w:val="both"/>
        <w:rPr>
          <w:sz w:val="24"/>
          <w:szCs w:val="24"/>
        </w:rPr>
      </w:pPr>
      <w:r w:rsidRPr="00D54D3B">
        <w:rPr>
          <w:sz w:val="24"/>
          <w:szCs w:val="24"/>
        </w:rPr>
        <w:t>Оролтын гэмтэл</w:t>
      </w:r>
    </w:p>
    <w:tbl>
      <w:tblPr>
        <w:tblStyle w:val="TableGrid"/>
        <w:tblW w:w="0" w:type="auto"/>
        <w:tblLook w:val="04A0" w:firstRow="1" w:lastRow="0" w:firstColumn="1" w:lastColumn="0" w:noHBand="0" w:noVBand="1"/>
      </w:tblPr>
      <w:tblGrid>
        <w:gridCol w:w="1696"/>
        <w:gridCol w:w="7648"/>
      </w:tblGrid>
      <w:tr w:rsidR="00D54D3B" w:rsidRPr="00EF2D2B" w:rsidTr="00D54D3B">
        <w:tc>
          <w:tcPr>
            <w:tcW w:w="1696" w:type="dxa"/>
          </w:tcPr>
          <w:p w:rsidR="00D54D3B" w:rsidRPr="00EF2D2B" w:rsidRDefault="00D54D3B"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D54D3B" w:rsidRPr="00731F96" w:rsidRDefault="00D54D3B"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54D3B" w:rsidRPr="00D54D3B" w:rsidTr="00D54D3B">
        <w:tc>
          <w:tcPr>
            <w:tcW w:w="1696"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 xml:space="preserve">Нэг буюу олон хүлээн авсан буюу захиалсан оролтын урсгалуудыг </w:t>
            </w:r>
            <w:r w:rsidRPr="00EF2D2B">
              <w:rPr>
                <w:sz w:val="20"/>
                <w:szCs w:val="20"/>
                <w:lang w:val="mn-MN"/>
              </w:rPr>
              <w:t>цуцалдаг</w:t>
            </w:r>
          </w:p>
        </w:tc>
      </w:tr>
      <w:tr w:rsidR="00D54D3B" w:rsidRPr="00D54D3B" w:rsidTr="00D54D3B">
        <w:tc>
          <w:tcPr>
            <w:tcW w:w="1696"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2</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чанарын хувьд муу үзүүлэлтүүдийг гаралтын мессежний төлөвийн объектуудад харуулдаг</w:t>
            </w:r>
          </w:p>
        </w:tc>
      </w:tr>
      <w:tr w:rsidR="00D54D3B" w:rsidRPr="00D54D3B" w:rsidTr="00D54D3B">
        <w:tc>
          <w:tcPr>
            <w:tcW w:w="1696"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3</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гаралтын урсгалд шаардлагатай бол тэг утгыг оруулна</w:t>
            </w:r>
          </w:p>
        </w:tc>
      </w:tr>
      <w:tr w:rsidR="00D54D3B" w:rsidRPr="00D54D3B" w:rsidTr="00D54D3B">
        <w:tc>
          <w:tcPr>
            <w:tcW w:w="1696"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4</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оролтын урсгал сэргээгдэх хүртэл дотоод дохиоллын гаралтыг бий болгодог</w:t>
            </w:r>
          </w:p>
        </w:tc>
      </w:tr>
    </w:tbl>
    <w:p w:rsidR="00D54D3B" w:rsidRPr="00D54D3B" w:rsidRDefault="00D54D3B" w:rsidP="00D54D3B">
      <w:pPr>
        <w:pStyle w:val="TableParagraph"/>
        <w:tabs>
          <w:tab w:val="left" w:pos="0"/>
        </w:tabs>
        <w:spacing w:before="58" w:line="276" w:lineRule="auto"/>
        <w:ind w:right="305"/>
        <w:jc w:val="both"/>
        <w:rPr>
          <w:sz w:val="24"/>
          <w:szCs w:val="24"/>
        </w:rPr>
      </w:pPr>
      <w:r w:rsidRPr="00D54D3B">
        <w:rPr>
          <w:sz w:val="24"/>
          <w:szCs w:val="24"/>
        </w:rPr>
        <w:t>Input failure</w:t>
      </w:r>
    </w:p>
    <w:tbl>
      <w:tblPr>
        <w:tblStyle w:val="TableGrid"/>
        <w:tblW w:w="0" w:type="auto"/>
        <w:tblLook w:val="04A0" w:firstRow="1" w:lastRow="0" w:firstColumn="1" w:lastColumn="0" w:noHBand="0" w:noVBand="1"/>
      </w:tblPr>
      <w:tblGrid>
        <w:gridCol w:w="1980"/>
        <w:gridCol w:w="7364"/>
      </w:tblGrid>
      <w:tr w:rsidR="00D54D3B" w:rsidRPr="00731F96" w:rsidTr="00D54D3B">
        <w:tc>
          <w:tcPr>
            <w:tcW w:w="1980" w:type="dxa"/>
          </w:tcPr>
          <w:p w:rsidR="00D54D3B" w:rsidRPr="00EF2D2B" w:rsidRDefault="00D54D3B"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D54D3B" w:rsidRPr="00EF2D2B" w:rsidRDefault="00D54D3B"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1</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One or multiple received or subscribed input streams ceases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2</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maps bad quality indications to appropriate output message status objects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3</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inserts null values as required in output streams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4</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generates local alarm output until input stream is restored</w:t>
            </w:r>
          </w:p>
        </w:tc>
      </w:tr>
    </w:tbl>
    <w:p w:rsidR="00D54D3B" w:rsidRDefault="00D54D3B" w:rsidP="00811BEA">
      <w:pPr>
        <w:ind w:left="0" w:firstLine="0"/>
        <w:jc w:val="center"/>
        <w:rPr>
          <w:b/>
        </w:rPr>
      </w:pPr>
    </w:p>
    <w:p w:rsidR="00D54D3B" w:rsidRPr="00D54D3B" w:rsidRDefault="00D54D3B" w:rsidP="00D54D3B">
      <w:pPr>
        <w:pStyle w:val="TableParagraph"/>
        <w:tabs>
          <w:tab w:val="left" w:pos="0"/>
        </w:tabs>
        <w:spacing w:before="58" w:line="276" w:lineRule="auto"/>
        <w:ind w:right="305"/>
        <w:jc w:val="both"/>
        <w:rPr>
          <w:sz w:val="24"/>
          <w:szCs w:val="24"/>
        </w:rPr>
      </w:pPr>
      <w:r w:rsidRPr="00D54D3B">
        <w:rPr>
          <w:sz w:val="24"/>
          <w:szCs w:val="24"/>
        </w:rPr>
        <w:t>Идэвхгүй болгох/идэвхжүүлэх буюухориг тавих/нөхөх</w:t>
      </w:r>
    </w:p>
    <w:tbl>
      <w:tblPr>
        <w:tblStyle w:val="TableGrid"/>
        <w:tblW w:w="0" w:type="auto"/>
        <w:tblLook w:val="04A0" w:firstRow="1" w:lastRow="0" w:firstColumn="1" w:lastColumn="0" w:noHBand="0" w:noVBand="1"/>
      </w:tblPr>
      <w:tblGrid>
        <w:gridCol w:w="1696"/>
        <w:gridCol w:w="7648"/>
      </w:tblGrid>
      <w:tr w:rsidR="00D54D3B" w:rsidRPr="00EF2D2B" w:rsidTr="00D54D3B">
        <w:tc>
          <w:tcPr>
            <w:tcW w:w="1696" w:type="dxa"/>
          </w:tcPr>
          <w:p w:rsidR="00D54D3B" w:rsidRPr="00EF2D2B" w:rsidRDefault="00D54D3B"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D54D3B" w:rsidRPr="00731F96" w:rsidRDefault="00D54D3B"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54D3B" w:rsidRPr="00D54D3B" w:rsidTr="00D54D3B">
        <w:tc>
          <w:tcPr>
            <w:tcW w:w="1696"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shd w:val="clear" w:color="auto" w:fill="auto"/>
          </w:tcPr>
          <w:p w:rsidR="00D54D3B" w:rsidRPr="00731F96" w:rsidRDefault="00D54D3B" w:rsidP="00D54D3B">
            <w:pPr>
              <w:pStyle w:val="TableParagraph"/>
              <w:tabs>
                <w:tab w:val="left" w:pos="0"/>
              </w:tabs>
              <w:spacing w:line="276" w:lineRule="auto"/>
              <w:ind w:right="305"/>
              <w:jc w:val="both"/>
              <w:rPr>
                <w:sz w:val="20"/>
                <w:szCs w:val="20"/>
                <w:lang w:val="mn-MN"/>
              </w:rPr>
            </w:pPr>
            <w:r w:rsidRPr="00731F96">
              <w:rPr>
                <w:sz w:val="20"/>
                <w:szCs w:val="20"/>
                <w:lang w:val="mn-MN"/>
              </w:rPr>
              <w:t>PDC идэвхгүй болсон</w:t>
            </w:r>
          </w:p>
        </w:tc>
      </w:tr>
      <w:tr w:rsidR="00D54D3B" w:rsidRPr="00D54D3B" w:rsidTr="00D54D3B">
        <w:tc>
          <w:tcPr>
            <w:tcW w:w="1696" w:type="dxa"/>
            <w:shd w:val="clear" w:color="auto" w:fill="auto"/>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2</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идэвхэжсэн</w:t>
            </w:r>
          </w:p>
        </w:tc>
      </w:tr>
      <w:tr w:rsidR="00D54D3B" w:rsidRPr="00D54D3B" w:rsidTr="00D54D3B">
        <w:tc>
          <w:tcPr>
            <w:tcW w:w="1696" w:type="dxa"/>
            <w:shd w:val="clear" w:color="auto" w:fill="auto"/>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3</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өөрийн тохиргоо өөрчлөгдөөгүйг баталгаажуулдаг</w:t>
            </w:r>
          </w:p>
        </w:tc>
      </w:tr>
      <w:tr w:rsidR="00D54D3B" w:rsidRPr="00D54D3B" w:rsidTr="00D54D3B">
        <w:tc>
          <w:tcPr>
            <w:tcW w:w="1696" w:type="dxa"/>
            <w:shd w:val="clear" w:color="auto" w:fill="auto"/>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4</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өгөгдөл оруулах бүрд мэдээлэл дамжуулах протоколыг хөрвүүлдэг</w:t>
            </w:r>
          </w:p>
        </w:tc>
      </w:tr>
      <w:tr w:rsidR="00D54D3B" w:rsidRPr="00D54D3B" w:rsidTr="00D54D3B">
        <w:tc>
          <w:tcPr>
            <w:tcW w:w="1696" w:type="dxa"/>
            <w:shd w:val="clear" w:color="auto" w:fill="auto"/>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lastRenderedPageBreak/>
              <w:t>Алхам 5</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нь оролт бүрийн тохиргоо ба ConfRev-ийг баталгаажуулдаг</w:t>
            </w:r>
          </w:p>
        </w:tc>
      </w:tr>
      <w:tr w:rsidR="00D54D3B" w:rsidRPr="00D54D3B" w:rsidTr="00D54D3B">
        <w:tc>
          <w:tcPr>
            <w:tcW w:w="1696" w:type="dxa"/>
            <w:shd w:val="clear" w:color="auto" w:fill="auto"/>
          </w:tcPr>
          <w:p w:rsidR="00D54D3B" w:rsidRPr="00D54D3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Алхам 6</w:t>
            </w:r>
          </w:p>
        </w:tc>
        <w:tc>
          <w:tcPr>
            <w:tcW w:w="7648"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PDC нь PDC буюу оролтод сонгогдсон туршилтын горимууд ба тохирох ConfRev-тай хамт илгээх/хүлээн авч эхэлнэ. IEEE C37.118.2-т 1 минутын өөрчлөлтийн флагийн эффектийг авч үзэх.</w:t>
            </w:r>
          </w:p>
        </w:tc>
      </w:tr>
    </w:tbl>
    <w:p w:rsidR="00D54D3B" w:rsidRPr="00D54D3B" w:rsidRDefault="00D54D3B" w:rsidP="00D54D3B">
      <w:pPr>
        <w:pStyle w:val="TableParagraph"/>
        <w:tabs>
          <w:tab w:val="left" w:pos="0"/>
        </w:tabs>
        <w:spacing w:before="58" w:line="276" w:lineRule="auto"/>
        <w:ind w:right="305"/>
        <w:jc w:val="both"/>
        <w:rPr>
          <w:sz w:val="24"/>
          <w:szCs w:val="24"/>
        </w:rPr>
      </w:pPr>
      <w:r w:rsidRPr="00D54D3B">
        <w:rPr>
          <w:sz w:val="24"/>
          <w:szCs w:val="24"/>
        </w:rPr>
        <w:t>Deenergization/reenergization or fail/replace</w:t>
      </w:r>
    </w:p>
    <w:tbl>
      <w:tblPr>
        <w:tblStyle w:val="TableGrid"/>
        <w:tblW w:w="0" w:type="auto"/>
        <w:tblLook w:val="04A0" w:firstRow="1" w:lastRow="0" w:firstColumn="1" w:lastColumn="0" w:noHBand="0" w:noVBand="1"/>
      </w:tblPr>
      <w:tblGrid>
        <w:gridCol w:w="1980"/>
        <w:gridCol w:w="7364"/>
      </w:tblGrid>
      <w:tr w:rsidR="00D54D3B" w:rsidRPr="00731F96" w:rsidTr="00D54D3B">
        <w:tc>
          <w:tcPr>
            <w:tcW w:w="1980" w:type="dxa"/>
          </w:tcPr>
          <w:p w:rsidR="00D54D3B" w:rsidRPr="00EF2D2B" w:rsidRDefault="00D54D3B"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D54D3B" w:rsidRPr="00EF2D2B" w:rsidRDefault="00D54D3B"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1</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is deenergized</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2</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is reenergized.</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3</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validates that its own configuration has not changed</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Step 4</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converts communications protocol of each data input</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 xml:space="preserve">Step 5 </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validates configuration and ConfRev of each input</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 xml:space="preserve">Step 6 </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PDC commences receiving/sending with test modes as selected in ODC or inout, and with appropriate ConfRev. Consider effect of one minute change flag in IEEE C37.118.2</w:t>
            </w:r>
          </w:p>
        </w:tc>
      </w:tr>
    </w:tbl>
    <w:p w:rsidR="00D54D3B" w:rsidRDefault="00D54D3B" w:rsidP="00811BEA">
      <w:pPr>
        <w:ind w:left="0" w:firstLine="0"/>
        <w:jc w:val="center"/>
        <w:rPr>
          <w:b/>
        </w:rPr>
      </w:pPr>
    </w:p>
    <w:p w:rsidR="00D54D3B" w:rsidRPr="00D54D3B" w:rsidRDefault="00D54D3B" w:rsidP="00D54D3B">
      <w:pPr>
        <w:pStyle w:val="TableParagraph"/>
        <w:tabs>
          <w:tab w:val="left" w:pos="0"/>
        </w:tabs>
        <w:spacing w:before="58" w:line="276" w:lineRule="auto"/>
        <w:ind w:right="305"/>
        <w:jc w:val="both"/>
        <w:rPr>
          <w:sz w:val="24"/>
          <w:szCs w:val="24"/>
        </w:rPr>
      </w:pPr>
      <w:r w:rsidRPr="00D54D3B">
        <w:rPr>
          <w:sz w:val="24"/>
          <w:szCs w:val="24"/>
        </w:rPr>
        <w:t>Өгөгдөл хүлээн авах – хэрэглэгчийн аппликейшин</w:t>
      </w:r>
    </w:p>
    <w:tbl>
      <w:tblPr>
        <w:tblStyle w:val="TableGrid"/>
        <w:tblW w:w="0" w:type="auto"/>
        <w:tblLook w:val="04A0" w:firstRow="1" w:lastRow="0" w:firstColumn="1" w:lastColumn="0" w:noHBand="0" w:noVBand="1"/>
      </w:tblPr>
      <w:tblGrid>
        <w:gridCol w:w="1696"/>
        <w:gridCol w:w="7648"/>
      </w:tblGrid>
      <w:tr w:rsidR="00D54D3B" w:rsidRPr="00EF2D2B" w:rsidTr="00D54D3B">
        <w:tc>
          <w:tcPr>
            <w:tcW w:w="1696" w:type="dxa"/>
          </w:tcPr>
          <w:p w:rsidR="00D54D3B" w:rsidRPr="00EF2D2B" w:rsidRDefault="00D54D3B" w:rsidP="00D54D3B">
            <w:pPr>
              <w:pStyle w:val="TableParagraph"/>
              <w:tabs>
                <w:tab w:val="left" w:pos="0"/>
              </w:tabs>
              <w:spacing w:line="276" w:lineRule="auto"/>
              <w:ind w:left="309"/>
              <w:rPr>
                <w:b/>
                <w:sz w:val="20"/>
                <w:szCs w:val="20"/>
                <w:lang w:val="mn-MN"/>
              </w:rPr>
            </w:pPr>
            <w:r>
              <w:rPr>
                <w:b/>
                <w:sz w:val="20"/>
                <w:szCs w:val="20"/>
                <w:lang w:val="mn-MN"/>
              </w:rPr>
              <w:t>Алхмууд</w:t>
            </w:r>
          </w:p>
        </w:tc>
        <w:tc>
          <w:tcPr>
            <w:tcW w:w="7648" w:type="dxa"/>
          </w:tcPr>
          <w:p w:rsidR="00D54D3B" w:rsidRPr="00731F96" w:rsidRDefault="00D54D3B" w:rsidP="00D54D3B">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54D3B" w:rsidRPr="00D54D3B" w:rsidTr="00D54D3B">
        <w:tc>
          <w:tcPr>
            <w:tcW w:w="1696"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1</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Хэрэглэгчийн аппликейшин нь PDC-ээс өгөгдлийн урсгалыг хүлээн авах буюу бүртгэх</w:t>
            </w:r>
          </w:p>
        </w:tc>
      </w:tr>
      <w:tr w:rsidR="00D54D3B" w:rsidRPr="00D54D3B" w:rsidTr="00D54D3B">
        <w:tc>
          <w:tcPr>
            <w:tcW w:w="1696"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2</w:t>
            </w:r>
          </w:p>
        </w:tc>
        <w:tc>
          <w:tcPr>
            <w:tcW w:w="7648" w:type="dxa"/>
            <w:shd w:val="clear" w:color="auto" w:fill="auto"/>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Хэрэглэгчийн аппликейшин нь холбогдох аппликейшний ашиглалтын тодорхой тохиолдлын дагуу синхрофазорын өгөгдлийг боловсруулдаг</w:t>
            </w:r>
          </w:p>
        </w:tc>
      </w:tr>
      <w:tr w:rsidR="00D54D3B" w:rsidRPr="00D54D3B" w:rsidTr="00D54D3B">
        <w:tc>
          <w:tcPr>
            <w:tcW w:w="1696"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EF2D2B">
              <w:rPr>
                <w:sz w:val="20"/>
                <w:szCs w:val="20"/>
                <w:lang w:val="mn-MN"/>
              </w:rPr>
              <w:t>Алхам 3</w:t>
            </w:r>
          </w:p>
        </w:tc>
        <w:tc>
          <w:tcPr>
            <w:tcW w:w="7648" w:type="dxa"/>
            <w:shd w:val="clear" w:color="auto" w:fill="auto"/>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Хэрэглэгчийн аппликейшин нь гаралтын тохирох</w:t>
            </w:r>
            <w:r w:rsidRPr="00D54D3B">
              <w:rPr>
                <w:sz w:val="20"/>
                <w:szCs w:val="20"/>
                <w:lang w:val="mn-MN"/>
              </w:rPr>
              <w:t>гарцбуюу хязгаарлагдмал байдлыг олж авахын тулд PDC-ээс өгөгдлийн урсгалд туршилтын горим ба чанарын утгыг боловсруулдаг</w:t>
            </w:r>
          </w:p>
        </w:tc>
      </w:tr>
    </w:tbl>
    <w:p w:rsidR="00D54D3B" w:rsidRPr="00D54D3B" w:rsidRDefault="00D54D3B" w:rsidP="00D54D3B">
      <w:pPr>
        <w:pStyle w:val="TableParagraph"/>
        <w:tabs>
          <w:tab w:val="left" w:pos="0"/>
        </w:tabs>
        <w:spacing w:before="58" w:line="276" w:lineRule="auto"/>
        <w:ind w:right="305"/>
        <w:jc w:val="both"/>
        <w:rPr>
          <w:sz w:val="24"/>
          <w:szCs w:val="24"/>
        </w:rPr>
      </w:pPr>
      <w:r>
        <w:rPr>
          <w:sz w:val="24"/>
          <w:szCs w:val="24"/>
        </w:rPr>
        <w:t>Data receiving – user applications</w:t>
      </w:r>
    </w:p>
    <w:tbl>
      <w:tblPr>
        <w:tblStyle w:val="TableGrid"/>
        <w:tblW w:w="0" w:type="auto"/>
        <w:tblLook w:val="04A0" w:firstRow="1" w:lastRow="0" w:firstColumn="1" w:lastColumn="0" w:noHBand="0" w:noVBand="1"/>
      </w:tblPr>
      <w:tblGrid>
        <w:gridCol w:w="1980"/>
        <w:gridCol w:w="7364"/>
      </w:tblGrid>
      <w:tr w:rsidR="00D54D3B" w:rsidRPr="00731F96" w:rsidTr="00D54D3B">
        <w:tc>
          <w:tcPr>
            <w:tcW w:w="1980" w:type="dxa"/>
          </w:tcPr>
          <w:p w:rsidR="00D54D3B" w:rsidRPr="00EF2D2B" w:rsidRDefault="00D54D3B" w:rsidP="00D54D3B">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64" w:type="dxa"/>
          </w:tcPr>
          <w:p w:rsidR="00D54D3B" w:rsidRPr="00EF2D2B" w:rsidRDefault="00D54D3B" w:rsidP="00D54D3B">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step</w:t>
            </w:r>
            <w:r w:rsidRPr="00EF2D2B">
              <w:rPr>
                <w:sz w:val="20"/>
                <w:szCs w:val="20"/>
                <w:lang w:val="mn-MN"/>
              </w:rPr>
              <w:t xml:space="preserve"> 1</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User application receives or subscribes to data stream from PDC</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step</w:t>
            </w:r>
            <w:r w:rsidRPr="00EF2D2B">
              <w:rPr>
                <w:sz w:val="20"/>
                <w:szCs w:val="20"/>
                <w:lang w:val="mn-MN"/>
              </w:rPr>
              <w:t xml:space="preserve"> 2</w:t>
            </w:r>
          </w:p>
        </w:tc>
        <w:tc>
          <w:tcPr>
            <w:tcW w:w="7364" w:type="dxa"/>
          </w:tcPr>
          <w:p w:rsidR="00D54D3B" w:rsidRPr="00731F96" w:rsidRDefault="00D54D3B" w:rsidP="00D54D3B">
            <w:pPr>
              <w:pStyle w:val="TableParagraph"/>
              <w:tabs>
                <w:tab w:val="left" w:pos="0"/>
              </w:tabs>
              <w:spacing w:before="58" w:line="276" w:lineRule="auto"/>
              <w:ind w:right="305"/>
              <w:jc w:val="both"/>
              <w:rPr>
                <w:sz w:val="20"/>
                <w:szCs w:val="20"/>
                <w:lang w:val="mn-MN"/>
              </w:rPr>
            </w:pPr>
            <w:r w:rsidRPr="00731F96">
              <w:rPr>
                <w:sz w:val="20"/>
                <w:szCs w:val="20"/>
                <w:lang w:val="mn-MN"/>
              </w:rPr>
              <w:t>User application processes respective applications</w:t>
            </w:r>
          </w:p>
        </w:tc>
      </w:tr>
      <w:tr w:rsidR="00D54D3B" w:rsidRPr="00731F96" w:rsidTr="00D54D3B">
        <w:tc>
          <w:tcPr>
            <w:tcW w:w="1980"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step</w:t>
            </w:r>
            <w:r w:rsidRPr="00EF2D2B">
              <w:rPr>
                <w:sz w:val="20"/>
                <w:szCs w:val="20"/>
                <w:lang w:val="mn-MN"/>
              </w:rPr>
              <w:t xml:space="preserve"> 3</w:t>
            </w:r>
          </w:p>
        </w:tc>
        <w:tc>
          <w:tcPr>
            <w:tcW w:w="7364" w:type="dxa"/>
          </w:tcPr>
          <w:p w:rsidR="00D54D3B" w:rsidRPr="00EF2D2B" w:rsidRDefault="00D54D3B" w:rsidP="00D54D3B">
            <w:pPr>
              <w:pStyle w:val="TableParagraph"/>
              <w:tabs>
                <w:tab w:val="left" w:pos="0"/>
              </w:tabs>
              <w:spacing w:before="58" w:line="276" w:lineRule="auto"/>
              <w:ind w:right="305"/>
              <w:jc w:val="both"/>
              <w:rPr>
                <w:sz w:val="20"/>
                <w:szCs w:val="20"/>
                <w:lang w:val="mn-MN"/>
              </w:rPr>
            </w:pPr>
            <w:r w:rsidRPr="00D54D3B">
              <w:rPr>
                <w:sz w:val="20"/>
                <w:szCs w:val="20"/>
                <w:lang w:val="mn-MN"/>
              </w:rPr>
              <w:t>User application processes test modes and quality values in data stream from PDC to  yield appropriate outputs or constrained behavior</w:t>
            </w:r>
          </w:p>
        </w:tc>
      </w:tr>
    </w:tbl>
    <w:p w:rsidR="00D54D3B" w:rsidRDefault="00D54D3B"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D54D3B" w:rsidTr="00D54D3B">
        <w:tc>
          <w:tcPr>
            <w:tcW w:w="4672" w:type="dxa"/>
          </w:tcPr>
          <w:p w:rsidR="00D54D3B" w:rsidRPr="00D54D3B" w:rsidRDefault="00D54D3B" w:rsidP="00D54D3B">
            <w:pPr>
              <w:tabs>
                <w:tab w:val="left" w:pos="0"/>
              </w:tabs>
              <w:ind w:left="0" w:firstLine="0"/>
              <w:rPr>
                <w:rFonts w:eastAsia="Calibri"/>
                <w:b/>
                <w:bCs/>
                <w:szCs w:val="22"/>
              </w:rPr>
            </w:pPr>
            <w:r w:rsidRPr="00D54D3B">
              <w:rPr>
                <w:rFonts w:eastAsia="Calibri"/>
                <w:b/>
                <w:bCs/>
                <w:szCs w:val="22"/>
              </w:rPr>
              <w:t>Хязгаарын шаардлага:</w:t>
            </w:r>
          </w:p>
          <w:p w:rsidR="00D54D3B" w:rsidRPr="00D54D3B" w:rsidRDefault="00D54D3B" w:rsidP="00D54D3B">
            <w:pPr>
              <w:tabs>
                <w:tab w:val="left" w:pos="0"/>
              </w:tabs>
              <w:ind w:left="0" w:firstLine="0"/>
              <w:rPr>
                <w:rFonts w:eastAsia="Calibri"/>
                <w:bCs/>
                <w:szCs w:val="22"/>
              </w:rPr>
            </w:pPr>
            <w:r w:rsidRPr="00D54D3B">
              <w:rPr>
                <w:rFonts w:eastAsia="Calibri"/>
                <w:bCs/>
                <w:szCs w:val="22"/>
              </w:rPr>
              <w:t xml:space="preserve">Синхронфазорын хэмжилтийг PDC-ууд дамжуулж янз бүрийн түүвэрлэлтийн хурдаар минут тутамд нэг удаа 100 эсвэл 120 хэмжилт хийх боломжтой. Хэмжилт нь IEEE  С37.118-2005, С37.118.1-2011, эсвэл IEC/IEEE60255-118-1 зэрэг стандартуудад нийцсэн. PDC-ууд нь шаталсан архитектуртай холбогддог бөгөөд хугацааны саатал нь аппликейшинуудад дамжуулах утгууд хуримтлагдсанаас үүсэж болзошгүй. Дараах хүснэгтэд тавигдах шаардлагуудын хамгийн бага утгыг </w:t>
            </w:r>
            <w:r w:rsidRPr="00D54D3B">
              <w:rPr>
                <w:rFonts w:eastAsia="Calibri"/>
                <w:bCs/>
                <w:szCs w:val="22"/>
              </w:rPr>
              <w:lastRenderedPageBreak/>
              <w:t>харуулав. Хэрэглэгчийн аппликейшин таниулагч нь бие даасан PMU-ийн саатал ба алдаанууд, түүнчлэн PDC-ийн дарааллын хуримтлагдсан саатал ба алдаанууд нь хэрэглээний шаардлагад нийцэж байгаа эсэхийг баталгаажуулах ёстой.PDC-ууд нь PMU-д хэрэглэсэн хугацааны тэмдэгтийн нарийвчлал, хугацааны синхрончлолын нарийвчлалын ангийг бууруулахгүй байхаар хийгдсэн байх ёстойг анхаарна уу.</w:t>
            </w:r>
          </w:p>
        </w:tc>
        <w:tc>
          <w:tcPr>
            <w:tcW w:w="4672" w:type="dxa"/>
          </w:tcPr>
          <w:p w:rsidR="00D54D3B" w:rsidRPr="00D54D3B" w:rsidRDefault="00D54D3B" w:rsidP="00D54D3B">
            <w:pPr>
              <w:tabs>
                <w:tab w:val="left" w:pos="0"/>
              </w:tabs>
              <w:ind w:left="0" w:firstLine="0"/>
              <w:rPr>
                <w:rFonts w:eastAsia="Calibri"/>
                <w:b/>
                <w:bCs/>
                <w:szCs w:val="22"/>
              </w:rPr>
            </w:pPr>
            <w:r w:rsidRPr="00D54D3B">
              <w:rPr>
                <w:rFonts w:eastAsia="Calibri"/>
                <w:b/>
                <w:bCs/>
                <w:szCs w:val="22"/>
              </w:rPr>
              <w:lastRenderedPageBreak/>
              <w:t>Constraints:</w:t>
            </w:r>
          </w:p>
          <w:p w:rsidR="00D54D3B" w:rsidRPr="00D54D3B" w:rsidRDefault="00D54D3B" w:rsidP="00D54D3B">
            <w:pPr>
              <w:tabs>
                <w:tab w:val="left" w:pos="0"/>
              </w:tabs>
              <w:ind w:left="0" w:firstLine="0"/>
              <w:rPr>
                <w:rFonts w:eastAsia="Calibri"/>
                <w:bCs/>
                <w:szCs w:val="22"/>
              </w:rPr>
            </w:pPr>
            <w:r w:rsidRPr="00D54D3B">
              <w:rPr>
                <w:rFonts w:eastAsia="Calibri"/>
                <w:bCs/>
                <w:szCs w:val="22"/>
              </w:rPr>
              <w:t xml:space="preserve">Synchrophasor measurements can be communicated to and from PDCs at a variety of  sampling rates from once every number of minutes to 100 or 120 measurements per second. The measurements may conform to standards such as  IEEE C37.118-2005, C37.118.1-2011, or IEC/IEEE 60255-118-1. PDCs are connected in hierarchical architectures in which transfer time delays may accumulate as values pass to applications. The following table presents minimum requirements. The user </w:t>
            </w:r>
            <w:r w:rsidRPr="00D54D3B">
              <w:rPr>
                <w:rFonts w:eastAsia="Calibri"/>
                <w:bCs/>
                <w:szCs w:val="22"/>
              </w:rPr>
              <w:lastRenderedPageBreak/>
              <w:t>application installer must ensure that individual PMU delays and errors, as well as the accumulated delays and errors for a sequence of PDCs, are compatible with the requirements of  the application. Note that PDCs should be  designed not  to degrade the accuracy of time stamps applied at the PMU, or the time synchronization accuracy class.</w:t>
            </w:r>
          </w:p>
          <w:p w:rsidR="00D54D3B" w:rsidRPr="00D54D3B" w:rsidRDefault="00D54D3B" w:rsidP="00D54D3B">
            <w:pPr>
              <w:tabs>
                <w:tab w:val="left" w:pos="0"/>
              </w:tabs>
              <w:ind w:left="0" w:firstLine="0"/>
              <w:rPr>
                <w:rFonts w:eastAsia="Calibri"/>
                <w:bCs/>
                <w:szCs w:val="22"/>
              </w:rPr>
            </w:pPr>
          </w:p>
        </w:tc>
      </w:tr>
    </w:tbl>
    <w:p w:rsidR="00D54D3B" w:rsidRDefault="00D54D3B" w:rsidP="00811BEA">
      <w:pPr>
        <w:ind w:left="0" w:firstLine="0"/>
        <w:jc w:val="center"/>
        <w:rPr>
          <w:b/>
        </w:rPr>
      </w:pPr>
    </w:p>
    <w:tbl>
      <w:tblPr>
        <w:tblStyle w:val="TableGrid"/>
        <w:tblW w:w="0" w:type="auto"/>
        <w:tblLook w:val="04A0" w:firstRow="1" w:lastRow="0" w:firstColumn="1" w:lastColumn="0" w:noHBand="0" w:noVBand="1"/>
      </w:tblPr>
      <w:tblGrid>
        <w:gridCol w:w="2336"/>
        <w:gridCol w:w="2336"/>
        <w:gridCol w:w="2336"/>
        <w:gridCol w:w="2336"/>
      </w:tblGrid>
      <w:tr w:rsidR="00D54D3B" w:rsidTr="00D54D3B">
        <w:tc>
          <w:tcPr>
            <w:tcW w:w="2336" w:type="dxa"/>
          </w:tcPr>
          <w:p w:rsidR="00D54D3B" w:rsidRPr="00731F96" w:rsidRDefault="00D54D3B" w:rsidP="00D54D3B">
            <w:pPr>
              <w:pStyle w:val="TableParagraph"/>
              <w:tabs>
                <w:tab w:val="left" w:pos="0"/>
              </w:tabs>
              <w:spacing w:before="53" w:line="276" w:lineRule="auto"/>
              <w:ind w:left="779"/>
              <w:rPr>
                <w:b/>
                <w:sz w:val="20"/>
                <w:szCs w:val="20"/>
                <w:lang w:val="mn-MN"/>
              </w:rPr>
            </w:pPr>
            <w:r w:rsidRPr="00731F96">
              <w:rPr>
                <w:b/>
                <w:sz w:val="20"/>
                <w:szCs w:val="20"/>
                <w:lang w:val="mn-MN"/>
              </w:rPr>
              <w:t xml:space="preserve">Шаардлага </w:t>
            </w:r>
          </w:p>
        </w:tc>
        <w:tc>
          <w:tcPr>
            <w:tcW w:w="2336" w:type="dxa"/>
          </w:tcPr>
          <w:p w:rsidR="00D54D3B" w:rsidRPr="00EF2D2B" w:rsidRDefault="00D54D3B" w:rsidP="00D54D3B">
            <w:pPr>
              <w:pStyle w:val="TableParagraph"/>
              <w:tabs>
                <w:tab w:val="left" w:pos="0"/>
              </w:tabs>
              <w:spacing w:before="53" w:line="276" w:lineRule="auto"/>
              <w:ind w:left="143"/>
              <w:rPr>
                <w:b/>
                <w:sz w:val="20"/>
                <w:szCs w:val="20"/>
                <w:lang w:val="mn-MN"/>
              </w:rPr>
            </w:pPr>
            <w:r w:rsidRPr="00EF2D2B">
              <w:rPr>
                <w:b/>
                <w:sz w:val="20"/>
                <w:szCs w:val="20"/>
                <w:lang w:val="mn-MN"/>
              </w:rPr>
              <w:t>Гүйцэтгэлийн анги</w:t>
            </w:r>
          </w:p>
        </w:tc>
        <w:tc>
          <w:tcPr>
            <w:tcW w:w="2336" w:type="dxa"/>
          </w:tcPr>
          <w:p w:rsidR="00D54D3B" w:rsidRPr="00EF2D2B" w:rsidRDefault="00D54D3B" w:rsidP="00D54D3B">
            <w:pPr>
              <w:pStyle w:val="TableParagraph"/>
              <w:tabs>
                <w:tab w:val="left" w:pos="0"/>
              </w:tabs>
              <w:spacing w:before="53" w:line="276" w:lineRule="auto"/>
              <w:ind w:left="251"/>
              <w:jc w:val="center"/>
              <w:rPr>
                <w:b/>
                <w:sz w:val="20"/>
                <w:szCs w:val="20"/>
                <w:lang w:val="mn-MN"/>
              </w:rPr>
            </w:pPr>
            <w:r w:rsidRPr="00EF2D2B">
              <w:rPr>
                <w:b/>
                <w:sz w:val="20"/>
                <w:szCs w:val="20"/>
                <w:lang w:val="mn-MN"/>
              </w:rPr>
              <w:t>Дамжуулах хугацааны анги</w:t>
            </w:r>
          </w:p>
        </w:tc>
        <w:tc>
          <w:tcPr>
            <w:tcW w:w="2336" w:type="dxa"/>
          </w:tcPr>
          <w:p w:rsidR="00D54D3B" w:rsidRPr="00EF2D2B" w:rsidRDefault="00D54D3B" w:rsidP="00D54D3B">
            <w:pPr>
              <w:pStyle w:val="TableParagraph"/>
              <w:tabs>
                <w:tab w:val="left" w:pos="0"/>
              </w:tabs>
              <w:spacing w:before="53" w:line="276" w:lineRule="auto"/>
              <w:ind w:left="50" w:firstLine="6"/>
              <w:rPr>
                <w:b/>
                <w:sz w:val="20"/>
                <w:szCs w:val="20"/>
                <w:lang w:val="mn-MN"/>
              </w:rPr>
            </w:pPr>
            <w:r w:rsidRPr="00EF2D2B">
              <w:rPr>
                <w:b/>
                <w:spacing w:val="6"/>
                <w:sz w:val="20"/>
                <w:szCs w:val="20"/>
                <w:lang w:val="mn-MN"/>
              </w:rPr>
              <w:t>Хугацааны синхрончлолын нарийвчлалын анги</w:t>
            </w:r>
          </w:p>
        </w:tc>
      </w:tr>
      <w:tr w:rsidR="00D54D3B" w:rsidTr="00D54D3B">
        <w:tc>
          <w:tcPr>
            <w:tcW w:w="2336" w:type="dxa"/>
          </w:tcPr>
          <w:p w:rsidR="00D54D3B" w:rsidRPr="00EF2D2B" w:rsidRDefault="00D54D3B" w:rsidP="00D54D3B">
            <w:pPr>
              <w:pStyle w:val="TableParagraph"/>
              <w:tabs>
                <w:tab w:val="left" w:pos="0"/>
              </w:tabs>
              <w:spacing w:line="276" w:lineRule="auto"/>
              <w:ind w:right="369"/>
              <w:rPr>
                <w:sz w:val="20"/>
                <w:szCs w:val="20"/>
                <w:lang w:val="mn-MN"/>
              </w:rPr>
            </w:pPr>
            <w:r w:rsidRPr="00EF2D2B">
              <w:rPr>
                <w:sz w:val="20"/>
                <w:szCs w:val="20"/>
                <w:lang w:val="mn-MN"/>
              </w:rPr>
              <w:t>Хамгаалалтын функцүүдэд тохиромжтой саатал</w:t>
            </w:r>
          </w:p>
        </w:tc>
        <w:tc>
          <w:tcPr>
            <w:tcW w:w="2336" w:type="dxa"/>
          </w:tcPr>
          <w:p w:rsidR="00D54D3B" w:rsidRPr="00731F96" w:rsidRDefault="00D54D3B" w:rsidP="00D54D3B">
            <w:pPr>
              <w:pStyle w:val="TableParagraph"/>
              <w:tabs>
                <w:tab w:val="left" w:pos="0"/>
              </w:tabs>
              <w:spacing w:line="276" w:lineRule="auto"/>
              <w:ind w:left="107"/>
              <w:rPr>
                <w:sz w:val="20"/>
                <w:szCs w:val="20"/>
                <w:lang w:val="mn-MN"/>
              </w:rPr>
            </w:pPr>
            <w:r w:rsidRPr="00731F96">
              <w:rPr>
                <w:sz w:val="20"/>
                <w:szCs w:val="20"/>
                <w:lang w:val="mn-MN"/>
              </w:rPr>
              <w:t>P13</w:t>
            </w:r>
          </w:p>
        </w:tc>
        <w:tc>
          <w:tcPr>
            <w:tcW w:w="2336" w:type="dxa"/>
          </w:tcPr>
          <w:p w:rsidR="00D54D3B" w:rsidRPr="00EF2D2B" w:rsidRDefault="00D54D3B" w:rsidP="00D54D3B">
            <w:pPr>
              <w:pStyle w:val="TableParagraph"/>
              <w:tabs>
                <w:tab w:val="left" w:pos="0"/>
              </w:tabs>
              <w:spacing w:before="57" w:line="276" w:lineRule="auto"/>
              <w:ind w:left="107"/>
              <w:rPr>
                <w:sz w:val="20"/>
                <w:szCs w:val="20"/>
                <w:lang w:val="mn-MN"/>
              </w:rPr>
            </w:pPr>
            <w:r w:rsidRPr="00EF2D2B">
              <w:rPr>
                <w:sz w:val="20"/>
                <w:szCs w:val="20"/>
                <w:lang w:val="mn-MN"/>
              </w:rPr>
              <w:t>TT6 &lt;3 мс</w:t>
            </w:r>
          </w:p>
        </w:tc>
        <w:tc>
          <w:tcPr>
            <w:tcW w:w="2336" w:type="dxa"/>
          </w:tcPr>
          <w:p w:rsidR="00D54D3B" w:rsidRPr="00EF2D2B" w:rsidRDefault="00D54D3B" w:rsidP="00D54D3B">
            <w:pPr>
              <w:pStyle w:val="TableParagraph"/>
              <w:tabs>
                <w:tab w:val="left" w:pos="0"/>
              </w:tabs>
              <w:spacing w:before="57" w:line="276" w:lineRule="auto"/>
              <w:ind w:left="107"/>
              <w:rPr>
                <w:sz w:val="20"/>
                <w:szCs w:val="20"/>
                <w:lang w:val="mn-MN"/>
              </w:rPr>
            </w:pPr>
            <w:r w:rsidRPr="00EF2D2B">
              <w:rPr>
                <w:sz w:val="20"/>
                <w:szCs w:val="20"/>
                <w:lang w:val="mn-MN"/>
              </w:rPr>
              <w:t>T3 &lt; 0,025 мс</w:t>
            </w:r>
          </w:p>
        </w:tc>
      </w:tr>
      <w:tr w:rsidR="00D54D3B" w:rsidTr="00D54D3B">
        <w:tc>
          <w:tcPr>
            <w:tcW w:w="2336" w:type="dxa"/>
          </w:tcPr>
          <w:p w:rsidR="00D54D3B" w:rsidRPr="00EF2D2B" w:rsidRDefault="00D54D3B" w:rsidP="00D54D3B">
            <w:pPr>
              <w:pStyle w:val="TableParagraph"/>
              <w:tabs>
                <w:tab w:val="left" w:pos="0"/>
              </w:tabs>
              <w:spacing w:line="276" w:lineRule="auto"/>
              <w:ind w:right="76"/>
              <w:rPr>
                <w:sz w:val="20"/>
                <w:szCs w:val="20"/>
                <w:lang w:val="mn-MN"/>
              </w:rPr>
            </w:pPr>
            <w:r w:rsidRPr="00EF2D2B">
              <w:rPr>
                <w:sz w:val="20"/>
                <w:szCs w:val="20"/>
                <w:lang w:val="mn-MN"/>
              </w:rPr>
              <w:t>Бусад функцүүдэд тохиромжтой саатал</w:t>
            </w:r>
          </w:p>
        </w:tc>
        <w:tc>
          <w:tcPr>
            <w:tcW w:w="2336" w:type="dxa"/>
          </w:tcPr>
          <w:p w:rsidR="00D54D3B" w:rsidRPr="00731F96" w:rsidRDefault="00D54D3B" w:rsidP="00D54D3B">
            <w:pPr>
              <w:pStyle w:val="TableParagraph"/>
              <w:tabs>
                <w:tab w:val="left" w:pos="0"/>
              </w:tabs>
              <w:spacing w:line="276" w:lineRule="auto"/>
              <w:ind w:left="107"/>
              <w:rPr>
                <w:sz w:val="20"/>
                <w:szCs w:val="20"/>
                <w:lang w:val="mn-MN"/>
              </w:rPr>
            </w:pPr>
            <w:r w:rsidRPr="00731F96">
              <w:rPr>
                <w:sz w:val="20"/>
                <w:szCs w:val="20"/>
                <w:lang w:val="mn-MN"/>
              </w:rPr>
              <w:t>P14</w:t>
            </w:r>
          </w:p>
        </w:tc>
        <w:tc>
          <w:tcPr>
            <w:tcW w:w="2336" w:type="dxa"/>
          </w:tcPr>
          <w:p w:rsidR="00D54D3B" w:rsidRPr="00EF2D2B" w:rsidRDefault="00D54D3B" w:rsidP="00D54D3B">
            <w:pPr>
              <w:pStyle w:val="TableParagraph"/>
              <w:tabs>
                <w:tab w:val="left" w:pos="0"/>
              </w:tabs>
              <w:spacing w:before="57" w:line="276" w:lineRule="auto"/>
              <w:ind w:left="107"/>
              <w:rPr>
                <w:sz w:val="20"/>
                <w:szCs w:val="20"/>
                <w:lang w:val="mn-MN"/>
              </w:rPr>
            </w:pPr>
            <w:r w:rsidRPr="00EF2D2B">
              <w:rPr>
                <w:sz w:val="20"/>
                <w:szCs w:val="20"/>
                <w:lang w:val="mn-MN"/>
              </w:rPr>
              <w:t>TT5 &lt;10 мс</w:t>
            </w:r>
          </w:p>
        </w:tc>
        <w:tc>
          <w:tcPr>
            <w:tcW w:w="2336" w:type="dxa"/>
          </w:tcPr>
          <w:p w:rsidR="00D54D3B" w:rsidRPr="00EF2D2B" w:rsidRDefault="00D54D3B" w:rsidP="00D54D3B">
            <w:pPr>
              <w:pStyle w:val="TableParagraph"/>
              <w:tabs>
                <w:tab w:val="left" w:pos="0"/>
              </w:tabs>
              <w:spacing w:before="57" w:line="276" w:lineRule="auto"/>
              <w:ind w:left="107"/>
              <w:rPr>
                <w:sz w:val="20"/>
                <w:szCs w:val="20"/>
                <w:lang w:val="mn-MN"/>
              </w:rPr>
            </w:pPr>
            <w:r w:rsidRPr="00EF2D2B">
              <w:rPr>
                <w:sz w:val="20"/>
                <w:szCs w:val="20"/>
                <w:lang w:val="mn-MN"/>
              </w:rPr>
              <w:t>T3 &lt; 0,025 мс</w:t>
            </w:r>
          </w:p>
        </w:tc>
      </w:tr>
    </w:tbl>
    <w:p w:rsidR="00D54D3B" w:rsidRDefault="00D54D3B" w:rsidP="00811BEA">
      <w:pPr>
        <w:ind w:left="0" w:firstLine="0"/>
        <w:jc w:val="center"/>
        <w:rPr>
          <w:b/>
        </w:rPr>
      </w:pPr>
    </w:p>
    <w:tbl>
      <w:tblPr>
        <w:tblStyle w:val="TableGrid"/>
        <w:tblW w:w="0" w:type="auto"/>
        <w:tblLook w:val="04A0" w:firstRow="1" w:lastRow="0" w:firstColumn="1" w:lastColumn="0" w:noHBand="0" w:noVBand="1"/>
      </w:tblPr>
      <w:tblGrid>
        <w:gridCol w:w="2336"/>
        <w:gridCol w:w="2336"/>
        <w:gridCol w:w="2336"/>
        <w:gridCol w:w="2336"/>
      </w:tblGrid>
      <w:tr w:rsidR="00D54D3B" w:rsidRPr="00EF2D2B" w:rsidTr="00D54D3B">
        <w:tc>
          <w:tcPr>
            <w:tcW w:w="2336" w:type="dxa"/>
          </w:tcPr>
          <w:p w:rsidR="00D54D3B" w:rsidRPr="00731F96" w:rsidRDefault="00D54D3B" w:rsidP="00D54D3B">
            <w:pPr>
              <w:pStyle w:val="TableParagraph"/>
              <w:tabs>
                <w:tab w:val="left" w:pos="0"/>
              </w:tabs>
              <w:spacing w:before="53" w:line="276" w:lineRule="auto"/>
              <w:ind w:left="779"/>
              <w:rPr>
                <w:b/>
                <w:sz w:val="20"/>
                <w:szCs w:val="20"/>
                <w:lang w:val="mn-MN"/>
              </w:rPr>
            </w:pPr>
            <w:r w:rsidRPr="00731F96">
              <w:rPr>
                <w:b/>
                <w:sz w:val="20"/>
                <w:szCs w:val="20"/>
                <w:lang w:val="mn-MN"/>
              </w:rPr>
              <w:t>Requirement</w:t>
            </w:r>
          </w:p>
        </w:tc>
        <w:tc>
          <w:tcPr>
            <w:tcW w:w="2336" w:type="dxa"/>
          </w:tcPr>
          <w:p w:rsidR="00D54D3B" w:rsidRPr="00EF2D2B" w:rsidRDefault="00D54D3B" w:rsidP="00D54D3B">
            <w:pPr>
              <w:pStyle w:val="TableParagraph"/>
              <w:tabs>
                <w:tab w:val="left" w:pos="0"/>
              </w:tabs>
              <w:spacing w:before="53" w:line="276" w:lineRule="auto"/>
              <w:ind w:left="143"/>
              <w:rPr>
                <w:b/>
                <w:sz w:val="20"/>
                <w:szCs w:val="20"/>
                <w:lang w:val="mn-MN"/>
              </w:rPr>
            </w:pPr>
            <w:r w:rsidRPr="00EF2D2B">
              <w:rPr>
                <w:b/>
                <w:sz w:val="20"/>
                <w:szCs w:val="20"/>
                <w:lang w:val="mn-MN"/>
              </w:rPr>
              <w:t>Performance class</w:t>
            </w:r>
          </w:p>
        </w:tc>
        <w:tc>
          <w:tcPr>
            <w:tcW w:w="2336" w:type="dxa"/>
          </w:tcPr>
          <w:p w:rsidR="00D54D3B" w:rsidRPr="00EF2D2B" w:rsidRDefault="00D54D3B" w:rsidP="00D54D3B">
            <w:pPr>
              <w:pStyle w:val="TableParagraph"/>
              <w:tabs>
                <w:tab w:val="left" w:pos="0"/>
              </w:tabs>
              <w:spacing w:before="53" w:line="276" w:lineRule="auto"/>
              <w:ind w:left="251"/>
              <w:rPr>
                <w:b/>
                <w:sz w:val="20"/>
                <w:szCs w:val="20"/>
                <w:lang w:val="mn-MN"/>
              </w:rPr>
            </w:pPr>
            <w:r w:rsidRPr="00EF2D2B">
              <w:rPr>
                <w:b/>
                <w:sz w:val="20"/>
                <w:szCs w:val="20"/>
                <w:lang w:val="mn-MN"/>
              </w:rPr>
              <w:t>Transfer time class</w:t>
            </w:r>
          </w:p>
        </w:tc>
        <w:tc>
          <w:tcPr>
            <w:tcW w:w="2336" w:type="dxa"/>
          </w:tcPr>
          <w:p w:rsidR="00D54D3B" w:rsidRPr="00EF2D2B" w:rsidRDefault="00D54D3B" w:rsidP="00D54D3B">
            <w:pPr>
              <w:pStyle w:val="TableParagraph"/>
              <w:tabs>
                <w:tab w:val="left" w:pos="0"/>
              </w:tabs>
              <w:spacing w:before="53" w:line="276" w:lineRule="auto"/>
              <w:ind w:left="499" w:hanging="277"/>
              <w:rPr>
                <w:b/>
                <w:sz w:val="20"/>
                <w:szCs w:val="20"/>
                <w:lang w:val="mn-MN"/>
              </w:rPr>
            </w:pPr>
            <w:r w:rsidRPr="00EF2D2B">
              <w:rPr>
                <w:b/>
                <w:sz w:val="20"/>
                <w:szCs w:val="20"/>
                <w:lang w:val="mn-MN"/>
              </w:rPr>
              <w:t>Time synchronization accuracy class</w:t>
            </w:r>
          </w:p>
        </w:tc>
      </w:tr>
      <w:tr w:rsidR="00D54D3B" w:rsidRPr="00EF2D2B" w:rsidTr="00D54D3B">
        <w:tc>
          <w:tcPr>
            <w:tcW w:w="2336" w:type="dxa"/>
          </w:tcPr>
          <w:p w:rsidR="00D54D3B" w:rsidRPr="00EF2D2B" w:rsidRDefault="00D54D3B" w:rsidP="00D54D3B">
            <w:pPr>
              <w:pStyle w:val="TableParagraph"/>
              <w:tabs>
                <w:tab w:val="left" w:pos="0"/>
              </w:tabs>
              <w:spacing w:line="276" w:lineRule="auto"/>
              <w:ind w:left="107" w:right="369"/>
              <w:rPr>
                <w:sz w:val="20"/>
                <w:szCs w:val="20"/>
                <w:lang w:val="mn-MN"/>
              </w:rPr>
            </w:pPr>
            <w:r w:rsidRPr="00EF2D2B">
              <w:rPr>
                <w:sz w:val="20"/>
                <w:szCs w:val="20"/>
                <w:lang w:val="mn-MN"/>
              </w:rPr>
              <w:t>Delay acceptable for protection functions</w:t>
            </w:r>
          </w:p>
        </w:tc>
        <w:tc>
          <w:tcPr>
            <w:tcW w:w="2336" w:type="dxa"/>
          </w:tcPr>
          <w:p w:rsidR="00D54D3B" w:rsidRPr="00731F96" w:rsidRDefault="00D54D3B" w:rsidP="00D54D3B">
            <w:pPr>
              <w:pStyle w:val="TableParagraph"/>
              <w:tabs>
                <w:tab w:val="left" w:pos="0"/>
              </w:tabs>
              <w:spacing w:line="276" w:lineRule="auto"/>
              <w:ind w:left="107"/>
              <w:rPr>
                <w:sz w:val="20"/>
                <w:szCs w:val="20"/>
                <w:lang w:val="mn-MN"/>
              </w:rPr>
            </w:pPr>
            <w:r w:rsidRPr="00731F96">
              <w:rPr>
                <w:sz w:val="20"/>
                <w:szCs w:val="20"/>
                <w:lang w:val="mn-MN"/>
              </w:rPr>
              <w:t>P13</w:t>
            </w:r>
          </w:p>
        </w:tc>
        <w:tc>
          <w:tcPr>
            <w:tcW w:w="2336" w:type="dxa"/>
          </w:tcPr>
          <w:p w:rsidR="00D54D3B" w:rsidRPr="00EF2D2B" w:rsidRDefault="00D54D3B" w:rsidP="00D54D3B">
            <w:pPr>
              <w:pStyle w:val="TableParagraph"/>
              <w:tabs>
                <w:tab w:val="left" w:pos="0"/>
              </w:tabs>
              <w:spacing w:before="57" w:line="276" w:lineRule="auto"/>
              <w:ind w:left="107"/>
              <w:rPr>
                <w:sz w:val="20"/>
                <w:szCs w:val="20"/>
                <w:lang w:val="mn-MN"/>
              </w:rPr>
            </w:pPr>
            <w:r w:rsidRPr="00EF2D2B">
              <w:rPr>
                <w:sz w:val="20"/>
                <w:szCs w:val="20"/>
                <w:lang w:val="mn-MN"/>
              </w:rPr>
              <w:t>TT6 &lt; 3 ms</w:t>
            </w:r>
          </w:p>
        </w:tc>
        <w:tc>
          <w:tcPr>
            <w:tcW w:w="2336" w:type="dxa"/>
          </w:tcPr>
          <w:p w:rsidR="00D54D3B" w:rsidRPr="00EF2D2B" w:rsidRDefault="00D54D3B" w:rsidP="00D54D3B">
            <w:pPr>
              <w:pStyle w:val="TableParagraph"/>
              <w:tabs>
                <w:tab w:val="left" w:pos="0"/>
              </w:tabs>
              <w:spacing w:before="57" w:line="276" w:lineRule="auto"/>
              <w:ind w:left="107"/>
              <w:rPr>
                <w:sz w:val="20"/>
                <w:szCs w:val="20"/>
                <w:lang w:val="mn-MN"/>
              </w:rPr>
            </w:pPr>
            <w:r w:rsidRPr="00EF2D2B">
              <w:rPr>
                <w:sz w:val="20"/>
                <w:szCs w:val="20"/>
                <w:lang w:val="mn-MN"/>
              </w:rPr>
              <w:t>T3 &lt; 0,025 ms</w:t>
            </w:r>
          </w:p>
        </w:tc>
      </w:tr>
      <w:tr w:rsidR="00D54D3B" w:rsidRPr="00EF2D2B" w:rsidTr="00D54D3B">
        <w:tc>
          <w:tcPr>
            <w:tcW w:w="2336" w:type="dxa"/>
          </w:tcPr>
          <w:p w:rsidR="00D54D3B" w:rsidRPr="00EF2D2B" w:rsidRDefault="00D54D3B" w:rsidP="00D54D3B">
            <w:pPr>
              <w:pStyle w:val="TableParagraph"/>
              <w:tabs>
                <w:tab w:val="left" w:pos="0"/>
              </w:tabs>
              <w:spacing w:line="276" w:lineRule="auto"/>
              <w:ind w:left="107" w:right="76"/>
              <w:rPr>
                <w:sz w:val="20"/>
                <w:szCs w:val="20"/>
                <w:lang w:val="mn-MN"/>
              </w:rPr>
            </w:pPr>
            <w:r w:rsidRPr="00EF2D2B">
              <w:rPr>
                <w:sz w:val="20"/>
                <w:szCs w:val="20"/>
                <w:lang w:val="mn-MN"/>
              </w:rPr>
              <w:t>Delay acceptable for other functions</w:t>
            </w:r>
          </w:p>
        </w:tc>
        <w:tc>
          <w:tcPr>
            <w:tcW w:w="2336" w:type="dxa"/>
          </w:tcPr>
          <w:p w:rsidR="00D54D3B" w:rsidRPr="00731F96" w:rsidRDefault="00D54D3B" w:rsidP="00D54D3B">
            <w:pPr>
              <w:pStyle w:val="TableParagraph"/>
              <w:tabs>
                <w:tab w:val="left" w:pos="0"/>
              </w:tabs>
              <w:spacing w:line="276" w:lineRule="auto"/>
              <w:ind w:left="107"/>
              <w:rPr>
                <w:sz w:val="20"/>
                <w:szCs w:val="20"/>
                <w:lang w:val="mn-MN"/>
              </w:rPr>
            </w:pPr>
            <w:r w:rsidRPr="00731F96">
              <w:rPr>
                <w:sz w:val="20"/>
                <w:szCs w:val="20"/>
                <w:lang w:val="mn-MN"/>
              </w:rPr>
              <w:t>P14</w:t>
            </w:r>
          </w:p>
        </w:tc>
        <w:tc>
          <w:tcPr>
            <w:tcW w:w="2336" w:type="dxa"/>
          </w:tcPr>
          <w:p w:rsidR="00D54D3B" w:rsidRPr="00EF2D2B" w:rsidRDefault="00D54D3B" w:rsidP="00D54D3B">
            <w:pPr>
              <w:pStyle w:val="TableParagraph"/>
              <w:tabs>
                <w:tab w:val="left" w:pos="0"/>
              </w:tabs>
              <w:spacing w:before="57" w:line="276" w:lineRule="auto"/>
              <w:ind w:left="107"/>
              <w:rPr>
                <w:sz w:val="20"/>
                <w:szCs w:val="20"/>
                <w:lang w:val="mn-MN"/>
              </w:rPr>
            </w:pPr>
            <w:r w:rsidRPr="00EF2D2B">
              <w:rPr>
                <w:sz w:val="20"/>
                <w:szCs w:val="20"/>
                <w:lang w:val="mn-MN"/>
              </w:rPr>
              <w:t>TT5 &lt; 10 ms</w:t>
            </w:r>
          </w:p>
        </w:tc>
        <w:tc>
          <w:tcPr>
            <w:tcW w:w="2336" w:type="dxa"/>
          </w:tcPr>
          <w:p w:rsidR="00D54D3B" w:rsidRPr="00EF2D2B" w:rsidRDefault="00D54D3B" w:rsidP="00D54D3B">
            <w:pPr>
              <w:pStyle w:val="TableParagraph"/>
              <w:tabs>
                <w:tab w:val="left" w:pos="0"/>
              </w:tabs>
              <w:spacing w:before="57" w:line="276" w:lineRule="auto"/>
              <w:ind w:left="107" w:right="-212"/>
              <w:rPr>
                <w:sz w:val="20"/>
                <w:szCs w:val="20"/>
                <w:lang w:val="mn-MN"/>
              </w:rPr>
            </w:pPr>
            <w:r w:rsidRPr="00EF2D2B">
              <w:rPr>
                <w:sz w:val="20"/>
                <w:szCs w:val="20"/>
                <w:lang w:val="mn-MN"/>
              </w:rPr>
              <w:t>T3 &lt; 0,025 ms</w:t>
            </w:r>
          </w:p>
        </w:tc>
      </w:tr>
    </w:tbl>
    <w:p w:rsidR="00D54D3B" w:rsidRDefault="00D54D3B"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D54D3B" w:rsidTr="00D54D3B">
        <w:tc>
          <w:tcPr>
            <w:tcW w:w="4672" w:type="dxa"/>
          </w:tcPr>
          <w:p w:rsidR="00D54D3B" w:rsidRPr="00D54D3B" w:rsidRDefault="00D54D3B" w:rsidP="00D54D3B">
            <w:pPr>
              <w:tabs>
                <w:tab w:val="left" w:pos="0"/>
              </w:tabs>
              <w:ind w:left="0" w:firstLine="0"/>
              <w:rPr>
                <w:rFonts w:eastAsia="Calibri"/>
                <w:b/>
                <w:bCs/>
                <w:szCs w:val="22"/>
              </w:rPr>
            </w:pPr>
            <w:r w:rsidRPr="00D54D3B">
              <w:rPr>
                <w:rFonts w:eastAsia="Calibri"/>
                <w:b/>
                <w:bCs/>
                <w:szCs w:val="22"/>
              </w:rPr>
              <w:t>6 Загварчлалын удирдамж</w:t>
            </w:r>
          </w:p>
          <w:p w:rsidR="00D54D3B" w:rsidRPr="00D54D3B" w:rsidRDefault="00D54D3B" w:rsidP="00D54D3B">
            <w:pPr>
              <w:tabs>
                <w:tab w:val="left" w:pos="0"/>
              </w:tabs>
              <w:ind w:left="0" w:firstLine="0"/>
              <w:rPr>
                <w:rFonts w:eastAsia="Calibri"/>
                <w:b/>
                <w:bCs/>
                <w:szCs w:val="22"/>
              </w:rPr>
            </w:pPr>
            <w:bookmarkStart w:id="6" w:name="6.1_General"/>
            <w:bookmarkEnd w:id="6"/>
            <w:r w:rsidRPr="00D54D3B">
              <w:rPr>
                <w:rFonts w:eastAsia="Calibri"/>
                <w:b/>
                <w:bCs/>
                <w:szCs w:val="22"/>
              </w:rPr>
              <w:t>6.1 Ерөнхий</w:t>
            </w:r>
            <w:r w:rsidR="00CC195F">
              <w:rPr>
                <w:rFonts w:eastAsia="Calibri"/>
                <w:b/>
                <w:bCs/>
                <w:szCs w:val="22"/>
              </w:rPr>
              <w:t xml:space="preserve"> зүйл</w:t>
            </w:r>
          </w:p>
          <w:p w:rsidR="00D54D3B" w:rsidRPr="00D54D3B" w:rsidRDefault="00D54D3B" w:rsidP="00D54D3B">
            <w:pPr>
              <w:tabs>
                <w:tab w:val="left" w:pos="0"/>
              </w:tabs>
              <w:ind w:left="0" w:firstLine="0"/>
              <w:rPr>
                <w:rFonts w:eastAsia="Calibri"/>
                <w:bCs/>
                <w:szCs w:val="22"/>
              </w:rPr>
            </w:pPr>
            <w:r w:rsidRPr="00D54D3B">
              <w:rPr>
                <w:rFonts w:eastAsia="Calibri"/>
                <w:bCs/>
                <w:szCs w:val="22"/>
              </w:rPr>
              <w:t xml:space="preserve">IEC 61850-д системийг тодорхойлохын тулд клиент ба сервер бүрийг зарим IED дээр логик зангилаа байдлаар загварчлах шаардлагатай байдаг. Дэд станцын дотоод синхрофазорын программуудын хувьд одоо байгаа логик зангилааг ашиглаж болно, жишээлбэл синхрончлолыг шалгах функцэд RSYN ба генераторын алхмаас гарах  хамгаалалтад PPAM гэх мэт. Аппликешн нь өөрөө IEC 61850 </w:t>
            </w:r>
            <w:r w:rsidRPr="00D54D3B">
              <w:rPr>
                <w:rFonts w:eastAsia="Calibri"/>
                <w:bCs/>
                <w:szCs w:val="22"/>
              </w:rPr>
              <w:lastRenderedPageBreak/>
              <w:t xml:space="preserve">хүрээнд хамаарахгүй тохиолдолд, жишээлбэл зөвхөн хяналт-шинжилгээ хийх ба архивлах зорилгоор ITMI, IHMI буюу IARC логик зангилаа ашиглаж болно.Оператор гэх мэт сонгодог клиент сервер үйлчилгээнд ямар нэгэн удирдлага хийгдэх тохиолдолд ITCI логик зангилааг сүлжээний удирдлагын төвд ашиглаж болно.Гэхдээ өргөн хүрээний удирдлага ба давтамжийн тогтворжилтын зарим аппликейшинууд байдаг бөгөөд эдгээр сонгодог Оператор арга нь хэтэрхий удаан байж болох тул UDP-д суурилсан GOOSE ашиглан шаардлагатай цагийн хуваарийн дагуу удирдлагаар хангах ёстой.Энэ тохиолдолд GOOSE (командын) мессежинд багцалж болох өгөгдлийг боловсруулах чадвартай логик зангилаа хэрэгтэй болно. Тиймээс IEC 61850-7-4 -д GAPC логик зангилааг урьдчилан тооцоолсон. Гэхдээ илүү сайн утга зүйн тайлбар өгөх, ж.нь, автоматжуулалтын инженерийн хувьд жишээ болгон танилцуулах нь үр дүнтэй болов уу,  ерөнхий WAC логик зангилаа (жишээ нь, GWAC буюу CWAN) ба ерөнхий WAP логик зангилаа (жишээ нь, GWAP буюу PWAN). Тодорхой тохиолдолд, аппликейшний тодорхой логик зангилааг тодорхойлох нь ач холбогдолтой байж болох юм. Үүнд: функцийн хэрэгжилтийн талаар илүү нарийвчилсан дүн шинжилгээ хийх шаардлагатай бөгөөд үүнийг аппликейшин бүр дээр үндэслэн дараа нь шийдэх шаардлагатай. Үндсэн логик зангилааны архитектурыг 12-р зурагт үзүүлэв. </w:t>
            </w:r>
          </w:p>
        </w:tc>
        <w:tc>
          <w:tcPr>
            <w:tcW w:w="4672" w:type="dxa"/>
          </w:tcPr>
          <w:p w:rsidR="00D54D3B" w:rsidRPr="00D54D3B" w:rsidRDefault="00D54D3B" w:rsidP="00D54D3B">
            <w:pPr>
              <w:tabs>
                <w:tab w:val="left" w:pos="0"/>
              </w:tabs>
              <w:ind w:left="0" w:firstLine="0"/>
              <w:rPr>
                <w:rFonts w:eastAsia="Calibri"/>
                <w:b/>
                <w:bCs/>
                <w:szCs w:val="22"/>
              </w:rPr>
            </w:pPr>
            <w:r w:rsidRPr="00D54D3B">
              <w:rPr>
                <w:rFonts w:eastAsia="Calibri"/>
                <w:b/>
                <w:bCs/>
                <w:szCs w:val="22"/>
              </w:rPr>
              <w:lastRenderedPageBreak/>
              <w:t>6. Modelling considerations</w:t>
            </w:r>
          </w:p>
          <w:p w:rsidR="00D54D3B" w:rsidRPr="00D54D3B" w:rsidRDefault="00D54D3B" w:rsidP="00D54D3B">
            <w:pPr>
              <w:tabs>
                <w:tab w:val="left" w:pos="0"/>
              </w:tabs>
              <w:ind w:left="0" w:firstLine="0"/>
              <w:rPr>
                <w:rFonts w:eastAsia="Calibri"/>
                <w:b/>
                <w:bCs/>
                <w:szCs w:val="22"/>
              </w:rPr>
            </w:pPr>
            <w:r w:rsidRPr="00D54D3B">
              <w:rPr>
                <w:rFonts w:eastAsia="Calibri"/>
                <w:b/>
                <w:bCs/>
                <w:szCs w:val="22"/>
              </w:rPr>
              <w:t>6.1 General</w:t>
            </w:r>
          </w:p>
          <w:p w:rsidR="00D54D3B" w:rsidRPr="00D54D3B" w:rsidRDefault="00D54D3B" w:rsidP="00D54D3B">
            <w:pPr>
              <w:tabs>
                <w:tab w:val="left" w:pos="0"/>
              </w:tabs>
              <w:ind w:left="0" w:firstLine="0"/>
              <w:rPr>
                <w:rFonts w:eastAsia="Calibri"/>
                <w:bCs/>
                <w:szCs w:val="22"/>
              </w:rPr>
            </w:pPr>
            <w:r w:rsidRPr="00D54D3B">
              <w:rPr>
                <w:rFonts w:eastAsia="Calibri"/>
                <w:bCs/>
                <w:szCs w:val="22"/>
              </w:rPr>
              <w:t xml:space="preserve">To describe a system in IEC 61850, each client and server needs to be modelled as a logical node on some IED. In the case of substation internal synchrophasor applications, probably existing logical nodes can be used, like RSYN for the synchrocheck function and PPAM for generator out-of-step protection. In case that the application itself is outside the IEC 61850 scope, e.g. for pure monitoring and archiving purpose, the ITMI, IHMI or IARC </w:t>
            </w:r>
            <w:r w:rsidRPr="00D54D3B">
              <w:rPr>
                <w:rFonts w:eastAsia="Calibri"/>
                <w:bCs/>
                <w:szCs w:val="22"/>
              </w:rPr>
              <w:lastRenderedPageBreak/>
              <w:t xml:space="preserve">logical nodes can be used. In case any controls are done with classical client server services like Operate,  the ITCI logical node can be used as for a network control center. However, there are some wide area control and frequency stability applications, where controls must be given in a time scale for which the classical Operate method might be too slow, so that UDP based GOOSE needs to be used. In this case, a logical node is needed which is able to produce data which can be packed into a GOOSE (command) message. The current IEC 61850-7-4 foresees for  this purpose the GAPC logical node. However, to support a  better semantic description, e.g. for automated engineering, it might be worthwhile to introduce e.g. generic WAC logical node (e.g. GWAC or CWAN) and a generic WAP logical node (e.g. GWAP or PWAN). In special cases, even the definition of application specific logical nodes might  be  worthwhile.  This needs a more detailed analysis of function implementation and needs to be decided later on a per application base. A basic logical node based architecture is illustrated in </w:t>
            </w:r>
            <w:hyperlink w:anchor="_bookmark13" w:history="1">
              <w:r w:rsidRPr="00D54D3B">
                <w:rPr>
                  <w:rFonts w:eastAsia="Calibri"/>
                  <w:bCs/>
                  <w:szCs w:val="22"/>
                </w:rPr>
                <w:t>Figure 12.</w:t>
              </w:r>
            </w:hyperlink>
          </w:p>
          <w:p w:rsidR="00D54D3B" w:rsidRPr="00D54D3B" w:rsidRDefault="00D54D3B" w:rsidP="00D54D3B">
            <w:pPr>
              <w:tabs>
                <w:tab w:val="left" w:pos="0"/>
              </w:tabs>
              <w:ind w:left="0" w:firstLine="0"/>
              <w:rPr>
                <w:rFonts w:eastAsia="Calibri"/>
                <w:bCs/>
                <w:szCs w:val="22"/>
              </w:rPr>
            </w:pPr>
          </w:p>
          <w:p w:rsidR="00D54D3B" w:rsidRPr="00D54D3B" w:rsidRDefault="00D54D3B" w:rsidP="00D54D3B">
            <w:pPr>
              <w:tabs>
                <w:tab w:val="left" w:pos="0"/>
              </w:tabs>
              <w:ind w:left="0" w:firstLine="0"/>
              <w:rPr>
                <w:rFonts w:eastAsia="Calibri"/>
                <w:bCs/>
                <w:szCs w:val="22"/>
              </w:rPr>
            </w:pPr>
          </w:p>
        </w:tc>
      </w:tr>
    </w:tbl>
    <w:p w:rsidR="00D54D3B" w:rsidRDefault="00D54D3B" w:rsidP="00811BEA">
      <w:pPr>
        <w:ind w:left="0" w:firstLine="0"/>
        <w:jc w:val="center"/>
        <w:rPr>
          <w:b/>
        </w:rPr>
      </w:pPr>
    </w:p>
    <w:p w:rsidR="00D54D3B" w:rsidRDefault="00D54D3B" w:rsidP="00811BEA">
      <w:pPr>
        <w:ind w:left="0" w:firstLine="0"/>
        <w:jc w:val="center"/>
        <w:rPr>
          <w:b/>
        </w:rPr>
      </w:pPr>
      <w:r w:rsidRPr="00EF2D2B">
        <w:rPr>
          <w:noProof/>
          <w:lang w:val="en-US"/>
        </w:rPr>
        <w:lastRenderedPageBreak/>
        <w:drawing>
          <wp:inline distT="0" distB="0" distL="0" distR="0" wp14:anchorId="2F121CA7" wp14:editId="64E1FCD8">
            <wp:extent cx="5939790" cy="3275522"/>
            <wp:effectExtent l="0" t="0" r="3810" b="127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275522"/>
                    </a:xfrm>
                    <a:prstGeom prst="rect">
                      <a:avLst/>
                    </a:prstGeom>
                  </pic:spPr>
                </pic:pic>
              </a:graphicData>
            </a:graphic>
          </wp:inline>
        </w:drawing>
      </w:r>
    </w:p>
    <w:p w:rsidR="00D54D3B" w:rsidRDefault="00D54D3B" w:rsidP="00811BEA">
      <w:pPr>
        <w:ind w:left="0" w:firstLine="0"/>
        <w:jc w:val="center"/>
        <w:rPr>
          <w:b/>
        </w:rPr>
      </w:pPr>
      <w:r w:rsidRPr="00D54D3B">
        <w:rPr>
          <w:b/>
        </w:rPr>
        <w:t>12</w:t>
      </w:r>
      <w:r>
        <w:rPr>
          <w:b/>
          <w:lang w:val="en-US"/>
        </w:rPr>
        <w:t>-</w:t>
      </w:r>
      <w:r>
        <w:rPr>
          <w:b/>
        </w:rPr>
        <w:t>р зураг</w:t>
      </w:r>
      <w:r w:rsidRPr="00D54D3B">
        <w:rPr>
          <w:b/>
        </w:rPr>
        <w:t xml:space="preserve"> – WAMPAC функцийн үндсэн IEC 61850 загвар</w:t>
      </w:r>
    </w:p>
    <w:p w:rsidR="00D54D3B" w:rsidRDefault="00D54D3B" w:rsidP="00811BEA">
      <w:pPr>
        <w:ind w:left="0" w:firstLine="0"/>
        <w:jc w:val="center"/>
        <w:rPr>
          <w:b/>
        </w:rPr>
      </w:pPr>
    </w:p>
    <w:p w:rsidR="00D54D3B" w:rsidRDefault="00D54D3B" w:rsidP="00811BEA">
      <w:pPr>
        <w:ind w:left="0" w:firstLine="0"/>
        <w:jc w:val="center"/>
      </w:pPr>
      <w:r w:rsidRPr="00EF2D2B">
        <w:rPr>
          <w:noProof/>
          <w:lang w:val="en-US"/>
        </w:rPr>
        <w:drawing>
          <wp:inline distT="0" distB="0" distL="0" distR="0" wp14:anchorId="1696226D" wp14:editId="18B373A3">
            <wp:extent cx="5733415" cy="3553709"/>
            <wp:effectExtent l="0" t="0" r="635" b="889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3415" cy="3553709"/>
                    </a:xfrm>
                    <a:prstGeom prst="rect">
                      <a:avLst/>
                    </a:prstGeom>
                  </pic:spPr>
                </pic:pic>
              </a:graphicData>
            </a:graphic>
          </wp:inline>
        </w:drawing>
      </w:r>
    </w:p>
    <w:p w:rsidR="00D54D3B" w:rsidRDefault="00D54D3B" w:rsidP="00811BEA">
      <w:pPr>
        <w:ind w:left="0" w:firstLine="0"/>
        <w:jc w:val="center"/>
        <w:rPr>
          <w:b/>
          <w:lang w:val="en-US"/>
        </w:rPr>
      </w:pPr>
      <w:r w:rsidRPr="00D54D3B">
        <w:rPr>
          <w:b/>
          <w:lang w:val="en-US"/>
        </w:rPr>
        <w:t>Figure 12 – Basic IEC 61850 model of WAMPAC functions</w:t>
      </w:r>
    </w:p>
    <w:p w:rsidR="00D54D3B" w:rsidRDefault="00D54D3B" w:rsidP="00811BEA">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D54D3B" w:rsidTr="00D54D3B">
        <w:tc>
          <w:tcPr>
            <w:tcW w:w="4672" w:type="dxa"/>
          </w:tcPr>
          <w:p w:rsidR="00D54D3B" w:rsidRPr="00D54D3B" w:rsidRDefault="00D54D3B" w:rsidP="00D54D3B">
            <w:pPr>
              <w:tabs>
                <w:tab w:val="left" w:pos="0"/>
              </w:tabs>
              <w:ind w:left="0" w:firstLine="0"/>
              <w:rPr>
                <w:rFonts w:eastAsia="Calibri"/>
                <w:bCs/>
                <w:szCs w:val="22"/>
              </w:rPr>
            </w:pPr>
            <w:r w:rsidRPr="00D54D3B">
              <w:rPr>
                <w:rFonts w:eastAsia="Calibri"/>
                <w:bCs/>
                <w:szCs w:val="22"/>
              </w:rPr>
              <w:t>Дараах дэд бүлгүүдэд PMU болон PDC зэрэг төхөөрөмжүүдэд суурилсан синхрофазорын загварчлалын удирдамжийг оруулсан болно.</w:t>
            </w:r>
          </w:p>
          <w:p w:rsidR="00D54D3B" w:rsidRPr="00D54D3B" w:rsidRDefault="00D54D3B" w:rsidP="00D54D3B">
            <w:pPr>
              <w:tabs>
                <w:tab w:val="left" w:pos="0"/>
              </w:tabs>
              <w:ind w:left="0" w:firstLine="0"/>
              <w:rPr>
                <w:rFonts w:eastAsia="Calibri"/>
                <w:b/>
                <w:bCs/>
                <w:szCs w:val="22"/>
              </w:rPr>
            </w:pPr>
            <w:r w:rsidRPr="00D54D3B">
              <w:rPr>
                <w:rFonts w:eastAsia="Calibri"/>
                <w:b/>
                <w:bCs/>
                <w:szCs w:val="22"/>
              </w:rPr>
              <w:t>6.2 Систем шатлал</w:t>
            </w:r>
          </w:p>
          <w:p w:rsidR="00D54D3B" w:rsidRPr="00D54D3B" w:rsidRDefault="00D54D3B" w:rsidP="00D54D3B">
            <w:pPr>
              <w:tabs>
                <w:tab w:val="left" w:pos="0"/>
              </w:tabs>
              <w:ind w:left="0" w:firstLine="0"/>
              <w:rPr>
                <w:rFonts w:eastAsia="Calibri"/>
                <w:bCs/>
                <w:szCs w:val="22"/>
              </w:rPr>
            </w:pPr>
            <w:r w:rsidRPr="00D54D3B">
              <w:rPr>
                <w:rFonts w:eastAsia="Calibri"/>
                <w:bCs/>
                <w:szCs w:val="22"/>
              </w:rPr>
              <w:lastRenderedPageBreak/>
              <w:t xml:space="preserve">Синхрофазорыг ашигладаг хамгаалалт, хяналт-шинжилгээ ба удирдлагын системүүд нь зураг 13-т харуулсны дагуу шатлалын суурь хэсэгт PMU-уудтай ба шатлалын янз бүрийн түвшинд PDC-үүдтэй комплекс шаталсан системүүд юм. </w:t>
            </w:r>
          </w:p>
        </w:tc>
        <w:tc>
          <w:tcPr>
            <w:tcW w:w="4672" w:type="dxa"/>
          </w:tcPr>
          <w:p w:rsidR="00D54D3B" w:rsidRPr="00D54D3B" w:rsidRDefault="00D54D3B" w:rsidP="00D54D3B">
            <w:pPr>
              <w:tabs>
                <w:tab w:val="left" w:pos="0"/>
              </w:tabs>
              <w:ind w:left="0" w:firstLine="0"/>
              <w:rPr>
                <w:rFonts w:eastAsia="Calibri"/>
                <w:bCs/>
                <w:szCs w:val="22"/>
              </w:rPr>
            </w:pPr>
            <w:r w:rsidRPr="00D54D3B">
              <w:rPr>
                <w:rFonts w:eastAsia="Calibri"/>
                <w:bCs/>
                <w:szCs w:val="22"/>
              </w:rPr>
              <w:lastRenderedPageBreak/>
              <w:t>The following subclauses provide modelling guidance for synchrophasor based devices including PMUs and PDCs.</w:t>
            </w:r>
          </w:p>
          <w:p w:rsidR="00D54D3B" w:rsidRPr="00D54D3B" w:rsidRDefault="00D54D3B" w:rsidP="00D54D3B">
            <w:pPr>
              <w:tabs>
                <w:tab w:val="left" w:pos="0"/>
              </w:tabs>
              <w:ind w:left="0" w:firstLine="0"/>
              <w:rPr>
                <w:rFonts w:eastAsia="Calibri"/>
                <w:b/>
                <w:bCs/>
                <w:szCs w:val="22"/>
              </w:rPr>
            </w:pPr>
            <w:r w:rsidRPr="00D54D3B">
              <w:rPr>
                <w:rFonts w:eastAsia="Calibri"/>
                <w:b/>
                <w:bCs/>
                <w:szCs w:val="22"/>
              </w:rPr>
              <w:t>6.2 System hierarchy</w:t>
            </w:r>
          </w:p>
          <w:p w:rsidR="00D54D3B" w:rsidRPr="00D54D3B" w:rsidRDefault="00D54D3B" w:rsidP="00D54D3B">
            <w:pPr>
              <w:tabs>
                <w:tab w:val="left" w:pos="0"/>
              </w:tabs>
              <w:ind w:left="0" w:firstLine="0"/>
              <w:rPr>
                <w:rFonts w:eastAsia="Calibri"/>
                <w:bCs/>
                <w:szCs w:val="22"/>
              </w:rPr>
            </w:pPr>
            <w:r w:rsidRPr="00D54D3B">
              <w:rPr>
                <w:rFonts w:eastAsia="Calibri"/>
                <w:bCs/>
                <w:szCs w:val="22"/>
              </w:rPr>
              <w:t xml:space="preserve">Protection, monitoring and control systems that use synchrophasors are </w:t>
            </w:r>
            <w:r w:rsidRPr="00D54D3B">
              <w:rPr>
                <w:rFonts w:eastAsia="Calibri"/>
                <w:bCs/>
                <w:szCs w:val="22"/>
              </w:rPr>
              <w:lastRenderedPageBreak/>
              <w:t xml:space="preserve">complex hierarchical systems with PMUs at the bottom of the hierarchy and PDCs at the different levels of the hierarchy as shown in </w:t>
            </w:r>
            <w:hyperlink w:anchor="_bookmark14" w:history="1">
              <w:r w:rsidRPr="00D54D3B">
                <w:rPr>
                  <w:rFonts w:eastAsia="Calibri"/>
                  <w:bCs/>
                  <w:szCs w:val="22"/>
                </w:rPr>
                <w:t>Figure 13.</w:t>
              </w:r>
            </w:hyperlink>
          </w:p>
          <w:p w:rsidR="00D54D3B" w:rsidRPr="00D54D3B" w:rsidRDefault="00D54D3B" w:rsidP="00D54D3B">
            <w:pPr>
              <w:pStyle w:val="BodyText"/>
              <w:tabs>
                <w:tab w:val="left" w:pos="0"/>
              </w:tabs>
              <w:spacing w:line="276" w:lineRule="auto"/>
              <w:rPr>
                <w:rFonts w:eastAsia="Calibri"/>
                <w:sz w:val="24"/>
                <w:szCs w:val="22"/>
                <w:lang w:val="mn-MN"/>
              </w:rPr>
            </w:pPr>
          </w:p>
        </w:tc>
      </w:tr>
    </w:tbl>
    <w:p w:rsidR="00D54D3B" w:rsidRDefault="00D54D3B" w:rsidP="00811BEA">
      <w:pPr>
        <w:ind w:left="0" w:firstLine="0"/>
        <w:jc w:val="center"/>
        <w:rPr>
          <w:b/>
          <w:lang w:val="en-US"/>
        </w:rPr>
      </w:pPr>
    </w:p>
    <w:p w:rsidR="00D54D3B" w:rsidRPr="00D54D3B" w:rsidRDefault="00D54D3B" w:rsidP="00811BEA">
      <w:pPr>
        <w:ind w:left="0" w:firstLine="0"/>
        <w:jc w:val="center"/>
        <w:rPr>
          <w:b/>
          <w:lang w:val="en-US"/>
        </w:rPr>
      </w:pPr>
      <w:r w:rsidRPr="00EF2D2B">
        <w:object w:dxaOrig="8257" w:dyaOrig="10689">
          <v:shape id="_x0000_i1069" type="#_x0000_t75" style="width:415.25pt;height:535.8pt" o:ole="">
            <v:imagedata r:id="rId43" o:title=""/>
          </v:shape>
          <o:OLEObject Type="Embed" ProgID="Visio.Drawing.11" ShapeID="_x0000_i1069" DrawAspect="Content" ObjectID="_1701177459" r:id="rId44"/>
        </w:object>
      </w:r>
    </w:p>
    <w:p w:rsidR="00811BEA" w:rsidRDefault="00811BEA" w:rsidP="00811BEA">
      <w:pPr>
        <w:ind w:left="0" w:firstLine="0"/>
        <w:jc w:val="center"/>
        <w:rPr>
          <w:b/>
        </w:rPr>
      </w:pPr>
    </w:p>
    <w:p w:rsidR="00811BEA" w:rsidRDefault="00D54D3B" w:rsidP="00811BEA">
      <w:pPr>
        <w:ind w:left="0" w:firstLine="0"/>
        <w:jc w:val="center"/>
        <w:rPr>
          <w:b/>
        </w:rPr>
      </w:pPr>
      <w:r w:rsidRPr="00D54D3B">
        <w:rPr>
          <w:b/>
        </w:rPr>
        <w:t>13</w:t>
      </w:r>
      <w:r>
        <w:rPr>
          <w:b/>
          <w:lang w:val="en-US"/>
        </w:rPr>
        <w:t>-</w:t>
      </w:r>
      <w:r>
        <w:rPr>
          <w:b/>
        </w:rPr>
        <w:t>р зураг</w:t>
      </w:r>
      <w:r w:rsidRPr="00D54D3B">
        <w:rPr>
          <w:b/>
        </w:rPr>
        <w:t xml:space="preserve"> – Системийн шатлал</w:t>
      </w:r>
    </w:p>
    <w:p w:rsidR="00D54D3B" w:rsidRDefault="00D54D3B" w:rsidP="00811BEA">
      <w:pPr>
        <w:ind w:left="0" w:firstLine="0"/>
        <w:jc w:val="center"/>
        <w:rPr>
          <w:b/>
        </w:rPr>
      </w:pPr>
    </w:p>
    <w:p w:rsidR="00D54D3B" w:rsidRDefault="00D54D3B" w:rsidP="00811BEA">
      <w:pPr>
        <w:ind w:left="0" w:firstLine="0"/>
        <w:jc w:val="center"/>
      </w:pPr>
      <w:r w:rsidRPr="00EF2D2B">
        <w:rPr>
          <w:noProof/>
          <w:lang w:val="en-US"/>
        </w:rPr>
        <w:lastRenderedPageBreak/>
        <w:drawing>
          <wp:inline distT="0" distB="0" distL="0" distR="0" wp14:anchorId="5341B91C" wp14:editId="1B674B34">
            <wp:extent cx="5357772" cy="6581553"/>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70945" cy="6597735"/>
                    </a:xfrm>
                    <a:prstGeom prst="rect">
                      <a:avLst/>
                    </a:prstGeom>
                  </pic:spPr>
                </pic:pic>
              </a:graphicData>
            </a:graphic>
          </wp:inline>
        </w:drawing>
      </w:r>
    </w:p>
    <w:p w:rsidR="00D54D3B" w:rsidRDefault="00D54D3B" w:rsidP="00811BEA">
      <w:pPr>
        <w:ind w:left="0" w:firstLine="0"/>
        <w:jc w:val="center"/>
        <w:rPr>
          <w:b/>
        </w:rPr>
      </w:pPr>
      <w:r w:rsidRPr="00D54D3B">
        <w:rPr>
          <w:b/>
        </w:rPr>
        <w:t>Figure 13 – System hierarchy</w:t>
      </w:r>
    </w:p>
    <w:p w:rsidR="00235E69" w:rsidRDefault="00235E69"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235E69" w:rsidTr="00235E69">
        <w:tc>
          <w:tcPr>
            <w:tcW w:w="4672" w:type="dxa"/>
          </w:tcPr>
          <w:p w:rsidR="00235E69" w:rsidRPr="00235E69" w:rsidRDefault="00235E69" w:rsidP="00235E69">
            <w:pPr>
              <w:tabs>
                <w:tab w:val="left" w:pos="0"/>
              </w:tabs>
              <w:ind w:left="0" w:firstLine="0"/>
              <w:rPr>
                <w:rFonts w:eastAsia="Calibri"/>
                <w:b/>
                <w:bCs/>
                <w:szCs w:val="22"/>
              </w:rPr>
            </w:pPr>
            <w:r w:rsidRPr="00235E69">
              <w:rPr>
                <w:rFonts w:eastAsia="Calibri"/>
                <w:b/>
                <w:bCs/>
                <w:szCs w:val="22"/>
              </w:rPr>
              <w:t>6.3 PMU загвар</w:t>
            </w:r>
          </w:p>
          <w:p w:rsidR="00235E69" w:rsidRPr="00235E69" w:rsidRDefault="00235E69" w:rsidP="00235E69">
            <w:pPr>
              <w:tabs>
                <w:tab w:val="left" w:pos="0"/>
              </w:tabs>
              <w:ind w:left="0" w:firstLine="0"/>
              <w:rPr>
                <w:rFonts w:eastAsia="Calibri"/>
                <w:bCs/>
                <w:szCs w:val="22"/>
              </w:rPr>
            </w:pPr>
            <w:r w:rsidRPr="00235E69">
              <w:rPr>
                <w:rFonts w:eastAsia="Calibri"/>
                <w:bCs/>
                <w:szCs w:val="22"/>
              </w:rPr>
              <w:t xml:space="preserve">PMU нь IEEE C37.118.1-т тодорхойлсон хэмжилтийн синхрофазорыг тооцоолох ба хэвлэх үүрэгтэй IED-ийн функц юм. </w:t>
            </w:r>
          </w:p>
          <w:p w:rsidR="00235E69" w:rsidRPr="00235E69" w:rsidRDefault="00235E69" w:rsidP="00235E69">
            <w:pPr>
              <w:tabs>
                <w:tab w:val="left" w:pos="0"/>
              </w:tabs>
              <w:ind w:left="0" w:firstLine="0"/>
              <w:rPr>
                <w:rFonts w:eastAsia="Calibri"/>
                <w:bCs/>
                <w:szCs w:val="22"/>
              </w:rPr>
            </w:pPr>
          </w:p>
          <w:p w:rsidR="00235E69" w:rsidRPr="00235E69" w:rsidRDefault="00235E69" w:rsidP="00235E69">
            <w:pPr>
              <w:tabs>
                <w:tab w:val="left" w:pos="0"/>
              </w:tabs>
              <w:ind w:left="0" w:firstLine="0"/>
              <w:rPr>
                <w:rFonts w:eastAsia="Calibri"/>
                <w:bCs/>
                <w:szCs w:val="22"/>
              </w:rPr>
            </w:pPr>
          </w:p>
          <w:p w:rsidR="00235E69" w:rsidRPr="00235E69" w:rsidRDefault="00235E69" w:rsidP="00235E69">
            <w:pPr>
              <w:tabs>
                <w:tab w:val="left" w:pos="0"/>
              </w:tabs>
              <w:ind w:left="0" w:firstLine="0"/>
              <w:rPr>
                <w:rFonts w:eastAsia="Calibri"/>
                <w:bCs/>
                <w:szCs w:val="22"/>
              </w:rPr>
            </w:pPr>
            <w:r w:rsidRPr="00235E69">
              <w:rPr>
                <w:rFonts w:eastAsia="Calibri"/>
                <w:bCs/>
                <w:szCs w:val="22"/>
              </w:rPr>
              <w:t xml:space="preserve">Эдгээр тооцоонууд нь PMU функц агуулсан IED -ийн хүрээнд аналог оролтын модулийн гаргаж авсан </w:t>
            </w:r>
            <w:r w:rsidRPr="00235E69">
              <w:rPr>
                <w:rFonts w:eastAsia="Calibri"/>
                <w:bCs/>
                <w:szCs w:val="22"/>
              </w:rPr>
              <w:lastRenderedPageBreak/>
              <w:t>түүврийн утгууд эсвэл PMU функц агуулсан IED -ийг нэгтгэж буй дэд станцад нэг буюу хэд хэдэн нэгтгэх</w:t>
            </w:r>
          </w:p>
          <w:p w:rsidR="00235E69" w:rsidRPr="00235E69" w:rsidRDefault="00235E69" w:rsidP="00235E69">
            <w:pPr>
              <w:tabs>
                <w:tab w:val="left" w:pos="0"/>
              </w:tabs>
              <w:ind w:left="0" w:firstLine="0"/>
              <w:rPr>
                <w:rFonts w:eastAsia="Calibri"/>
                <w:bCs/>
                <w:szCs w:val="22"/>
              </w:rPr>
            </w:pPr>
            <w:r w:rsidRPr="00235E69">
              <w:rPr>
                <w:rFonts w:eastAsia="Calibri"/>
                <w:bCs/>
                <w:szCs w:val="22"/>
              </w:rPr>
              <w:t xml:space="preserve">Хэрэв PMU нь фазын гүйдэл ба хүчдэлийг хэвлэж байгаа бол 14-р зурагт харуулсны дагуу нэг буюу хэд хэдэн MMXU-ийн жишээг ашиглана. </w:t>
            </w:r>
          </w:p>
          <w:p w:rsidR="00235E69" w:rsidRPr="00235E69" w:rsidRDefault="00235E69" w:rsidP="00235E69">
            <w:pPr>
              <w:tabs>
                <w:tab w:val="left" w:pos="0"/>
              </w:tabs>
              <w:ind w:left="0" w:firstLine="0"/>
              <w:rPr>
                <w:rFonts w:eastAsia="Calibri"/>
                <w:bCs/>
                <w:szCs w:val="22"/>
              </w:rPr>
            </w:pPr>
            <w:r w:rsidRPr="00235E69">
              <w:rPr>
                <w:rFonts w:eastAsia="Calibri"/>
                <w:bCs/>
                <w:szCs w:val="22"/>
              </w:rPr>
              <w:t>Хэрэв PMU нь дарааллын гүйдэл ба хүчдэлийг хэвлэж байгаа бол MSQI-ийн нэг буюу хэд хэдэн тохиолдлыг ашиглана.</w:t>
            </w:r>
          </w:p>
          <w:p w:rsidR="00235E69" w:rsidRPr="00235E69" w:rsidRDefault="00235E69" w:rsidP="00235E69">
            <w:pPr>
              <w:tabs>
                <w:tab w:val="left" w:pos="0"/>
              </w:tabs>
              <w:ind w:left="0" w:firstLine="0"/>
              <w:jc w:val="center"/>
              <w:rPr>
                <w:rFonts w:eastAsia="Calibri"/>
                <w:bCs/>
                <w:szCs w:val="22"/>
              </w:rPr>
            </w:pPr>
          </w:p>
        </w:tc>
        <w:tc>
          <w:tcPr>
            <w:tcW w:w="4672" w:type="dxa"/>
          </w:tcPr>
          <w:p w:rsidR="00235E69" w:rsidRPr="00235E69" w:rsidRDefault="00235E69" w:rsidP="00235E69">
            <w:pPr>
              <w:tabs>
                <w:tab w:val="left" w:pos="0"/>
              </w:tabs>
              <w:ind w:left="0" w:firstLine="0"/>
              <w:rPr>
                <w:rFonts w:eastAsia="Calibri"/>
                <w:b/>
                <w:bCs/>
                <w:szCs w:val="22"/>
              </w:rPr>
            </w:pPr>
            <w:r w:rsidRPr="00235E69">
              <w:rPr>
                <w:rFonts w:eastAsia="Calibri"/>
                <w:b/>
                <w:bCs/>
                <w:szCs w:val="22"/>
              </w:rPr>
              <w:lastRenderedPageBreak/>
              <w:t>6.3 PMU model</w:t>
            </w:r>
          </w:p>
          <w:p w:rsidR="00235E69" w:rsidRPr="00235E69" w:rsidRDefault="00235E69" w:rsidP="00235E69">
            <w:pPr>
              <w:tabs>
                <w:tab w:val="left" w:pos="0"/>
              </w:tabs>
              <w:ind w:left="0" w:firstLine="0"/>
              <w:rPr>
                <w:rFonts w:eastAsia="Calibri"/>
                <w:bCs/>
                <w:szCs w:val="22"/>
              </w:rPr>
            </w:pPr>
            <w:r w:rsidRPr="00235E69">
              <w:rPr>
                <w:rFonts w:eastAsia="Calibri"/>
                <w:bCs/>
                <w:szCs w:val="22"/>
              </w:rPr>
              <w:t>The PMU is a function within an IED which is responsible for the calculation and publishing of synchrophasor measurements as defined in IEEE C37.118.1.</w:t>
            </w:r>
          </w:p>
          <w:p w:rsidR="00235E69" w:rsidRPr="00235E69" w:rsidRDefault="00235E69" w:rsidP="00235E69">
            <w:pPr>
              <w:tabs>
                <w:tab w:val="left" w:pos="0"/>
              </w:tabs>
              <w:ind w:left="0" w:firstLine="0"/>
              <w:rPr>
                <w:rFonts w:eastAsia="Calibri"/>
                <w:bCs/>
                <w:szCs w:val="22"/>
              </w:rPr>
            </w:pPr>
            <w:r w:rsidRPr="00235E69">
              <w:rPr>
                <w:rFonts w:eastAsia="Calibri"/>
                <w:bCs/>
                <w:szCs w:val="22"/>
              </w:rPr>
              <w:t xml:space="preserve">These calculations are based on sampled values produced by the analog input module within the IED containing the PMU function or based on streaming sampled </w:t>
            </w:r>
            <w:r w:rsidRPr="00235E69">
              <w:rPr>
                <w:rFonts w:eastAsia="Calibri"/>
                <w:bCs/>
                <w:szCs w:val="22"/>
              </w:rPr>
              <w:lastRenderedPageBreak/>
              <w:t>values produced by one or more merging units in the substation that the IED containing the PMU function  is subscribing to.</w:t>
            </w:r>
          </w:p>
          <w:p w:rsidR="00235E69" w:rsidRPr="00235E69" w:rsidRDefault="00235E69" w:rsidP="00235E69">
            <w:pPr>
              <w:tabs>
                <w:tab w:val="left" w:pos="0"/>
              </w:tabs>
              <w:ind w:left="0" w:firstLine="0"/>
              <w:rPr>
                <w:rFonts w:eastAsia="Calibri"/>
                <w:bCs/>
                <w:szCs w:val="22"/>
              </w:rPr>
            </w:pPr>
            <w:r w:rsidRPr="00235E69">
              <w:rPr>
                <w:rFonts w:eastAsia="Calibri"/>
                <w:bCs/>
                <w:szCs w:val="22"/>
              </w:rPr>
              <w:t xml:space="preserve">If the PMU is publishing phase currents and voltages, one or more instances of MMXU will be used as shown in </w:t>
            </w:r>
            <w:hyperlink w:anchor="_bookmark15" w:history="1">
              <w:r w:rsidRPr="00235E69">
                <w:rPr>
                  <w:rFonts w:eastAsia="Calibri"/>
                  <w:bCs/>
                  <w:szCs w:val="22"/>
                </w:rPr>
                <w:t>Figure 14.</w:t>
              </w:r>
            </w:hyperlink>
          </w:p>
          <w:p w:rsidR="00235E69" w:rsidRPr="00235E69" w:rsidRDefault="00235E69" w:rsidP="00235E69">
            <w:pPr>
              <w:tabs>
                <w:tab w:val="left" w:pos="0"/>
              </w:tabs>
              <w:ind w:left="0" w:firstLine="0"/>
              <w:rPr>
                <w:rFonts w:eastAsia="Calibri"/>
                <w:bCs/>
                <w:szCs w:val="22"/>
              </w:rPr>
            </w:pPr>
            <w:r w:rsidRPr="00235E69">
              <w:rPr>
                <w:rFonts w:eastAsia="Calibri"/>
                <w:bCs/>
                <w:szCs w:val="22"/>
              </w:rPr>
              <w:t>If the PMU is publishing sequence currents and voltages, one or more instances of  MSQI will  be used.</w:t>
            </w:r>
          </w:p>
        </w:tc>
      </w:tr>
    </w:tbl>
    <w:p w:rsidR="00235E69" w:rsidRDefault="00235E69" w:rsidP="00811BEA">
      <w:pPr>
        <w:ind w:left="0" w:firstLine="0"/>
        <w:jc w:val="center"/>
        <w:rPr>
          <w:b/>
        </w:rPr>
      </w:pPr>
    </w:p>
    <w:p w:rsidR="00235E69" w:rsidRDefault="00235E69" w:rsidP="00811BEA">
      <w:pPr>
        <w:ind w:left="0" w:firstLine="0"/>
        <w:jc w:val="center"/>
        <w:rPr>
          <w:b/>
        </w:rPr>
      </w:pPr>
      <w:r>
        <w:rPr>
          <w:noProof/>
          <w:lang w:val="en-US"/>
        </w:rPr>
        <w:drawing>
          <wp:inline distT="0" distB="0" distL="0" distR="0" wp14:anchorId="1CBABCC1" wp14:editId="7CD6F94A">
            <wp:extent cx="4724400" cy="2828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24400" cy="2828925"/>
                    </a:xfrm>
                    <a:prstGeom prst="rect">
                      <a:avLst/>
                    </a:prstGeom>
                  </pic:spPr>
                </pic:pic>
              </a:graphicData>
            </a:graphic>
          </wp:inline>
        </w:drawing>
      </w:r>
    </w:p>
    <w:p w:rsidR="00235E69" w:rsidRDefault="00235E69" w:rsidP="00811BEA">
      <w:pPr>
        <w:ind w:left="0" w:firstLine="0"/>
        <w:jc w:val="center"/>
        <w:rPr>
          <w:b/>
        </w:rPr>
      </w:pPr>
      <w:r w:rsidRPr="00235E69">
        <w:rPr>
          <w:b/>
        </w:rPr>
        <w:t>14</w:t>
      </w:r>
      <w:r>
        <w:rPr>
          <w:b/>
        </w:rPr>
        <w:t>-р зураг</w:t>
      </w:r>
      <w:r w:rsidRPr="00235E69">
        <w:rPr>
          <w:b/>
        </w:rPr>
        <w:t xml:space="preserve"> – PMU объектын загвар</w:t>
      </w:r>
    </w:p>
    <w:p w:rsidR="00235E69" w:rsidRDefault="00235E69" w:rsidP="00811BEA">
      <w:pPr>
        <w:ind w:left="0" w:firstLine="0"/>
        <w:jc w:val="center"/>
        <w:rPr>
          <w:b/>
        </w:rPr>
      </w:pPr>
    </w:p>
    <w:p w:rsidR="00235E69" w:rsidRDefault="00235E69" w:rsidP="00811BEA">
      <w:pPr>
        <w:ind w:left="0" w:firstLine="0"/>
        <w:jc w:val="center"/>
        <w:rPr>
          <w:b/>
        </w:rPr>
      </w:pPr>
      <w:r>
        <w:rPr>
          <w:noProof/>
          <w:lang w:val="en-US"/>
        </w:rPr>
        <w:drawing>
          <wp:inline distT="0" distB="0" distL="0" distR="0" wp14:anchorId="3BAF3B6D" wp14:editId="4BC5EB60">
            <wp:extent cx="4276725" cy="2457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76725" cy="2457450"/>
                    </a:xfrm>
                    <a:prstGeom prst="rect">
                      <a:avLst/>
                    </a:prstGeom>
                  </pic:spPr>
                </pic:pic>
              </a:graphicData>
            </a:graphic>
          </wp:inline>
        </w:drawing>
      </w:r>
      <w:r>
        <w:rPr>
          <w:b/>
        </w:rPr>
        <w:br/>
      </w:r>
      <w:r w:rsidRPr="00235E69">
        <w:rPr>
          <w:b/>
        </w:rPr>
        <w:t>Figure 14 – PMU object model</w:t>
      </w:r>
    </w:p>
    <w:p w:rsidR="00235E69" w:rsidRDefault="00235E69" w:rsidP="00811BEA">
      <w:pPr>
        <w:ind w:left="0" w:firstLine="0"/>
        <w:jc w:val="center"/>
        <w:rPr>
          <w:b/>
        </w:rPr>
      </w:pPr>
    </w:p>
    <w:p w:rsidR="00235E69" w:rsidRDefault="00235E69"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235E69" w:rsidTr="00235E69">
        <w:tc>
          <w:tcPr>
            <w:tcW w:w="4672" w:type="dxa"/>
          </w:tcPr>
          <w:p w:rsidR="00235E69" w:rsidRPr="00235E69" w:rsidRDefault="00235E69" w:rsidP="00235E69">
            <w:pPr>
              <w:tabs>
                <w:tab w:val="left" w:pos="0"/>
              </w:tabs>
              <w:ind w:left="0" w:firstLine="0"/>
              <w:rPr>
                <w:rFonts w:eastAsia="Calibri"/>
                <w:b/>
                <w:bCs/>
                <w:szCs w:val="22"/>
              </w:rPr>
            </w:pPr>
            <w:r w:rsidRPr="00235E69">
              <w:rPr>
                <w:rFonts w:eastAsia="Calibri"/>
                <w:b/>
                <w:bCs/>
                <w:szCs w:val="22"/>
              </w:rPr>
              <w:lastRenderedPageBreak/>
              <w:t>6.4 Фазор өгөгдлийн хуримтлуулагчуудад (PDCs)</w:t>
            </w:r>
          </w:p>
          <w:p w:rsidR="00235E69" w:rsidRPr="00235E69" w:rsidRDefault="00235E69" w:rsidP="00235E69">
            <w:pPr>
              <w:tabs>
                <w:tab w:val="left" w:pos="0"/>
              </w:tabs>
              <w:ind w:left="0" w:firstLine="0"/>
              <w:rPr>
                <w:rFonts w:eastAsia="Calibri"/>
                <w:b/>
                <w:bCs/>
                <w:szCs w:val="22"/>
              </w:rPr>
            </w:pPr>
            <w:r w:rsidRPr="00235E69">
              <w:rPr>
                <w:rFonts w:eastAsia="Calibri"/>
                <w:b/>
                <w:bCs/>
                <w:szCs w:val="22"/>
              </w:rPr>
              <w:t>6.4.1 Ерөнхий</w:t>
            </w:r>
            <w:r w:rsidR="00CC195F">
              <w:rPr>
                <w:rFonts w:eastAsia="Calibri"/>
                <w:b/>
                <w:bCs/>
                <w:szCs w:val="22"/>
              </w:rPr>
              <w:t xml:space="preserve"> зүйл</w:t>
            </w:r>
          </w:p>
          <w:p w:rsidR="00235E69" w:rsidRPr="00235E69" w:rsidRDefault="00235E69" w:rsidP="00235E69">
            <w:pPr>
              <w:tabs>
                <w:tab w:val="left" w:pos="0"/>
              </w:tabs>
              <w:ind w:left="0" w:firstLine="0"/>
              <w:rPr>
                <w:rFonts w:eastAsia="Calibri"/>
                <w:bCs/>
                <w:szCs w:val="22"/>
              </w:rPr>
            </w:pPr>
            <w:r w:rsidRPr="00235E69">
              <w:rPr>
                <w:rFonts w:eastAsia="Calibri"/>
                <w:bCs/>
                <w:szCs w:val="22"/>
              </w:rPr>
              <w:t>PDC-ийг байрлуулах хэд хэдэн зөвшөөрөгдсөн хувилбарууд байдаг: Дэд станц ба мужийн. Дараах дэд бүлгүүдэд эдгээр нэгжүүдийн загварчлалын талаар зааварчилгааг өгөв.</w:t>
            </w:r>
          </w:p>
          <w:p w:rsidR="00235E69" w:rsidRPr="00235E69" w:rsidRDefault="00235E69" w:rsidP="00235E69">
            <w:pPr>
              <w:tabs>
                <w:tab w:val="left" w:pos="0"/>
              </w:tabs>
              <w:ind w:left="0" w:firstLine="0"/>
              <w:rPr>
                <w:rFonts w:eastAsia="Calibri"/>
                <w:b/>
                <w:bCs/>
                <w:szCs w:val="22"/>
              </w:rPr>
            </w:pPr>
            <w:r w:rsidRPr="00235E69">
              <w:rPr>
                <w:rFonts w:eastAsia="Calibri"/>
                <w:b/>
                <w:bCs/>
                <w:szCs w:val="22"/>
              </w:rPr>
              <w:t xml:space="preserve"> 6.4.2 Дэд станцын PDC загвар</w:t>
            </w:r>
          </w:p>
          <w:p w:rsidR="00235E69" w:rsidRPr="00235E69" w:rsidRDefault="00235E69" w:rsidP="00235E69">
            <w:pPr>
              <w:tabs>
                <w:tab w:val="left" w:pos="0"/>
              </w:tabs>
              <w:ind w:left="0" w:firstLine="0"/>
              <w:rPr>
                <w:rFonts w:eastAsia="Calibri"/>
                <w:bCs/>
                <w:szCs w:val="22"/>
              </w:rPr>
            </w:pPr>
            <w:r w:rsidRPr="00235E69">
              <w:rPr>
                <w:rFonts w:eastAsia="Calibri"/>
                <w:bCs/>
                <w:szCs w:val="22"/>
              </w:rPr>
              <w:t>Дэд станцын фазор өгөгдлийн хуримтлуулагч (PDC) нь дэд станц дахь олон PMU-ээс дэд станцын LAN-ийн өгөгдлийг хүлээн авдаг функц юм. Хүлээн авсан өгөгдлийг хугацааны хаяглалтаар ба бусад хэрэглээнүүдэд ашиглахын тулд эрэмбэлдэг. Шаардлагатай бол PDC нь өөр өөр хэвлэх хурдыг ашиглан төхөөрөмжөөс хэмжилтүүдийг тохируулах зорилгоор дахин түүвэр авах шаардлагатай болж магадгүй юм.</w:t>
            </w:r>
          </w:p>
          <w:p w:rsidR="00235E69" w:rsidRPr="00235E69" w:rsidRDefault="00235E69" w:rsidP="00235E69">
            <w:pPr>
              <w:tabs>
                <w:tab w:val="left" w:pos="0"/>
              </w:tabs>
              <w:ind w:left="0" w:firstLine="0"/>
              <w:rPr>
                <w:rFonts w:eastAsia="Calibri"/>
                <w:bCs/>
                <w:szCs w:val="22"/>
              </w:rPr>
            </w:pPr>
            <w:r w:rsidRPr="00235E69">
              <w:rPr>
                <w:rFonts w:eastAsia="Calibri"/>
                <w:bCs/>
                <w:szCs w:val="22"/>
              </w:rPr>
              <w:t>Системийн шатлал дээд түвшний шаардлагатай өгөгдлийн төлөөлөх багцыг агуулсан өгөгдлийн багц нь UDP multicast ашиглан өргөн хүрээний интерфейсээр үүсгэгдсэн ба хэвлэгдсэн.</w:t>
            </w:r>
          </w:p>
          <w:p w:rsidR="00235E69" w:rsidRPr="00235E69" w:rsidRDefault="00235E69" w:rsidP="00235E69">
            <w:pPr>
              <w:tabs>
                <w:tab w:val="left" w:pos="0"/>
              </w:tabs>
              <w:ind w:left="0" w:firstLine="0"/>
              <w:rPr>
                <w:rFonts w:eastAsia="Calibri"/>
                <w:bCs/>
                <w:szCs w:val="22"/>
              </w:rPr>
            </w:pPr>
            <w:r w:rsidRPr="00235E69">
              <w:rPr>
                <w:rFonts w:eastAsia="Calibri"/>
                <w:bCs/>
                <w:szCs w:val="22"/>
              </w:rPr>
              <w:t>PDC функцийг PDC логик төхөөрөмжөөр Proxy өгөгдлийн объекттойTrue-д тохируулжLPHD Proxy-глогик зангилаагаар загварчлахыг зөвлөж байна.</w:t>
            </w:r>
          </w:p>
          <w:p w:rsidR="00235E69" w:rsidRPr="00235E69" w:rsidRDefault="00235E69" w:rsidP="00235E69">
            <w:pPr>
              <w:tabs>
                <w:tab w:val="left" w:pos="0"/>
              </w:tabs>
              <w:ind w:left="0" w:firstLine="0"/>
              <w:rPr>
                <w:rFonts w:eastAsia="Calibri"/>
                <w:bCs/>
                <w:szCs w:val="22"/>
              </w:rPr>
            </w:pPr>
            <w:r w:rsidRPr="00235E69">
              <w:rPr>
                <w:rFonts w:eastAsia="Calibri"/>
                <w:bCs/>
                <w:szCs w:val="22"/>
              </w:rPr>
              <w:t>PDC загвар нь IEC 61850-7-1-т заасны дагуу логик төхөөрөмжүүдийн үүр дээр суурилдаг. Боломжит шатлан захирах</w:t>
            </w:r>
            <w:r>
              <w:rPr>
                <w:rFonts w:eastAsia="Calibri"/>
                <w:bCs/>
                <w:szCs w:val="22"/>
              </w:rPr>
              <w:t xml:space="preserve"> жишээг </w:t>
            </w:r>
            <w:r w:rsidRPr="00235E69">
              <w:rPr>
                <w:rFonts w:eastAsia="Calibri"/>
                <w:bCs/>
                <w:szCs w:val="22"/>
              </w:rPr>
              <w:t>1</w:t>
            </w:r>
            <w:r>
              <w:rPr>
                <w:rFonts w:eastAsia="Calibri"/>
                <w:bCs/>
                <w:szCs w:val="22"/>
              </w:rPr>
              <w:t>5-р зурагт</w:t>
            </w:r>
            <w:r w:rsidRPr="00235E69">
              <w:rPr>
                <w:rFonts w:eastAsia="Calibri"/>
                <w:bCs/>
                <w:szCs w:val="22"/>
              </w:rPr>
              <w:t xml:space="preserve"> үзүүлэв.</w:t>
            </w:r>
          </w:p>
        </w:tc>
        <w:tc>
          <w:tcPr>
            <w:tcW w:w="4672" w:type="dxa"/>
          </w:tcPr>
          <w:p w:rsidR="00235E69" w:rsidRPr="00235E69" w:rsidRDefault="00235E69" w:rsidP="00235E69">
            <w:pPr>
              <w:tabs>
                <w:tab w:val="left" w:pos="0"/>
              </w:tabs>
              <w:ind w:left="0" w:firstLine="0"/>
              <w:rPr>
                <w:rFonts w:eastAsia="Calibri"/>
                <w:b/>
                <w:bCs/>
                <w:szCs w:val="22"/>
              </w:rPr>
            </w:pPr>
            <w:bookmarkStart w:id="7" w:name="6.4_Phasor_Data_Concentrators_(PDCs)"/>
            <w:bookmarkEnd w:id="7"/>
            <w:r w:rsidRPr="00235E69">
              <w:rPr>
                <w:rFonts w:eastAsia="Calibri"/>
                <w:b/>
                <w:bCs/>
                <w:szCs w:val="22"/>
              </w:rPr>
              <w:t>6.4 Phasor Data Concentrators (PDCs)</w:t>
            </w:r>
          </w:p>
          <w:p w:rsidR="00235E69" w:rsidRPr="00235E69" w:rsidRDefault="00235E69" w:rsidP="00235E69">
            <w:pPr>
              <w:tabs>
                <w:tab w:val="left" w:pos="0"/>
              </w:tabs>
              <w:ind w:left="0" w:firstLine="0"/>
              <w:rPr>
                <w:rFonts w:eastAsia="Calibri"/>
                <w:b/>
                <w:bCs/>
                <w:szCs w:val="22"/>
              </w:rPr>
            </w:pPr>
            <w:bookmarkStart w:id="8" w:name="6.4.1_General"/>
            <w:bookmarkEnd w:id="8"/>
            <w:r w:rsidRPr="00235E69">
              <w:rPr>
                <w:rFonts w:eastAsia="Calibri"/>
                <w:b/>
                <w:bCs/>
                <w:szCs w:val="22"/>
              </w:rPr>
              <w:t>6.4.1 General</w:t>
            </w:r>
          </w:p>
          <w:p w:rsidR="00235E69" w:rsidRPr="00235E69" w:rsidRDefault="00235E69" w:rsidP="00235E69">
            <w:pPr>
              <w:tabs>
                <w:tab w:val="left" w:pos="0"/>
              </w:tabs>
              <w:ind w:left="0" w:firstLine="0"/>
              <w:rPr>
                <w:rFonts w:eastAsia="Calibri"/>
                <w:bCs/>
                <w:szCs w:val="22"/>
              </w:rPr>
            </w:pPr>
            <w:r w:rsidRPr="00235E69">
              <w:rPr>
                <w:rFonts w:eastAsia="Calibri"/>
                <w:bCs/>
                <w:szCs w:val="22"/>
              </w:rPr>
              <w:t>There are several recognized deployment options for PDCs: Substation and Regional. The following subclauses give guidance of the modelling of these entities.</w:t>
            </w:r>
          </w:p>
          <w:p w:rsidR="00235E69" w:rsidRPr="00235E69" w:rsidRDefault="00235E69" w:rsidP="00235E69">
            <w:pPr>
              <w:tabs>
                <w:tab w:val="left" w:pos="0"/>
              </w:tabs>
              <w:ind w:left="0" w:firstLine="0"/>
              <w:rPr>
                <w:rFonts w:eastAsia="Calibri"/>
                <w:b/>
                <w:bCs/>
                <w:szCs w:val="22"/>
              </w:rPr>
            </w:pPr>
            <w:bookmarkStart w:id="9" w:name="_bookmark16"/>
            <w:bookmarkStart w:id="10" w:name="6.4.2_Substation_PDC_model"/>
            <w:bookmarkEnd w:id="9"/>
            <w:bookmarkEnd w:id="10"/>
            <w:r w:rsidRPr="00235E69">
              <w:rPr>
                <w:rFonts w:eastAsia="Calibri"/>
                <w:b/>
                <w:bCs/>
                <w:szCs w:val="22"/>
              </w:rPr>
              <w:t>6.4.2 Substation PDC model</w:t>
            </w:r>
          </w:p>
          <w:p w:rsidR="00235E69" w:rsidRPr="00235E69" w:rsidRDefault="00235E69" w:rsidP="00235E69">
            <w:pPr>
              <w:tabs>
                <w:tab w:val="left" w:pos="0"/>
              </w:tabs>
              <w:ind w:left="0" w:firstLine="0"/>
              <w:rPr>
                <w:rFonts w:eastAsia="Calibri"/>
                <w:bCs/>
                <w:szCs w:val="22"/>
              </w:rPr>
            </w:pPr>
            <w:r w:rsidRPr="00235E69">
              <w:rPr>
                <w:rFonts w:eastAsia="Calibri"/>
                <w:bCs/>
                <w:szCs w:val="22"/>
              </w:rPr>
              <w:t>The substation Phasor Data Concentrator (PDC) is a function that receives over  the  substation LAN data from multiple PMUs in the substation. The received data are sorted by  their time-tags and provided to other applications to use them. If necessary, the PDC  may  need to perform re-sampling in order to align measurements from devices using different publishing rates.</w:t>
            </w:r>
          </w:p>
          <w:p w:rsidR="00235E69" w:rsidRPr="00235E69" w:rsidRDefault="00235E69" w:rsidP="00235E69">
            <w:pPr>
              <w:tabs>
                <w:tab w:val="left" w:pos="0"/>
              </w:tabs>
              <w:ind w:left="0" w:firstLine="0"/>
              <w:rPr>
                <w:rFonts w:eastAsia="Calibri"/>
                <w:bCs/>
                <w:szCs w:val="22"/>
              </w:rPr>
            </w:pPr>
            <w:r w:rsidRPr="00235E69">
              <w:rPr>
                <w:rFonts w:eastAsia="Calibri"/>
                <w:bCs/>
                <w:szCs w:val="22"/>
              </w:rPr>
              <w:t>A data set containing a representative set of data as  required by the upper levels of  the system hierarchy is created and published over a wide area interface using UDP multicast</w:t>
            </w:r>
          </w:p>
          <w:p w:rsidR="00235E69" w:rsidRPr="00235E69" w:rsidRDefault="00235E69" w:rsidP="00235E69">
            <w:pPr>
              <w:tabs>
                <w:tab w:val="left" w:pos="0"/>
              </w:tabs>
              <w:ind w:left="0" w:firstLine="0"/>
              <w:rPr>
                <w:rFonts w:eastAsia="Calibri"/>
                <w:bCs/>
                <w:szCs w:val="22"/>
              </w:rPr>
            </w:pPr>
            <w:r w:rsidRPr="00235E69">
              <w:rPr>
                <w:rFonts w:eastAsia="Calibri"/>
                <w:bCs/>
                <w:szCs w:val="22"/>
              </w:rPr>
              <w:t>It is recommended to model the PDC function as a PDC logical device with the Proxy data object in logical node LPHD Proxy set to True.</w:t>
            </w:r>
          </w:p>
          <w:p w:rsidR="00235E69" w:rsidRPr="00235E69" w:rsidRDefault="00235E69" w:rsidP="00235E69">
            <w:pPr>
              <w:tabs>
                <w:tab w:val="left" w:pos="0"/>
              </w:tabs>
              <w:ind w:left="0" w:firstLine="0"/>
              <w:rPr>
                <w:rFonts w:eastAsia="Calibri"/>
                <w:bCs/>
                <w:szCs w:val="22"/>
              </w:rPr>
            </w:pPr>
            <w:r w:rsidRPr="00235E69">
              <w:rPr>
                <w:rFonts w:eastAsia="Calibri"/>
                <w:bCs/>
                <w:szCs w:val="22"/>
              </w:rPr>
              <w:t xml:space="preserve">The PDC model is based on the nesting of logical devices as defined in IEC 61850-7-1. An example of a possible hierarchy is shown in </w:t>
            </w:r>
            <w:hyperlink w:anchor="_bookmark17" w:history="1">
              <w:r w:rsidRPr="00235E69">
                <w:rPr>
                  <w:rFonts w:eastAsia="Calibri"/>
                  <w:bCs/>
                  <w:szCs w:val="22"/>
                </w:rPr>
                <w:t>Figure 15.</w:t>
              </w:r>
            </w:hyperlink>
          </w:p>
          <w:p w:rsidR="00235E69" w:rsidRPr="00235E69" w:rsidRDefault="00235E69" w:rsidP="00235E69">
            <w:pPr>
              <w:tabs>
                <w:tab w:val="left" w:pos="0"/>
              </w:tabs>
              <w:ind w:left="0" w:firstLine="0"/>
              <w:rPr>
                <w:rFonts w:eastAsia="Calibri"/>
                <w:bCs/>
                <w:szCs w:val="22"/>
              </w:rPr>
            </w:pPr>
          </w:p>
          <w:p w:rsidR="00235E69" w:rsidRPr="00235E69" w:rsidRDefault="00235E69" w:rsidP="00235E69">
            <w:pPr>
              <w:tabs>
                <w:tab w:val="left" w:pos="0"/>
              </w:tabs>
              <w:ind w:left="0" w:firstLine="0"/>
              <w:rPr>
                <w:rFonts w:eastAsia="Calibri"/>
                <w:bCs/>
                <w:szCs w:val="22"/>
              </w:rPr>
            </w:pPr>
          </w:p>
        </w:tc>
      </w:tr>
    </w:tbl>
    <w:p w:rsidR="00235E69" w:rsidRDefault="00235E69" w:rsidP="00811BEA">
      <w:pPr>
        <w:ind w:left="0" w:firstLine="0"/>
        <w:jc w:val="center"/>
      </w:pPr>
    </w:p>
    <w:p w:rsidR="00235E69" w:rsidRDefault="00235E69" w:rsidP="00811BEA">
      <w:pPr>
        <w:ind w:left="0" w:firstLine="0"/>
        <w:jc w:val="center"/>
      </w:pPr>
      <w:r>
        <w:rPr>
          <w:noProof/>
          <w:lang w:val="en-US"/>
        </w:rPr>
        <w:lastRenderedPageBreak/>
        <w:drawing>
          <wp:inline distT="0" distB="0" distL="0" distR="0" wp14:anchorId="04621D3D" wp14:editId="3F2CAA8E">
            <wp:extent cx="5648325" cy="3495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48325" cy="3495675"/>
                    </a:xfrm>
                    <a:prstGeom prst="rect">
                      <a:avLst/>
                    </a:prstGeom>
                  </pic:spPr>
                </pic:pic>
              </a:graphicData>
            </a:graphic>
          </wp:inline>
        </w:drawing>
      </w:r>
    </w:p>
    <w:p w:rsidR="00235E69" w:rsidRDefault="00235E69" w:rsidP="00811BEA">
      <w:pPr>
        <w:ind w:left="0" w:firstLine="0"/>
        <w:jc w:val="center"/>
      </w:pPr>
    </w:p>
    <w:p w:rsidR="00235E69" w:rsidRDefault="00235E69" w:rsidP="00811BEA">
      <w:pPr>
        <w:ind w:left="0" w:firstLine="0"/>
        <w:jc w:val="center"/>
        <w:rPr>
          <w:b/>
        </w:rPr>
      </w:pPr>
      <w:r w:rsidRPr="00235E69">
        <w:rPr>
          <w:b/>
        </w:rPr>
        <w:t>15</w:t>
      </w:r>
      <w:r>
        <w:rPr>
          <w:b/>
        </w:rPr>
        <w:t>-р зураг</w:t>
      </w:r>
      <w:r w:rsidRPr="00235E69">
        <w:rPr>
          <w:b/>
        </w:rPr>
        <w:t xml:space="preserve"> – Хуучин PMU-уудтай дэд станцын PDC загвар</w:t>
      </w:r>
    </w:p>
    <w:p w:rsidR="00235E69" w:rsidRDefault="00235E69" w:rsidP="00811BEA">
      <w:pPr>
        <w:ind w:left="0" w:firstLine="0"/>
        <w:jc w:val="center"/>
        <w:rPr>
          <w:b/>
        </w:rPr>
      </w:pPr>
    </w:p>
    <w:p w:rsidR="00235E69" w:rsidRDefault="00235E69" w:rsidP="00811BEA">
      <w:pPr>
        <w:ind w:left="0" w:firstLine="0"/>
        <w:jc w:val="center"/>
        <w:rPr>
          <w:b/>
        </w:rPr>
      </w:pPr>
      <w:r w:rsidRPr="00EF2D2B">
        <w:rPr>
          <w:noProof/>
          <w:lang w:val="en-US"/>
        </w:rPr>
        <w:drawing>
          <wp:inline distT="0" distB="0" distL="0" distR="0" wp14:anchorId="1417FD06" wp14:editId="775282E1">
            <wp:extent cx="4503695" cy="2876550"/>
            <wp:effectExtent l="0" t="0" r="0" b="0"/>
            <wp:docPr id="107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49" cstate="print"/>
                    <a:stretch>
                      <a:fillRect/>
                    </a:stretch>
                  </pic:blipFill>
                  <pic:spPr>
                    <a:xfrm>
                      <a:off x="0" y="0"/>
                      <a:ext cx="4503695" cy="2876550"/>
                    </a:xfrm>
                    <a:prstGeom prst="rect">
                      <a:avLst/>
                    </a:prstGeom>
                  </pic:spPr>
                </pic:pic>
              </a:graphicData>
            </a:graphic>
          </wp:inline>
        </w:drawing>
      </w:r>
    </w:p>
    <w:p w:rsidR="00235E69" w:rsidRDefault="00235E69" w:rsidP="00811BEA">
      <w:pPr>
        <w:ind w:left="0" w:firstLine="0"/>
        <w:jc w:val="center"/>
        <w:rPr>
          <w:b/>
        </w:rPr>
      </w:pPr>
      <w:r w:rsidRPr="00235E69">
        <w:rPr>
          <w:b/>
        </w:rPr>
        <w:t>Figure 15 А–Substation PDC model with legacy PMUs</w:t>
      </w:r>
    </w:p>
    <w:p w:rsidR="00235E69" w:rsidRDefault="00235E69"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5E004B" w:rsidTr="00235E69">
        <w:tc>
          <w:tcPr>
            <w:tcW w:w="4672" w:type="dxa"/>
          </w:tcPr>
          <w:p w:rsidR="005E004B" w:rsidRPr="005E004B" w:rsidRDefault="005E004B" w:rsidP="005E004B">
            <w:pPr>
              <w:tabs>
                <w:tab w:val="left" w:pos="0"/>
              </w:tabs>
              <w:ind w:left="0" w:firstLine="0"/>
              <w:rPr>
                <w:rFonts w:eastAsia="Calibri"/>
                <w:b/>
                <w:bCs/>
                <w:szCs w:val="22"/>
              </w:rPr>
            </w:pPr>
            <w:r w:rsidRPr="005E004B">
              <w:rPr>
                <w:rFonts w:eastAsia="Calibri"/>
                <w:b/>
                <w:bCs/>
                <w:szCs w:val="22"/>
              </w:rPr>
              <w:t>6.4.3 Мужийн ба системийн түвшний PDC</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Мужийн түвшний фазор өгөгдлийн хуримтлуулагч(PDC) нь янз бүрийн дэд станцуудын олон тооны PDC-ээс өргөн хүрээний сүлжээний өгөгдлийг хүлээн авдаг функц юм. Хүлээн авсан </w:t>
            </w:r>
            <w:r w:rsidRPr="005E004B">
              <w:rPr>
                <w:rFonts w:eastAsia="Calibri"/>
                <w:bCs/>
                <w:szCs w:val="22"/>
              </w:rPr>
              <w:lastRenderedPageBreak/>
              <w:t>өгөгдлийг бусад аппликейшинуудад ашиглахын тулд хугацааны хаяглалтаар нь эрэмбэлдэг. Шаардлагатай бол PDC нь өөр өөр дамжуулах хурдтай  төхөөрөмжүүдээс ирсэн хэмжилтүүдийг хугацааны хувьд тохируулах зорилгоор дахин түүвэр авах шаардлагатай болж магадгүй юм.</w:t>
            </w:r>
          </w:p>
          <w:p w:rsidR="005E004B" w:rsidRPr="005E004B" w:rsidRDefault="005E004B" w:rsidP="005E004B">
            <w:pPr>
              <w:tabs>
                <w:tab w:val="left" w:pos="0"/>
              </w:tabs>
              <w:ind w:left="0" w:firstLine="0"/>
              <w:rPr>
                <w:rFonts w:eastAsia="Calibri"/>
                <w:bCs/>
                <w:szCs w:val="22"/>
              </w:rPr>
            </w:pPr>
            <w:r w:rsidRPr="005E004B">
              <w:rPr>
                <w:rFonts w:eastAsia="Calibri"/>
                <w:bCs/>
                <w:szCs w:val="22"/>
              </w:rPr>
              <w:t>Системийн шатлалын дээд түвшний шаардлагатай өгөгдлийн төлөөлөх багцыг агуулсан өгөгдлийн багц нь UDP олон үйлдэл ашиглан өргөн хүрээний интерфейсээр үүсгэгдсэн ба хэвлэгдсэн.</w:t>
            </w:r>
          </w:p>
          <w:p w:rsidR="005E004B" w:rsidRPr="005E004B" w:rsidRDefault="005E004B" w:rsidP="005E004B">
            <w:pPr>
              <w:tabs>
                <w:tab w:val="left" w:pos="0"/>
              </w:tabs>
              <w:ind w:left="0" w:firstLine="0"/>
              <w:rPr>
                <w:rFonts w:eastAsia="Calibri"/>
                <w:bCs/>
                <w:szCs w:val="22"/>
              </w:rPr>
            </w:pPr>
            <w:r w:rsidRPr="005E004B">
              <w:rPr>
                <w:rFonts w:eastAsia="Calibri"/>
                <w:bCs/>
                <w:szCs w:val="22"/>
              </w:rPr>
              <w:t>PDC функцийг PDC логик төхөөрөмжөөр Proxy өгөгдлийн объекттойTrue-д тохируулж LPHD Proxy-логик зангилаагаар загварчлахыг зөвлөж байна.</w:t>
            </w:r>
          </w:p>
          <w:p w:rsidR="005E004B" w:rsidRPr="005E004B" w:rsidRDefault="005E004B" w:rsidP="005E004B">
            <w:pPr>
              <w:tabs>
                <w:tab w:val="left" w:pos="0"/>
              </w:tabs>
              <w:ind w:left="0" w:firstLine="0"/>
              <w:rPr>
                <w:rFonts w:eastAsia="Calibri"/>
                <w:bCs/>
                <w:szCs w:val="22"/>
              </w:rPr>
            </w:pPr>
            <w:r w:rsidRPr="005E004B">
              <w:rPr>
                <w:rFonts w:eastAsia="Calibri"/>
                <w:bCs/>
                <w:szCs w:val="22"/>
              </w:rPr>
              <w:t>Зураг 16-т харуулсан мужийн PDC загвар нь IEC 61850-7-1-т заасны дагуу логик төхөөрөмжүүдийн үүр дээр суурилдаг.</w:t>
            </w:r>
          </w:p>
        </w:tc>
        <w:tc>
          <w:tcPr>
            <w:tcW w:w="4672" w:type="dxa"/>
          </w:tcPr>
          <w:p w:rsidR="005E004B" w:rsidRPr="005E004B" w:rsidRDefault="005E004B" w:rsidP="005E004B">
            <w:pPr>
              <w:tabs>
                <w:tab w:val="left" w:pos="0"/>
              </w:tabs>
              <w:ind w:left="0" w:firstLine="0"/>
              <w:rPr>
                <w:rFonts w:eastAsia="Calibri"/>
                <w:b/>
                <w:bCs/>
                <w:szCs w:val="22"/>
              </w:rPr>
            </w:pPr>
            <w:r w:rsidRPr="005E004B">
              <w:rPr>
                <w:rFonts w:eastAsia="Calibri"/>
                <w:b/>
                <w:bCs/>
                <w:szCs w:val="22"/>
              </w:rPr>
              <w:lastRenderedPageBreak/>
              <w:t>6.4.3 Regional or system level PDC</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The Regional level Phasor Data Concentrator (PDC) is a function that receives over the wide area network data from  multiple PDCs  in different substations. The received data are sorted  by their time-tags and provided to other </w:t>
            </w:r>
            <w:r w:rsidRPr="005E004B">
              <w:rPr>
                <w:rFonts w:eastAsia="Calibri"/>
                <w:bCs/>
                <w:szCs w:val="22"/>
              </w:rPr>
              <w:lastRenderedPageBreak/>
              <w:t>applications to use them. If necessary, the PDC may need to perform re-sampling in order to align measurements from devices using different publishing rates.</w:t>
            </w:r>
          </w:p>
          <w:p w:rsidR="005E004B" w:rsidRPr="005E004B" w:rsidRDefault="005E004B" w:rsidP="005E004B">
            <w:pPr>
              <w:tabs>
                <w:tab w:val="left" w:pos="0"/>
              </w:tabs>
              <w:ind w:left="0" w:firstLine="0"/>
              <w:rPr>
                <w:rFonts w:eastAsia="Calibri"/>
                <w:bCs/>
                <w:szCs w:val="22"/>
              </w:rPr>
            </w:pPr>
            <w:r w:rsidRPr="005E004B">
              <w:rPr>
                <w:rFonts w:eastAsia="Calibri"/>
                <w:bCs/>
                <w:szCs w:val="22"/>
              </w:rPr>
              <w:t>A data set containing a representative set of data as  required by the upper levels of  the system hierarchy is created and published over a wide area interface using UDP multicast.</w:t>
            </w:r>
          </w:p>
          <w:p w:rsidR="005E004B" w:rsidRPr="005E004B" w:rsidRDefault="005E004B" w:rsidP="005E004B">
            <w:pPr>
              <w:tabs>
                <w:tab w:val="left" w:pos="0"/>
              </w:tabs>
              <w:ind w:left="0" w:firstLine="0"/>
              <w:rPr>
                <w:rFonts w:eastAsia="Calibri"/>
                <w:bCs/>
                <w:szCs w:val="22"/>
              </w:rPr>
            </w:pPr>
            <w:r w:rsidRPr="005E004B">
              <w:rPr>
                <w:rFonts w:eastAsia="Calibri"/>
                <w:bCs/>
                <w:szCs w:val="22"/>
              </w:rPr>
              <w:t>It is recommended to model the PDC function as a PDC logical device with the Proxy data object in logical node LPHD Proxy set to True.</w:t>
            </w:r>
          </w:p>
          <w:p w:rsidR="005E004B" w:rsidRPr="005E004B" w:rsidRDefault="005E004B" w:rsidP="005E004B">
            <w:pPr>
              <w:tabs>
                <w:tab w:val="left" w:pos="0"/>
              </w:tabs>
              <w:ind w:left="0" w:firstLine="0"/>
              <w:rPr>
                <w:rFonts w:eastAsia="Calibri"/>
                <w:bCs/>
                <w:szCs w:val="22"/>
              </w:rPr>
            </w:pPr>
            <w:r w:rsidRPr="005E004B">
              <w:rPr>
                <w:rFonts w:eastAsia="Calibri"/>
                <w:bCs/>
                <w:szCs w:val="22"/>
              </w:rPr>
              <w:t>The Regional PDC model, shown in Figure 16, is based on the nesting of logical devices defined in IEC 61850-7-1</w:t>
            </w:r>
          </w:p>
        </w:tc>
      </w:tr>
    </w:tbl>
    <w:p w:rsidR="00235E69" w:rsidRDefault="00235E69" w:rsidP="00811BEA">
      <w:pPr>
        <w:ind w:left="0" w:firstLine="0"/>
        <w:jc w:val="center"/>
        <w:rPr>
          <w:b/>
        </w:rPr>
      </w:pPr>
    </w:p>
    <w:p w:rsidR="005E004B" w:rsidRDefault="005E004B" w:rsidP="005E004B">
      <w:pPr>
        <w:ind w:left="0" w:firstLine="0"/>
        <w:jc w:val="center"/>
      </w:pPr>
      <w:r w:rsidRPr="00EF2D2B">
        <w:object w:dxaOrig="6589" w:dyaOrig="5143">
          <v:shape id="_x0000_i1070" type="#_x0000_t75" style="width:328.2pt;height:257.85pt" o:ole="">
            <v:imagedata r:id="rId50" o:title=""/>
          </v:shape>
          <o:OLEObject Type="Embed" ProgID="Visio.Drawing.11" ShapeID="_x0000_i1070" DrawAspect="Content" ObjectID="_1701177460" r:id="rId51"/>
        </w:object>
      </w:r>
    </w:p>
    <w:p w:rsidR="005E004B" w:rsidRDefault="005E004B" w:rsidP="005E004B">
      <w:pPr>
        <w:ind w:left="0" w:firstLine="0"/>
        <w:jc w:val="center"/>
        <w:rPr>
          <w:b/>
        </w:rPr>
      </w:pPr>
      <w:r w:rsidRPr="005E004B">
        <w:rPr>
          <w:b/>
        </w:rPr>
        <w:t>16</w:t>
      </w:r>
      <w:r>
        <w:rPr>
          <w:b/>
        </w:rPr>
        <w:t>-р зураг</w:t>
      </w:r>
      <w:r w:rsidRPr="005E004B">
        <w:rPr>
          <w:b/>
        </w:rPr>
        <w:t xml:space="preserve"> – Мужийн PDCобъектын загвар</w:t>
      </w:r>
    </w:p>
    <w:p w:rsidR="005E004B" w:rsidRDefault="005E004B" w:rsidP="005E004B">
      <w:pPr>
        <w:ind w:left="0" w:firstLine="0"/>
        <w:jc w:val="center"/>
        <w:rPr>
          <w:b/>
        </w:rPr>
      </w:pPr>
    </w:p>
    <w:p w:rsidR="005E004B" w:rsidRDefault="005E004B" w:rsidP="005E004B">
      <w:pPr>
        <w:ind w:left="0" w:firstLine="0"/>
        <w:jc w:val="center"/>
        <w:rPr>
          <w:b/>
        </w:rPr>
      </w:pPr>
      <w:r w:rsidRPr="00EF2D2B">
        <w:rPr>
          <w:noProof/>
          <w:lang w:val="en-US"/>
        </w:rPr>
        <w:lastRenderedPageBreak/>
        <w:drawing>
          <wp:inline distT="0" distB="0" distL="0" distR="0" wp14:anchorId="1310A4EF" wp14:editId="009418D4">
            <wp:extent cx="4509497" cy="3559302"/>
            <wp:effectExtent l="0" t="0" r="0" b="0"/>
            <wp:docPr id="10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52" cstate="print"/>
                    <a:stretch>
                      <a:fillRect/>
                    </a:stretch>
                  </pic:blipFill>
                  <pic:spPr>
                    <a:xfrm>
                      <a:off x="0" y="0"/>
                      <a:ext cx="4509497" cy="3559302"/>
                    </a:xfrm>
                    <a:prstGeom prst="rect">
                      <a:avLst/>
                    </a:prstGeom>
                  </pic:spPr>
                </pic:pic>
              </a:graphicData>
            </a:graphic>
          </wp:inline>
        </w:drawing>
      </w:r>
    </w:p>
    <w:p w:rsidR="005E004B" w:rsidRDefault="005E004B" w:rsidP="005E004B">
      <w:pPr>
        <w:tabs>
          <w:tab w:val="left" w:pos="0"/>
        </w:tabs>
        <w:jc w:val="center"/>
        <w:rPr>
          <w:b/>
        </w:rPr>
      </w:pPr>
      <w:r>
        <w:rPr>
          <w:b/>
        </w:rPr>
        <w:t>Figure 16 – Regional PDC object</w:t>
      </w:r>
    </w:p>
    <w:p w:rsidR="005E004B" w:rsidRDefault="005E004B" w:rsidP="005E004B">
      <w:pPr>
        <w:ind w:left="0" w:firstLine="0"/>
        <w:rPr>
          <w:b/>
        </w:rPr>
      </w:pPr>
    </w:p>
    <w:tbl>
      <w:tblPr>
        <w:tblStyle w:val="TableGrid"/>
        <w:tblW w:w="0" w:type="auto"/>
        <w:tblLook w:val="04A0" w:firstRow="1" w:lastRow="0" w:firstColumn="1" w:lastColumn="0" w:noHBand="0" w:noVBand="1"/>
      </w:tblPr>
      <w:tblGrid>
        <w:gridCol w:w="4672"/>
        <w:gridCol w:w="4672"/>
      </w:tblGrid>
      <w:tr w:rsidR="005E004B" w:rsidTr="005E004B">
        <w:tc>
          <w:tcPr>
            <w:tcW w:w="4672" w:type="dxa"/>
          </w:tcPr>
          <w:p w:rsidR="005E004B" w:rsidRPr="005E004B" w:rsidRDefault="005E004B" w:rsidP="005E004B">
            <w:pPr>
              <w:tabs>
                <w:tab w:val="left" w:pos="0"/>
              </w:tabs>
              <w:ind w:left="0" w:firstLine="0"/>
              <w:rPr>
                <w:rFonts w:eastAsia="Calibri"/>
                <w:b/>
                <w:bCs/>
                <w:szCs w:val="22"/>
              </w:rPr>
            </w:pPr>
            <w:r w:rsidRPr="005E004B">
              <w:rPr>
                <w:rFonts w:eastAsia="Calibri"/>
                <w:b/>
                <w:bCs/>
                <w:szCs w:val="22"/>
              </w:rPr>
              <w:t>6.4.4 Чанар</w:t>
            </w:r>
          </w:p>
          <w:p w:rsidR="005E004B" w:rsidRPr="005E004B" w:rsidRDefault="005E004B" w:rsidP="005E004B">
            <w:pPr>
              <w:tabs>
                <w:tab w:val="left" w:pos="0"/>
              </w:tabs>
              <w:ind w:left="0" w:firstLine="0"/>
              <w:rPr>
                <w:rFonts w:eastAsia="Calibri"/>
                <w:bCs/>
                <w:szCs w:val="22"/>
              </w:rPr>
            </w:pPr>
            <w:r w:rsidRPr="005E004B">
              <w:rPr>
                <w:rFonts w:eastAsia="Calibri"/>
                <w:bCs/>
                <w:szCs w:val="22"/>
              </w:rPr>
              <w:t>Дахин түүвэрлэсэн буюу интерполяцлагдсан</w:t>
            </w:r>
          </w:p>
          <w:p w:rsidR="005E004B" w:rsidRPr="005E004B" w:rsidRDefault="005E004B" w:rsidP="005E004B">
            <w:pPr>
              <w:tabs>
                <w:tab w:val="left" w:pos="0"/>
              </w:tabs>
              <w:ind w:left="0" w:firstLine="0"/>
              <w:rPr>
                <w:rFonts w:eastAsia="Calibri"/>
                <w:b/>
                <w:bCs/>
                <w:szCs w:val="22"/>
              </w:rPr>
            </w:pPr>
            <w:r w:rsidRPr="005E004B">
              <w:rPr>
                <w:rFonts w:eastAsia="Calibri"/>
                <w:b/>
                <w:bCs/>
                <w:szCs w:val="22"/>
              </w:rPr>
              <w:t>7 Харилцаан холбооны шаардлага</w:t>
            </w:r>
          </w:p>
          <w:p w:rsidR="005E004B" w:rsidRPr="005E004B" w:rsidRDefault="005E004B" w:rsidP="005E004B">
            <w:pPr>
              <w:tabs>
                <w:tab w:val="left" w:pos="0"/>
              </w:tabs>
              <w:ind w:left="0" w:firstLine="0"/>
              <w:rPr>
                <w:rFonts w:eastAsia="Calibri"/>
                <w:b/>
                <w:bCs/>
                <w:szCs w:val="22"/>
              </w:rPr>
            </w:pPr>
            <w:bookmarkStart w:id="11" w:name="7.1_General"/>
            <w:bookmarkEnd w:id="11"/>
            <w:r w:rsidRPr="005E004B">
              <w:rPr>
                <w:rFonts w:eastAsia="Calibri"/>
                <w:b/>
                <w:bCs/>
                <w:szCs w:val="22"/>
              </w:rPr>
              <w:t>7.1 Ерөнхий</w:t>
            </w:r>
            <w:r w:rsidR="00CC195F">
              <w:rPr>
                <w:rFonts w:eastAsia="Calibri"/>
                <w:b/>
                <w:bCs/>
                <w:szCs w:val="22"/>
              </w:rPr>
              <w:t xml:space="preserve"> зүйл</w:t>
            </w:r>
          </w:p>
          <w:p w:rsidR="005E004B" w:rsidRPr="005E004B" w:rsidRDefault="005E004B" w:rsidP="005E004B">
            <w:pPr>
              <w:tabs>
                <w:tab w:val="left" w:pos="0"/>
              </w:tabs>
              <w:ind w:left="0" w:firstLine="0"/>
              <w:rPr>
                <w:rFonts w:eastAsia="Calibri"/>
                <w:bCs/>
                <w:szCs w:val="22"/>
              </w:rPr>
            </w:pPr>
            <w:r w:rsidRPr="005E004B">
              <w:rPr>
                <w:rFonts w:eastAsia="Calibri"/>
                <w:bCs/>
                <w:szCs w:val="22"/>
              </w:rPr>
              <w:t>Энэхүү баримт бичигт тусгагдсан мэдээлэл дамжуулах механизмууд нь IEEE C37.118.1-ийн дагуу хэмжсэн синхрофазорыг ашиглан өргөн хүрээний хяналт-шинжилгээ, хамгаалалт ба удирдлагын (WAMPAC) аппликейшнуудын хэрэгцээнд нийцсэн байх ёстой.</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IEC 61850 дэд станцын доторхи хурдан давтагддаг харилцаа холбоо нь ихэвчлэн түүвэрлэсэн утгийн (SV) сервест суурилдаг бол нэмэлт үйл ажиллагааныөгөгдлийг хугацааны байдлаас хамааран GOOSE эсвэл тайлангаар дамжуулж болно.Дэд станцын гаднах хүлээн авагчтай холбогдохдоо SV сервисийг SDH буюу SONET зэрэг өндөр хурдны мэдээлэл дамжуулах сүлжээгээр дамжуулан буюу </w:t>
            </w:r>
            <w:r w:rsidRPr="005E004B">
              <w:rPr>
                <w:rFonts w:eastAsia="Calibri"/>
                <w:bCs/>
                <w:szCs w:val="22"/>
              </w:rPr>
              <w:lastRenderedPageBreak/>
              <w:t>IP-ийн сүлжээгээр дамжуулан гүйцэтгэж болох ба хэрэв тэдгээрийн мэдээлэл дамжуулах саатлууд, саатлын гажилтыг аппликейшин хүлээж авбал болно. Хоёр дахь зорилгоор IEC 61850-ийг IP-д суурилсан протокол дээр түүврийн зураглал ба GOOSE мессежийг сайжруулах шаардлагатай байна.Тиймээс эдгээр сервисүүд үндсэндээ үе үе хийгддэг тул multicast хаяг бүхий UDP нь энэ зорилгоор сонгосон шилжүүлэх протокол юм. Дараах байдлаар SV сервисийн энэхүү шинэ зураглалыг чиглүүлэгч UDP дээр үндэслэн хийгдэх тул удахгүй R-SV гэж нэрлэнэ</w:t>
            </w:r>
          </w:p>
          <w:p w:rsidR="005E004B" w:rsidRPr="005E004B" w:rsidRDefault="005E004B" w:rsidP="005E004B">
            <w:pPr>
              <w:tabs>
                <w:tab w:val="left" w:pos="0"/>
              </w:tabs>
              <w:ind w:left="0" w:firstLine="0"/>
              <w:rPr>
                <w:rFonts w:eastAsia="Calibri"/>
                <w:bCs/>
                <w:szCs w:val="22"/>
              </w:rPr>
            </w:pPr>
            <w:r w:rsidRPr="005E004B">
              <w:rPr>
                <w:rFonts w:eastAsia="Calibri"/>
                <w:bCs/>
                <w:szCs w:val="22"/>
              </w:rPr>
              <w:t>интернэт түвшний  мессежнүүдийг өөр өндөр хурдны дунд ашиглах талаар IEC / TR 61850-90-1 стандартад тайлбарласан. Инженерийн талаас харахад энэ нь дэд станц доторх инженерчлэлтэй төстэй бөгөөд өөр дэд станцын төслүүд ба төвийн төслүүдийн хоорондох фазортой хамааралтай интерфейсийн тодорхойлолтыг солилцохын тулд SED файлуудыг нэмэлт байдлаар ашиглах боломжтой.</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Өргөн хүрээний мэдээлэл дамжуулах системээр илгээгдэх синхрофазор гэх мэт тогтмол өгөгдлийн үүсгүүрүүд нь шилжүүлэгч талбайн ойролцоо IED буюу дэд станцаас WAN хүртэлх гарц, PDC шиг байрлаж болно.R-SV өгөгдлийн үүсгүүр нь дэд станцад зөвхөн WAN-ийн хил дээр биш (PDC гэх мэт) байрладаг тохиолдолд эдгээр үүсгүүрүүд нь өргөн хүрээний мэдээлэл дамжуулах холболтын инженерчлэлд харагдах цорын ганц үүсгүүр болно.Үүнийг WAN сүлжээнд SV сервисүүдийн туннель хийх гэх мэт инженерчлэлийн үүднээс авч үзэж болно. Жишээ нь эдгээр R-SV үүсгүүрүүдийг агуулсан LAN сүлжээний төсөл болон WAN-ийн нөгөө талд </w:t>
            </w:r>
            <w:r w:rsidRPr="005E004B">
              <w:rPr>
                <w:rFonts w:eastAsia="Calibri"/>
                <w:bCs/>
                <w:szCs w:val="22"/>
              </w:rPr>
              <w:lastRenderedPageBreak/>
              <w:t>байрлах LANсүлжээний төслийн хооронд интерфейсүүдийг тодорхойлох файлуудыг (SED) солилцох замаар.Энэ зорилтот төслийн дагуу WAN-ийн хил дээр чиглүүлэгчийг системийн интерфейсийн солилцооны тодорхойлолтод (SED файл) багтаах эсэхийг шийдэх болно.Энэ механизмыг "шууд холболт" (туннелтэй буюу туннелгүй) гэж нэрлэдэг.</w:t>
            </w:r>
          </w:p>
          <w:p w:rsidR="005E004B" w:rsidRPr="005E004B" w:rsidRDefault="005E004B" w:rsidP="005E004B">
            <w:pPr>
              <w:tabs>
                <w:tab w:val="left" w:pos="0"/>
              </w:tabs>
              <w:ind w:left="0" w:firstLine="0"/>
              <w:rPr>
                <w:rFonts w:eastAsia="Calibri"/>
                <w:bCs/>
                <w:szCs w:val="22"/>
              </w:rPr>
            </w:pPr>
            <w:r w:rsidRPr="005E004B">
              <w:rPr>
                <w:rFonts w:eastAsia="Calibri"/>
                <w:bCs/>
                <w:szCs w:val="22"/>
              </w:rPr>
              <w:t>Синхрофазорын хувьд ихэвчлэн ашигладаг өөр нэг арга бол өөр өөр фазор үүсгүүрүүдийг синхрончлогдсон фазорын өгөгдөлтэй нэг телеграммд цуглуулах, магадгүй өгөгдлийг дахин түүвэрлэх явдал юм.Энэ нь өөр өөр фазор өгөгдлийн үүсгүүрүүдээс олон хүлээн авагч руу нэвтрэх гарц болж ажилладаг фазор өгөгдлийн хуримтлуулагч (PDC) тусламжтайгаар хийгддэг бөгөөд эдгээр нь бүгд ижил синхрончлогдсон фазорын мэдээллийг авах шаардлагатай байдаг (5.6-ыг үз).Ийм фазор хуримтлуулагч нь IEC 61850-ийн үүднээс өгөгдлийг сонгох ба магадгүй шүүлтүүрийн функцтэй гарцтай ажилладаг боловч бүх хүлээн авсан фазор өгөгдлийг синхрончилж, нэг телеграмм болгон, хэд хэдэн төлөвлөсөн чиглэлд дамжуулах нэмэлт функцтэй.</w:t>
            </w:r>
          </w:p>
          <w:p w:rsidR="005E004B" w:rsidRPr="005E004B" w:rsidRDefault="005E004B" w:rsidP="005E004B">
            <w:pPr>
              <w:tabs>
                <w:tab w:val="left" w:pos="0"/>
              </w:tabs>
              <w:ind w:left="0" w:firstLine="0"/>
              <w:rPr>
                <w:rFonts w:eastAsia="Calibri"/>
                <w:b/>
                <w:bCs/>
                <w:szCs w:val="22"/>
              </w:rPr>
            </w:pPr>
            <w:r w:rsidRPr="005E004B">
              <w:rPr>
                <w:rFonts w:eastAsia="Calibri"/>
                <w:b/>
                <w:bCs/>
                <w:szCs w:val="22"/>
              </w:rPr>
              <w:t>7.2 Туннелийн буюу R-SV сервисийн шууд холболт</w:t>
            </w:r>
          </w:p>
          <w:p w:rsidR="005E004B" w:rsidRDefault="005E004B" w:rsidP="005E004B">
            <w:pPr>
              <w:tabs>
                <w:tab w:val="left" w:pos="0"/>
              </w:tabs>
              <w:ind w:left="0" w:firstLine="0"/>
              <w:rPr>
                <w:rFonts w:eastAsia="Calibri"/>
                <w:bCs/>
                <w:szCs w:val="22"/>
              </w:rPr>
            </w:pPr>
            <w:r w:rsidRPr="005E004B">
              <w:rPr>
                <w:rFonts w:eastAsia="Calibri"/>
                <w:bCs/>
                <w:szCs w:val="22"/>
              </w:rPr>
              <w:t>Инженерчлэлийн хувьд хэд хэдэн системээс дээд түвшний систем рүү шилжих интерфейсийн тодорхойлолтыг тодорхойлох хэрэгтэй (жишээ нь 5.6-д ашиглах тохиолдол).Шууд холболтын хувьд эдгээр интерфейсийн тодорхойлолтууд нь үүсгэгч систем дэх дотоод интерфейсээс авсан мэдээлэл юм. Үүний тодорхой жишээг Зураг 17-д үзүүлэв</w:t>
            </w:r>
          </w:p>
          <w:p w:rsidR="005E004B" w:rsidRPr="005E004B" w:rsidRDefault="005E004B" w:rsidP="005E004B">
            <w:pPr>
              <w:tabs>
                <w:tab w:val="left" w:pos="0"/>
              </w:tabs>
              <w:ind w:left="0" w:firstLine="0"/>
              <w:rPr>
                <w:rFonts w:eastAsia="Calibri"/>
                <w:bCs/>
                <w:szCs w:val="22"/>
              </w:rPr>
            </w:pPr>
            <w:r w:rsidRPr="005E004B">
              <w:rPr>
                <w:rFonts w:eastAsia="Calibri"/>
                <w:bCs/>
                <w:szCs w:val="22"/>
              </w:rPr>
              <w:lastRenderedPageBreak/>
              <w:t>Зурагт 17-д AA1 ба AA2 гэсэн хоёр дэд станцуудыг харуулав, эдгээр нь тус тусдаа хамгаалалтын төхөөрөмж буюу синхрофазорын өгөгдлийг өгдөгPMU-тай, тухайлбал AA1-д AA1F1, AA2-д AA2F1IEDбайна.Төвийн төслийн IED AA10KA1 төв рүү өгөгдлийн урсгалыг инженерчлэхийн тулд SED1 файлыг AA1 төсөл ба төвийн төслийн хооронд, SED2 интерфейсийн файлыг AA2 төсөл ба төвийн төслийн хооронд солилцдог.Үр дүн нь төв IED AA10KA1, PMU-ууд AA1F1 ба AA2F1 (Зураг 17-д тэмдэглэсэн саарал бүс) агуулсан төвийн төсөл юм.</w:t>
            </w:r>
          </w:p>
          <w:p w:rsidR="005E004B" w:rsidRPr="005E004B" w:rsidRDefault="005E004B" w:rsidP="005E004B">
            <w:pPr>
              <w:tabs>
                <w:tab w:val="left" w:pos="0"/>
              </w:tabs>
              <w:ind w:left="0" w:firstLine="0"/>
              <w:rPr>
                <w:rFonts w:eastAsia="Calibri"/>
                <w:bCs/>
                <w:szCs w:val="22"/>
              </w:rPr>
            </w:pPr>
            <w:r w:rsidRPr="005E004B">
              <w:rPr>
                <w:rFonts w:eastAsia="Calibri"/>
                <w:bCs/>
                <w:szCs w:val="22"/>
              </w:rPr>
              <w:t>Бүрэн инженерчлэл хийхэд дараах зүйлсийг анхаарах хэрэгтэй:</w:t>
            </w:r>
          </w:p>
          <w:p w:rsidR="005E004B" w:rsidRPr="005E004B" w:rsidRDefault="005E004B" w:rsidP="00472036">
            <w:pPr>
              <w:pStyle w:val="ListParagraph"/>
              <w:numPr>
                <w:ilvl w:val="0"/>
                <w:numId w:val="15"/>
              </w:numPr>
              <w:tabs>
                <w:tab w:val="left" w:pos="0"/>
              </w:tabs>
              <w:spacing w:after="0"/>
              <w:ind w:left="0" w:firstLine="0"/>
              <w:rPr>
                <w:rFonts w:eastAsia="Calibri"/>
                <w:bCs/>
                <w:szCs w:val="22"/>
              </w:rPr>
            </w:pPr>
            <w:r w:rsidRPr="005E004B">
              <w:rPr>
                <w:rFonts w:eastAsia="Calibri"/>
                <w:bCs/>
                <w:szCs w:val="22"/>
              </w:rPr>
              <w:t>Хэрэв туннелийг ашиглавал SW1/1 ба SW1/2 (SW2/1ба SW2/ 2) хоёр интерфейсийн төхөөрөмжүүд нь туннелийн холболтыг (тэдгээрийн хооронд холбосонөргөн цэнхэр шугам) нууж, ижил шилжүүлэгчтэй өөр өөр портоор хангаж байгаа юм шиг харагдаж байна.R-SV-ийн хувьд чиглүүлэгчид ашиглаж болох бөгөөд хэрэв шаардлагатай бол SCD ба SED файлд загварчилж болно.</w:t>
            </w:r>
          </w:p>
          <w:p w:rsidR="005E004B" w:rsidRPr="005E004B" w:rsidRDefault="005E004B" w:rsidP="00472036">
            <w:pPr>
              <w:pStyle w:val="ListParagraph"/>
              <w:numPr>
                <w:ilvl w:val="0"/>
                <w:numId w:val="15"/>
              </w:numPr>
              <w:tabs>
                <w:tab w:val="left" w:pos="0"/>
              </w:tabs>
              <w:spacing w:after="0"/>
              <w:ind w:left="0" w:firstLine="0"/>
              <w:rPr>
                <w:rFonts w:eastAsia="Calibri"/>
                <w:bCs/>
                <w:szCs w:val="22"/>
              </w:rPr>
            </w:pPr>
            <w:r w:rsidRPr="005E004B">
              <w:rPr>
                <w:rFonts w:eastAsia="Calibri"/>
                <w:bCs/>
                <w:szCs w:val="22"/>
              </w:rPr>
              <w:t>Ирж буй дохионы семантик мэдээллийг CDC ORG-ийн өгөгдлийн объектуудад хадгалах боломжтой ба ирж буй дохионы үүсгүүрийн объектын тайлбарыг агуулсан.</w:t>
            </w:r>
          </w:p>
          <w:p w:rsidR="005E004B" w:rsidRPr="005E004B" w:rsidRDefault="005E004B" w:rsidP="00472036">
            <w:pPr>
              <w:pStyle w:val="ListParagraph"/>
              <w:numPr>
                <w:ilvl w:val="0"/>
                <w:numId w:val="15"/>
              </w:numPr>
              <w:tabs>
                <w:tab w:val="left" w:pos="0"/>
              </w:tabs>
              <w:spacing w:after="0"/>
              <w:ind w:left="0" w:firstLine="0"/>
              <w:rPr>
                <w:rFonts w:eastAsia="Calibri"/>
                <w:bCs/>
                <w:szCs w:val="22"/>
              </w:rPr>
            </w:pPr>
            <w:r w:rsidRPr="005E004B">
              <w:rPr>
                <w:rFonts w:eastAsia="Calibri"/>
                <w:bCs/>
                <w:szCs w:val="22"/>
              </w:rPr>
              <w:t>Хэрэв бүх төсөлд SubNetwork тодорхойлогчид ижил байвал SED файлуудыг шууд импортлох боломжтой, өөр байвал импортын SED файлын SubNetwork нэрийг импортлохоос өмнө тохируулах ёстой.</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 xml:space="preserve">Төвийн төслийн IED-ийн нэр нь давтагдахгүй байх ёстой тул эдгээрийг бүх төслүүдэд нийцүүлэн зохицуулах ёстой. Төслийн дэд станцын тодорхой тэмдэглэгээг (жишээ нь, AA1, AA2 гэх </w:t>
            </w:r>
            <w:r w:rsidRPr="005E004B">
              <w:rPr>
                <w:rFonts w:eastAsia="Calibri"/>
                <w:bCs/>
                <w:szCs w:val="22"/>
              </w:rPr>
              <w:lastRenderedPageBreak/>
              <w:t>мэт) ашигласнаар энэ нь автоматаар хийгддэг.</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Эрчим хүчний системтэй холбоотой семантик мэдээллийг дэд станцын холбогдох хэсгүүдийг SED файлд хадгалах замаар солилцож болно.  Мөн импортлохоос өмнө эрчим хүчний сүлжээнд тохирсон нэр өгөх, эсвэл дэд станцын хэсгийн элементүүдийн зохих нэрийг өөрчлөх шаардлагатай.</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IED-тай хамааралгүй нэрийг олон синхрофазорын байрлуулалтад шаарддаг.Тиймээс IEC 61850-6-д үндэслэн tLDevice-ийн "ldname" атрибутыг ашиглах хэрэгтэй</w:t>
            </w:r>
          </w:p>
          <w:p w:rsidR="005E004B" w:rsidRPr="005E004B" w:rsidRDefault="005E004B" w:rsidP="005E004B">
            <w:pPr>
              <w:tabs>
                <w:tab w:val="left" w:pos="0"/>
              </w:tabs>
              <w:ind w:left="0" w:firstLine="0"/>
              <w:rPr>
                <w:rFonts w:eastAsia="Calibri"/>
                <w:bCs/>
                <w:szCs w:val="22"/>
              </w:rPr>
            </w:pPr>
            <w:r w:rsidRPr="005E004B">
              <w:rPr>
                <w:rFonts w:eastAsia="Calibri"/>
                <w:bCs/>
                <w:szCs w:val="22"/>
              </w:rPr>
              <w:t>Энэ зорилгоор SED файлуудыг ашиглах, инженерчлэлийн эрхээ солилцох тухай IEC 61850-6: 2009-д дэлгэрэнгүй тодорхойлсон.</w:t>
            </w:r>
          </w:p>
        </w:tc>
        <w:tc>
          <w:tcPr>
            <w:tcW w:w="4672" w:type="dxa"/>
          </w:tcPr>
          <w:p w:rsidR="005E004B" w:rsidRPr="005E004B" w:rsidRDefault="005E004B" w:rsidP="005E004B">
            <w:pPr>
              <w:tabs>
                <w:tab w:val="left" w:pos="0"/>
              </w:tabs>
              <w:ind w:left="0" w:firstLine="0"/>
              <w:rPr>
                <w:rFonts w:eastAsia="Calibri"/>
                <w:b/>
                <w:bCs/>
                <w:szCs w:val="22"/>
              </w:rPr>
            </w:pPr>
            <w:r w:rsidRPr="005E004B">
              <w:rPr>
                <w:rFonts w:eastAsia="Calibri"/>
                <w:b/>
                <w:bCs/>
                <w:szCs w:val="22"/>
              </w:rPr>
              <w:lastRenderedPageBreak/>
              <w:t>6.4.4 Quality</w:t>
            </w:r>
          </w:p>
          <w:p w:rsidR="005E004B" w:rsidRPr="005E004B" w:rsidRDefault="005E004B" w:rsidP="005E004B">
            <w:pPr>
              <w:tabs>
                <w:tab w:val="left" w:pos="0"/>
              </w:tabs>
              <w:ind w:left="0" w:firstLine="0"/>
              <w:rPr>
                <w:rFonts w:eastAsia="Calibri"/>
                <w:bCs/>
                <w:szCs w:val="22"/>
              </w:rPr>
            </w:pPr>
            <w:r w:rsidRPr="005E004B">
              <w:rPr>
                <w:rFonts w:eastAsia="Calibri"/>
                <w:bCs/>
                <w:szCs w:val="22"/>
              </w:rPr>
              <w:t>Data that have been re-sampled or interpolated shall set their “substituted” quality bit set.</w:t>
            </w:r>
          </w:p>
          <w:p w:rsidR="005E004B" w:rsidRPr="005E004B" w:rsidRDefault="005E004B" w:rsidP="005E004B">
            <w:pPr>
              <w:tabs>
                <w:tab w:val="left" w:pos="0"/>
              </w:tabs>
              <w:ind w:left="0" w:firstLine="0"/>
              <w:rPr>
                <w:rFonts w:eastAsia="Calibri"/>
                <w:b/>
                <w:bCs/>
                <w:szCs w:val="22"/>
              </w:rPr>
            </w:pPr>
            <w:r w:rsidRPr="005E004B">
              <w:rPr>
                <w:rFonts w:eastAsia="Calibri"/>
                <w:b/>
                <w:bCs/>
                <w:szCs w:val="22"/>
              </w:rPr>
              <w:t>7 Communication requirements</w:t>
            </w:r>
          </w:p>
          <w:p w:rsidR="005E004B" w:rsidRPr="005E004B" w:rsidRDefault="005E004B" w:rsidP="005E004B">
            <w:pPr>
              <w:tabs>
                <w:tab w:val="left" w:pos="0"/>
              </w:tabs>
              <w:ind w:left="0" w:firstLine="0"/>
              <w:rPr>
                <w:rFonts w:eastAsia="Calibri"/>
                <w:b/>
                <w:bCs/>
                <w:szCs w:val="22"/>
              </w:rPr>
            </w:pPr>
            <w:r w:rsidRPr="005E004B">
              <w:rPr>
                <w:rFonts w:eastAsia="Calibri"/>
                <w:b/>
                <w:bCs/>
                <w:szCs w:val="22"/>
              </w:rPr>
              <w:t>7.1 General</w:t>
            </w:r>
          </w:p>
          <w:p w:rsidR="005E004B" w:rsidRPr="005E004B" w:rsidRDefault="005E004B" w:rsidP="005E004B">
            <w:pPr>
              <w:tabs>
                <w:tab w:val="left" w:pos="0"/>
              </w:tabs>
              <w:ind w:left="0" w:firstLine="0"/>
              <w:rPr>
                <w:rFonts w:eastAsia="Calibri"/>
                <w:bCs/>
                <w:szCs w:val="22"/>
              </w:rPr>
            </w:pPr>
            <w:r w:rsidRPr="005E004B">
              <w:rPr>
                <w:rFonts w:eastAsia="Calibri"/>
                <w:bCs/>
                <w:szCs w:val="22"/>
              </w:rPr>
              <w:t>The communication mechanisms laid out in this document shall serve the  needs  for  Wide Area Monitoring, Protection, and Control (WAMPAC) applications utilizing synchrophasors measured according to IEEE C37.118.1.</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The fast cyclic communication within the substation in  IEC 61850 will typically be  based on  the sampled value (SV) service, while additional event data can be communicated  with  GOOSE or by reporting, dependent on its  time criticality. Communication to receivers  outside a substation can be done either by tunnelling the SV service across some high speed communication network like SDH or SONET, or via IP networks, if their communication delays and delay jitter are </w:t>
            </w:r>
            <w:r w:rsidRPr="005E004B">
              <w:rPr>
                <w:rFonts w:eastAsia="Calibri"/>
                <w:bCs/>
                <w:szCs w:val="22"/>
              </w:rPr>
              <w:lastRenderedPageBreak/>
              <w:t>acceptable  by  the  application.  For  the  second  purpose,  the  current  IEC 61850 has to be enhanced by a mapping of samples and GOOSE messages onto an IP based protocol. Due to the basically periodic nature of these services, UDP with multicast addressing is  the transport protocol chosen for this purpose. In the following it is  assumed  that this new mapping of the SV service will be based on routable UDP, and therefore shortly  be called R-SV.</w:t>
            </w:r>
          </w:p>
          <w:p w:rsidR="005E004B" w:rsidRPr="005E004B" w:rsidRDefault="005E004B" w:rsidP="005E004B">
            <w:pPr>
              <w:tabs>
                <w:tab w:val="left" w:pos="0"/>
              </w:tabs>
              <w:ind w:left="0" w:firstLine="0"/>
              <w:rPr>
                <w:rFonts w:eastAsia="Calibri"/>
                <w:bCs/>
                <w:szCs w:val="22"/>
              </w:rPr>
            </w:pPr>
            <w:r w:rsidRPr="005E004B">
              <w:rPr>
                <w:rFonts w:eastAsia="Calibri"/>
                <w:bCs/>
                <w:szCs w:val="22"/>
              </w:rPr>
              <w:t>he use of tunnelling Ethernet level messages across some other high speed  medium  is already described in IEC/TR 61850-90-1. From an engineering point of view, this is similar to engineering within a substation, with additional use of SED files to  exchange  the  phasor related interface definitions between the different substation projects and the center project(s).</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The source of periodic data like synchrophasors to be sent across a wide area communication system can reside in an IED near the switch yard, or in a gateway from the substation to the WAN, like a PDC. In the case that R-SV data sources reside within the substation instead of only at its WAN boundary (like a PDC), these sources shall be the only ones visible for engineering of the wide area communication connections. This can be handled from an engineering point of view like the tunnelling of  SV services across the WAN, i.e. by exchange of interface definition files (SED) between the source LAN project containing these R-SV sources and the destination LAN project at the other side of the WAN. It is up to  this  destination project to decide how far routers at the WAN border shall be contained in the system interface exchange description (SED file). This </w:t>
            </w:r>
            <w:r w:rsidRPr="005E004B">
              <w:rPr>
                <w:rFonts w:eastAsia="Calibri"/>
                <w:bCs/>
                <w:szCs w:val="22"/>
              </w:rPr>
              <w:lastRenderedPageBreak/>
              <w:t>mechanism is called ‘direct connection’ (with or without tunnelling).</w:t>
            </w: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Another approach often used for synchrophasors is to assemble different phasor sources into one telegram with synchronised phasor data, possibly even with resampling of  the data. This  is done by a phasor data concentrator (PDC), which acts like a gateway from different sources of phasor data streams to several sinks, most probably all needing the same now  synchronized phasor information (see also </w:t>
            </w:r>
            <w:hyperlink w:anchor="_bookmark4" w:history="1">
              <w:r w:rsidRPr="005E004B">
                <w:rPr>
                  <w:rFonts w:eastAsia="Calibri"/>
                  <w:bCs/>
                  <w:szCs w:val="22"/>
                </w:rPr>
                <w:t>5.6</w:t>
              </w:r>
            </w:hyperlink>
            <w:r w:rsidRPr="005E004B">
              <w:rPr>
                <w:rFonts w:eastAsia="Calibri"/>
                <w:bCs/>
                <w:szCs w:val="22"/>
              </w:rPr>
              <w:t>).  Such a  phasor concentrator acts from  an IEC 61850 perspective like a gateway with data selection and possibly a filtering function, however with the additional functionality to forward all received phasor data synchronised and resampled into one telegram to several intended destinations.</w:t>
            </w:r>
          </w:p>
          <w:p w:rsidR="005E004B" w:rsidRPr="005E004B" w:rsidRDefault="005E004B" w:rsidP="005E004B">
            <w:pPr>
              <w:tabs>
                <w:tab w:val="left" w:pos="0"/>
              </w:tabs>
              <w:ind w:left="0" w:firstLine="0"/>
              <w:rPr>
                <w:rFonts w:eastAsia="Calibri"/>
                <w:b/>
                <w:bCs/>
                <w:szCs w:val="22"/>
              </w:rPr>
            </w:pPr>
            <w:bookmarkStart w:id="12" w:name="_bookmark20"/>
            <w:bookmarkStart w:id="13" w:name="7.2_Direct_connection_with_tunnelling_or"/>
            <w:bookmarkEnd w:id="12"/>
            <w:bookmarkEnd w:id="13"/>
            <w:r w:rsidRPr="005E004B">
              <w:rPr>
                <w:rFonts w:eastAsia="Calibri"/>
                <w:b/>
                <w:bCs/>
                <w:szCs w:val="22"/>
              </w:rPr>
              <w:t>7.2 Direct connection with tunnelling or R-SV service</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Engineering-wise the interface definitions from several systems to a higher level system have  to be defined (e.g. use case in </w:t>
            </w:r>
            <w:hyperlink w:anchor="_bookmark4" w:history="1">
              <w:r w:rsidRPr="005E004B">
                <w:rPr>
                  <w:rFonts w:eastAsia="Calibri"/>
                  <w:bCs/>
                  <w:szCs w:val="22"/>
                </w:rPr>
                <w:t>5.6</w:t>
              </w:r>
            </w:hyperlink>
            <w:r w:rsidRPr="005E004B">
              <w:rPr>
                <w:rFonts w:eastAsia="Calibri"/>
                <w:bCs/>
                <w:szCs w:val="22"/>
              </w:rPr>
              <w:t xml:space="preserve">). For direct connections, these interface descriptions are extracts from the internal interfaces in the source systems. A concrete example is given in </w:t>
            </w:r>
            <w:hyperlink w:anchor="_bookmark21" w:history="1">
              <w:r w:rsidRPr="005E004B">
                <w:rPr>
                  <w:rFonts w:eastAsia="Calibri"/>
                  <w:bCs/>
                  <w:szCs w:val="22"/>
                </w:rPr>
                <w:t>Figure 17.</w:t>
              </w:r>
            </w:hyperlink>
          </w:p>
          <w:p w:rsidR="005E004B" w:rsidRPr="005E004B" w:rsidRDefault="00D80958" w:rsidP="005E004B">
            <w:pPr>
              <w:tabs>
                <w:tab w:val="left" w:pos="0"/>
              </w:tabs>
              <w:ind w:left="0" w:firstLine="0"/>
              <w:rPr>
                <w:rFonts w:eastAsia="Calibri"/>
                <w:bCs/>
                <w:szCs w:val="22"/>
              </w:rPr>
            </w:pPr>
            <w:hyperlink w:anchor="_bookmark21" w:history="1">
              <w:r w:rsidR="005E004B" w:rsidRPr="005E004B">
                <w:rPr>
                  <w:rFonts w:eastAsia="Calibri"/>
                  <w:bCs/>
                  <w:szCs w:val="22"/>
                </w:rPr>
                <w:t>Figure 17</w:t>
              </w:r>
            </w:hyperlink>
            <w:r w:rsidR="005E004B" w:rsidRPr="005E004B">
              <w:rPr>
                <w:rFonts w:eastAsia="Calibri"/>
                <w:bCs/>
                <w:szCs w:val="22"/>
              </w:rPr>
              <w:t xml:space="preserve"> shows two substations AA1 and AA2, each having a protection device or PMU providing synchrophasor data, namely IED AA1F1 in AA1, and AA2F1 in AA2. To engineer the data flow to the center IED AA10KA1 in the center project, the SED1  file  is  exchanged between the AA1 project and the center project, and the </w:t>
            </w:r>
            <w:r w:rsidR="005E004B" w:rsidRPr="005E004B">
              <w:rPr>
                <w:rFonts w:eastAsia="Calibri"/>
                <w:bCs/>
                <w:szCs w:val="22"/>
              </w:rPr>
              <w:lastRenderedPageBreak/>
              <w:t xml:space="preserve">SED2 interface file is exchanged between the AA2 project and the center project. The result is the center project containing the center IED AA10KA1 as well as the PMUs AA1F1 and AA2F1 (grey area in </w:t>
            </w:r>
            <w:hyperlink w:anchor="_bookmark21" w:history="1">
              <w:r w:rsidR="005E004B" w:rsidRPr="005E004B">
                <w:rPr>
                  <w:rFonts w:eastAsia="Calibri"/>
                  <w:bCs/>
                  <w:szCs w:val="22"/>
                </w:rPr>
                <w:t>Figure 17</w:t>
              </w:r>
            </w:hyperlink>
            <w:r w:rsidR="005E004B" w:rsidRPr="005E004B">
              <w:rPr>
                <w:rFonts w:eastAsia="Calibri"/>
                <w:bCs/>
                <w:szCs w:val="22"/>
              </w:rPr>
              <w:t>).</w:t>
            </w:r>
          </w:p>
          <w:p w:rsidR="005E004B" w:rsidRPr="005E004B" w:rsidRDefault="005E004B" w:rsidP="005E004B">
            <w:pPr>
              <w:tabs>
                <w:tab w:val="left" w:pos="0"/>
              </w:tabs>
              <w:ind w:left="0" w:firstLine="0"/>
              <w:rPr>
                <w:rFonts w:eastAsia="Calibri"/>
                <w:bCs/>
                <w:szCs w:val="22"/>
              </w:rPr>
            </w:pPr>
            <w:r w:rsidRPr="005E004B">
              <w:rPr>
                <w:rFonts w:eastAsia="Calibri"/>
                <w:bCs/>
                <w:szCs w:val="22"/>
              </w:rPr>
              <w:t>For complete engineering, the following should be considered:</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If  tunnelling is  used, the two  interfacing devices SW1/1 and SW 1/2 (resp.  SW 2/1 and  SW 2/2) look like they provide different ports of the same switch, hiding the tunnel connection (thick blue connecting line between them). In the case of R-SV, these may be routers instead, which could be modelled in the SCD and SED files, if needed.</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The semantics of incoming signals can be kept in data objects of  CDC  ORG, containing the object reference of the incoming signal source.</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If the SubNetwork identifications within all projects are identical, then the SED files can be directly imported, else the SubNetwork name in the imported SED file has to be adapted before import.</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 xml:space="preserve">As the names of the IEDs in the center project must be unique, these  should  be harmonized across all projects. By using project specific substation designations (e.g. AA1, AA2 in the example) this is automatically fulfilled. </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The semantic related to the power system can be exchanged by keeping the relevant substation parts in the SED files. Again this needs either harmonized power  network naming or an appropriate renaming of the substation section elements before import.</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Non-IED related naming is required by many synchrophasor deployments. Therefore,  based upon IEC 61850-6, the “ldname” attribute of tLDevice production should be utilized.</w:t>
            </w:r>
          </w:p>
          <w:p w:rsidR="005E004B" w:rsidRPr="005E004B" w:rsidRDefault="005E004B" w:rsidP="005E004B">
            <w:pPr>
              <w:tabs>
                <w:tab w:val="left" w:pos="0"/>
              </w:tabs>
              <w:ind w:left="0" w:firstLine="0"/>
              <w:rPr>
                <w:rFonts w:eastAsia="Calibri"/>
                <w:bCs/>
                <w:szCs w:val="22"/>
              </w:rPr>
            </w:pPr>
            <w:r w:rsidRPr="005E004B">
              <w:rPr>
                <w:rFonts w:eastAsia="Calibri"/>
                <w:bCs/>
                <w:szCs w:val="22"/>
              </w:rPr>
              <w:lastRenderedPageBreak/>
              <w:t>More details about the usage of SED files and exchange of engineering rights for this purpose is described in IEC 61850-6:2009.</w:t>
            </w:r>
          </w:p>
          <w:p w:rsidR="005E004B" w:rsidRPr="005E004B" w:rsidRDefault="005E004B" w:rsidP="005E004B">
            <w:pPr>
              <w:tabs>
                <w:tab w:val="left" w:pos="0"/>
              </w:tabs>
              <w:ind w:left="0" w:firstLine="0"/>
              <w:rPr>
                <w:rFonts w:eastAsia="Calibri"/>
                <w:bCs/>
                <w:szCs w:val="22"/>
              </w:rPr>
            </w:pPr>
          </w:p>
        </w:tc>
      </w:tr>
    </w:tbl>
    <w:p w:rsidR="005E004B" w:rsidRDefault="005E004B" w:rsidP="00811BEA">
      <w:pPr>
        <w:ind w:left="0" w:firstLine="0"/>
        <w:jc w:val="center"/>
        <w:rPr>
          <w:b/>
        </w:rPr>
      </w:pPr>
    </w:p>
    <w:p w:rsidR="005E004B" w:rsidRDefault="005E004B" w:rsidP="00811BEA">
      <w:pPr>
        <w:ind w:left="0" w:firstLine="0"/>
        <w:jc w:val="center"/>
        <w:rPr>
          <w:b/>
        </w:rPr>
      </w:pPr>
      <w:r>
        <w:rPr>
          <w:noProof/>
          <w:lang w:val="en-US"/>
        </w:rPr>
        <w:drawing>
          <wp:inline distT="0" distB="0" distL="0" distR="0" wp14:anchorId="5F4E24B2" wp14:editId="5BC9AF44">
            <wp:extent cx="5362575" cy="3819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62575" cy="3819525"/>
                    </a:xfrm>
                    <a:prstGeom prst="rect">
                      <a:avLst/>
                    </a:prstGeom>
                  </pic:spPr>
                </pic:pic>
              </a:graphicData>
            </a:graphic>
          </wp:inline>
        </w:drawing>
      </w:r>
    </w:p>
    <w:p w:rsidR="005E004B" w:rsidRDefault="005E004B" w:rsidP="00811BEA">
      <w:pPr>
        <w:ind w:left="0" w:firstLine="0"/>
        <w:jc w:val="center"/>
        <w:rPr>
          <w:b/>
        </w:rPr>
      </w:pPr>
      <w:r w:rsidRPr="005E004B">
        <w:rPr>
          <w:b/>
        </w:rPr>
        <w:t>17</w:t>
      </w:r>
      <w:r>
        <w:rPr>
          <w:b/>
        </w:rPr>
        <w:t>-р зураг</w:t>
      </w:r>
      <w:r w:rsidRPr="005E004B">
        <w:rPr>
          <w:b/>
        </w:rPr>
        <w:t xml:space="preserve"> – Шууд холболтын синхрофазорын мэдээлэл дамжуулах загварчлал</w:t>
      </w:r>
    </w:p>
    <w:p w:rsidR="005E004B" w:rsidRDefault="005E004B" w:rsidP="00811BEA">
      <w:pPr>
        <w:ind w:left="0" w:firstLine="0"/>
        <w:jc w:val="center"/>
        <w:rPr>
          <w:b/>
        </w:rPr>
      </w:pPr>
      <w:r>
        <w:rPr>
          <w:noProof/>
          <w:lang w:val="en-US"/>
        </w:rPr>
        <w:lastRenderedPageBreak/>
        <w:drawing>
          <wp:inline distT="0" distB="0" distL="0" distR="0" wp14:anchorId="76CC2BE9" wp14:editId="36F89E56">
            <wp:extent cx="4640239" cy="3553704"/>
            <wp:effectExtent l="0" t="0" r="825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52251" cy="3562904"/>
                    </a:xfrm>
                    <a:prstGeom prst="rect">
                      <a:avLst/>
                    </a:prstGeom>
                  </pic:spPr>
                </pic:pic>
              </a:graphicData>
            </a:graphic>
          </wp:inline>
        </w:drawing>
      </w:r>
    </w:p>
    <w:p w:rsidR="005E004B" w:rsidRDefault="005E004B" w:rsidP="00811BEA">
      <w:pPr>
        <w:ind w:left="0" w:firstLine="0"/>
        <w:jc w:val="center"/>
        <w:rPr>
          <w:b/>
        </w:rPr>
      </w:pPr>
      <w:r w:rsidRPr="005E004B">
        <w:rPr>
          <w:b/>
        </w:rPr>
        <w:t>Figure 17 – Synchrophasor communication modelling for direct connection</w:t>
      </w:r>
    </w:p>
    <w:p w:rsidR="005E004B" w:rsidRDefault="005E004B"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5E004B" w:rsidTr="005E004B">
        <w:tc>
          <w:tcPr>
            <w:tcW w:w="4672" w:type="dxa"/>
          </w:tcPr>
          <w:p w:rsidR="005E004B" w:rsidRPr="005E004B" w:rsidRDefault="005E004B" w:rsidP="005E004B">
            <w:pPr>
              <w:tabs>
                <w:tab w:val="left" w:pos="0"/>
              </w:tabs>
              <w:ind w:left="0" w:firstLine="0"/>
              <w:rPr>
                <w:rFonts w:eastAsia="Calibri"/>
                <w:b/>
                <w:bCs/>
                <w:szCs w:val="22"/>
              </w:rPr>
            </w:pPr>
            <w:r w:rsidRPr="005E004B">
              <w:rPr>
                <w:rFonts w:eastAsia="Calibri"/>
                <w:b/>
                <w:bCs/>
                <w:szCs w:val="22"/>
              </w:rPr>
              <w:t>7.3 Гарцын арга</w:t>
            </w:r>
          </w:p>
          <w:p w:rsidR="005E004B" w:rsidRPr="005E004B" w:rsidRDefault="005E004B" w:rsidP="005E004B">
            <w:pPr>
              <w:tabs>
                <w:tab w:val="left" w:pos="0"/>
              </w:tabs>
              <w:ind w:left="0" w:firstLine="0"/>
              <w:rPr>
                <w:rFonts w:eastAsia="Calibri"/>
                <w:bCs/>
                <w:szCs w:val="22"/>
              </w:rPr>
            </w:pPr>
            <w:r w:rsidRPr="005E004B">
              <w:rPr>
                <w:rFonts w:eastAsia="Calibri"/>
                <w:bCs/>
                <w:szCs w:val="22"/>
              </w:rPr>
              <w:t>Хэрэв холболтуудыг хураангуйлах ба нэг мессежинд хэд хэдэн фазор урсгалуудыг синхрончлон илгээх нь чухал бол фазор өгөгдлийн хуримтлуулагч гэсэн ойлголт гарч ирнэ. PDC төхөөрөмж нь 5.6-д IED төвийг тодорхойлсноор PMU-ийн харьяа дэд станцуудаас фазор урсгалуудын клиент (үйлчлүүлэгч) юм. Цаашилбал, PDC нь дэд станцын дотоод SV сервес буюу W37.118.2-аас R-SV сервес рүү WAN-ийн орчинд протокол хөрвүүлэлт хийж болно.</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PDC-ийн аргыг зурагт 18-д үзүүлэв. PDC AA10TH1 нь AA1F1 ба AA10F1-ээс орж ирж буй фазорын өгөгдлийн урсгалыг цуглуулдаг. Нэрүүд нь AA10F1 бол AA10TH1 (магадгүй AA10KA1) -тэй ижил төсөлд PMU байгааг илтгэх бөгөөд  AA1F1-д интерфейсийг SED файл гэх мэтээр импортолдог. 7.2-т заасны дагуу. Шулуун шугаман эллипс нь PDC төсөлд хамаарах IED-ийг илтгэсэн бол тасархай шугаман эллипс нь төвийн </w:t>
            </w:r>
            <w:r w:rsidRPr="005E004B">
              <w:rPr>
                <w:rFonts w:eastAsia="Calibri"/>
                <w:bCs/>
                <w:szCs w:val="22"/>
              </w:rPr>
              <w:lastRenderedPageBreak/>
              <w:t>төсөлд хамаарах IED-ийг агуулсан. PDC AA10TH1 нь тэдгээрийн хоорондох нийтлэг (дундын) холболт юм.</w:t>
            </w:r>
          </w:p>
          <w:p w:rsidR="005E004B" w:rsidRPr="005E004B" w:rsidRDefault="005E004B" w:rsidP="005E004B">
            <w:pPr>
              <w:tabs>
                <w:tab w:val="left" w:pos="0"/>
              </w:tabs>
              <w:ind w:left="0" w:firstLine="0"/>
              <w:rPr>
                <w:rFonts w:eastAsia="Calibri"/>
                <w:bCs/>
                <w:szCs w:val="22"/>
              </w:rPr>
            </w:pPr>
            <w:r w:rsidRPr="005E004B">
              <w:rPr>
                <w:rFonts w:eastAsia="Calibri"/>
                <w:bCs/>
                <w:szCs w:val="22"/>
              </w:rPr>
              <w:t>мэдээлэл дамжуулах талаарх PDC-ийн инженерчлэл хоёр талтай:</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PDC нь хэд хэдэн синхрофазор өгөгдлийн урсгалын клиент юм. Урсгалуудаар хангагдах синхрофазор өгөгдлийг өөр өөр протоколуудаар (ж.нь IEEE C37.118.2, IEC 61850 болон бусад) хангаж болно. Энэ асинхроноор дамжуулагдах өгөгдлийг синхрончлох ба дамжуулах шаардалагтай. Хэрэв өгөгдөлудаар хангагдах синхрофазор өгөгдлийгмэдээлэл дамжуулах хувьд 7.2-т заасны дагуу зохицуулагдана. Хэрэв энэ нь PMU-ээс буюу бусад PDC-ээс ирдэг бол ердийн IEC 61850 төсөл, тухайлбал PMU ба PDC-ийн ICD, IID файлууд хэрэгтэй болно. Зарим тохиолдолд PDC протоколын хөрвүүлгийг өгөх шаардлагатай байж магадгүй юм. Энэхүү баримт бичгийн хүрээнд ийм хөрвүүлгийг IEC 61850 гэж үздэг тул PDC нь IID файлаар дүрсэлсэн IEC 61850 төхөөрөмж бүхий гарц шиг ажилладаг.</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PDC нь дээд түвшний клиент/захиалагч сервер байдлаар ажилладаг. Энэ үүднээс харахад PDC нь төвийн төслийн 'ердийн' IEC 61850 IED бөгөөд клиентболон бусад ердийн IEC 61850 IED шиг PDC ба PMU-уудтай хамт зохицуулагддаг. Ялангуяа энэ нь IID файлын хэлбэрт албан ёсны тайлбар хэрэгтэй болно.</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 xml:space="preserve">Энэ тохиолдолд ерөнхий гарцууд ба PDC-ийн хувьд онцгой цэг бол 1-р алхамаас оролтын 2-р алхамд шаардлагатай PDC-ийн IID файл руу хэрхэн яаж орохыг дээд түвшний системийн инженерчлэлд оруулах явдал юм. Энэ нь IEC 61850-ийн ирээдүйн IED инженерчлэлээс үүдэлтэй </w:t>
            </w:r>
            <w:r w:rsidRPr="005E004B">
              <w:rPr>
                <w:rFonts w:eastAsia="Calibri"/>
                <w:bCs/>
                <w:szCs w:val="22"/>
              </w:rPr>
              <w:lastRenderedPageBreak/>
              <w:t>тул гарц (PDC) -ын хэрэгжилт/хэрэгсэлд онцгой ач холбогдолтой юм. Гэсэн хэдий ч өгөгдлийн семантик, түүний дотор эрчим хүчний системд холбогдох холболтууд нь инженерийн явцад хадгалагдах тул гарцын инженерчлэл, ялангуяа үндсэн функцтэй холбоотой гарцууд нь өгөгдлийн төвлөрөлд хамаарах бус харин шүүлтүүр ба мессежийг багцлахтай холбоотой зөвлөмжүүд байдаг.</w:t>
            </w:r>
          </w:p>
          <w:p w:rsidR="005E004B" w:rsidRPr="005E004B" w:rsidRDefault="005E004B" w:rsidP="005E004B">
            <w:pPr>
              <w:tabs>
                <w:tab w:val="left" w:pos="0"/>
              </w:tabs>
              <w:ind w:left="0" w:firstLine="0"/>
              <w:rPr>
                <w:rFonts w:eastAsia="Calibri"/>
                <w:bCs/>
                <w:szCs w:val="22"/>
              </w:rPr>
            </w:pPr>
            <w:r w:rsidRPr="005E004B">
              <w:rPr>
                <w:rFonts w:eastAsia="Calibri"/>
                <w:bCs/>
                <w:szCs w:val="22"/>
              </w:rPr>
              <w:t>PDC IID файл үүсгэхэд зөвлөмж болгох дүрэм:</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Доод түвшний (үүсгүүр) IED бүх LD-ууд тэдгээрийн өгөгдлийг Proxy LD гэх мэтээрилгээнэ. Шаардлагатай биш өгөгдлийн обьектыг устгаж болно.</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ProxyLD-г үүсгүүр IED-ийн дагуу нэрлэнэ, жишээ нь, proxyLD name:=Source IEDname+Source LD name (LD нэр хязгаарлагдмал урттайг анхаарна уу!). Proxy-PHD.PhyNam өгөгдлийн объект дээр IED нэрийг зааж өгөхөө бүү мартаарай.</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Өгөгдлийн үүсгүүр LN-ийн үүсгүүр бүхий SED SCD файлуудаас дэд станцын бүх хэсгийг авч, үүсгүүрийн IED логик зангилааг PDC proxy LD логик зангилааны холбоосоор солино.</w:t>
            </w:r>
          </w:p>
        </w:tc>
        <w:tc>
          <w:tcPr>
            <w:tcW w:w="4672" w:type="dxa"/>
          </w:tcPr>
          <w:p w:rsidR="005E004B" w:rsidRPr="005E004B" w:rsidRDefault="005E004B" w:rsidP="005E004B">
            <w:pPr>
              <w:tabs>
                <w:tab w:val="left" w:pos="0"/>
              </w:tabs>
              <w:ind w:left="0" w:firstLine="0"/>
              <w:rPr>
                <w:rFonts w:eastAsia="Calibri"/>
                <w:b/>
                <w:bCs/>
                <w:szCs w:val="22"/>
              </w:rPr>
            </w:pPr>
            <w:r w:rsidRPr="005E004B">
              <w:rPr>
                <w:rFonts w:eastAsia="Calibri"/>
                <w:b/>
                <w:bCs/>
                <w:szCs w:val="22"/>
              </w:rPr>
              <w:lastRenderedPageBreak/>
              <w:t>7.3 The gateway approach</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If reduction of connections and synchronised sending of several phasor streams in one message is important, the Phasor Data Concentrator concept comes into play.  The  PDC device is a client to phasor streams from the PMUs' respective substations, as described for  the center IED in </w:t>
            </w:r>
            <w:hyperlink w:anchor="_bookmark4" w:history="1">
              <w:r w:rsidRPr="005E004B">
                <w:rPr>
                  <w:rFonts w:eastAsia="Calibri"/>
                  <w:bCs/>
                  <w:szCs w:val="22"/>
                </w:rPr>
                <w:t>5.6.</w:t>
              </w:r>
            </w:hyperlink>
            <w:r w:rsidRPr="005E004B">
              <w:rPr>
                <w:rFonts w:eastAsia="Calibri"/>
                <w:bCs/>
                <w:szCs w:val="22"/>
              </w:rPr>
              <w:t xml:space="preserve"> Further, the PDC might make a protocol translation from substation internal SV service or from C37.118.2 to R-SV service across the WAN.</w:t>
            </w:r>
          </w:p>
          <w:p w:rsidR="005E004B" w:rsidRPr="005E004B" w:rsidRDefault="005E004B" w:rsidP="005E004B">
            <w:pPr>
              <w:tabs>
                <w:tab w:val="left" w:pos="0"/>
              </w:tabs>
              <w:ind w:left="0" w:firstLine="0"/>
              <w:rPr>
                <w:rFonts w:eastAsia="Calibri"/>
                <w:bCs/>
                <w:szCs w:val="22"/>
              </w:rPr>
            </w:pPr>
            <w:r w:rsidRPr="005E004B">
              <w:rPr>
                <w:rFonts w:eastAsia="Calibri"/>
                <w:bCs/>
                <w:szCs w:val="22"/>
              </w:rPr>
              <w:t xml:space="preserve">The PDC approach is illustrated in </w:t>
            </w:r>
            <w:hyperlink w:anchor="_bookmark22" w:history="1">
              <w:r w:rsidRPr="005E004B">
                <w:rPr>
                  <w:rFonts w:eastAsia="Calibri"/>
                  <w:bCs/>
                  <w:szCs w:val="22"/>
                </w:rPr>
                <w:t>Figure 18.</w:t>
              </w:r>
            </w:hyperlink>
            <w:r w:rsidRPr="005E004B">
              <w:rPr>
                <w:rFonts w:eastAsia="Calibri"/>
                <w:bCs/>
                <w:szCs w:val="22"/>
              </w:rPr>
              <w:t xml:space="preserve"> The PDC AA10TH1 concentrates phasor data streams coming from AA1F1 and AA10F1. The names shall indicate that AA10F1 is a PMU in the same project as AA10TH1 (and possibly even AA10KA1), while the interface to AA1F1 is imported by means of a SED file e.g. as described in </w:t>
            </w:r>
            <w:hyperlink w:anchor="_bookmark20" w:history="1">
              <w:r w:rsidRPr="005E004B">
                <w:rPr>
                  <w:rFonts w:eastAsia="Calibri"/>
                  <w:bCs/>
                  <w:szCs w:val="22"/>
                </w:rPr>
                <w:t>7.2.</w:t>
              </w:r>
            </w:hyperlink>
            <w:r w:rsidRPr="005E004B">
              <w:rPr>
                <w:rFonts w:eastAsia="Calibri"/>
                <w:bCs/>
                <w:szCs w:val="22"/>
              </w:rPr>
              <w:t xml:space="preserve"> The solid line ellipse indicates the IEDs which belong to the PDC project, while the dotted ellipse contains the IEDs relevant for  the center </w:t>
            </w:r>
            <w:r w:rsidRPr="005E004B">
              <w:rPr>
                <w:rFonts w:eastAsia="Calibri"/>
                <w:bCs/>
                <w:szCs w:val="22"/>
              </w:rPr>
              <w:lastRenderedPageBreak/>
              <w:t>project. The PDC AA10TH1 is the common connection between them.</w:t>
            </w:r>
          </w:p>
          <w:p w:rsidR="005E004B" w:rsidRPr="005E004B" w:rsidRDefault="005E004B" w:rsidP="005E004B">
            <w:pPr>
              <w:tabs>
                <w:tab w:val="left" w:pos="0"/>
              </w:tabs>
              <w:ind w:left="0" w:firstLine="0"/>
              <w:rPr>
                <w:rFonts w:eastAsia="Calibri"/>
                <w:bCs/>
                <w:szCs w:val="22"/>
              </w:rPr>
            </w:pPr>
            <w:r w:rsidRPr="005E004B">
              <w:rPr>
                <w:rFonts w:eastAsia="Calibri"/>
                <w:bCs/>
                <w:szCs w:val="22"/>
              </w:rPr>
              <w:t>The engineering of the PDC concerning communication has two sides:</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 xml:space="preserve">The PDC is a client to several synchrophasor data streams. The synchrophasor data, provided in the streams, can be  provided by different protocols  (e.g.  IEEE  C37.118.2, IEC 61850, and others). This asynchronously delivered data needs  to  be  synchronized and forwarded. If the data is coming directly from substations, this is handled as described in </w:t>
            </w:r>
            <w:hyperlink w:anchor="_bookmark20" w:history="1">
              <w:r w:rsidRPr="005E004B">
                <w:rPr>
                  <w:rFonts w:eastAsia="Calibri"/>
                  <w:bCs/>
                  <w:szCs w:val="22"/>
                </w:rPr>
                <w:t>7.2</w:t>
              </w:r>
            </w:hyperlink>
            <w:r w:rsidRPr="005E004B">
              <w:rPr>
                <w:rFonts w:eastAsia="Calibri"/>
                <w:bCs/>
                <w:szCs w:val="22"/>
              </w:rPr>
              <w:t xml:space="preserve"> for the direct communication. If it is coming from PMUs or other  PDCs,  this  is handled like a normal IEC 61850 project, i.e. ICD and IID files of PMUs and PDCs are needed. In some cases, the PDC may need to provide protocol translation. Within  the scope of this document, such translation is considered to be to IEC 61850, and thus the PDC acts like a gateway, being an IEC 61850 device described with an IID file.</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The PDC acts as a server to higher level clients/subscribers. In this view, the PDC is a ‘normal’ IEC 61850 IED in the center project, and is handled together with the client and probably other PDCs and PMUs like a normal IEC 61850 IED.In particular, it  needs  a formal description in the form of an IID file.</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 xml:space="preserve">The special point for gateways in general and the PDC in this case is how to come from the  step 1 input to the IID file of the PDC needed in step 2 as input for higher level system engineering. As this is from the IEC 61850 perspective IED engineering, it is particular to the implementation/tool of the gateway (PDC). However, as the data semantics, including the connection to the power system, shall be preserved during the engineering, there are recommendations for the gateway </w:t>
            </w:r>
            <w:r w:rsidRPr="005E004B">
              <w:rPr>
                <w:rFonts w:eastAsia="Calibri"/>
                <w:bCs/>
                <w:szCs w:val="22"/>
              </w:rPr>
              <w:lastRenderedPageBreak/>
              <w:t>engineering, especially those gateways whose primary functionality is not concerned with data concentration but rather with filtering and message bundling.</w:t>
            </w: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r w:rsidRPr="005E004B">
              <w:rPr>
                <w:rFonts w:eastAsia="Calibri"/>
                <w:bCs/>
                <w:szCs w:val="22"/>
              </w:rPr>
              <w:t>Recommended rules for creation of PDC IID file:</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Map all LDs of lower level (source) IEDs, whose data shall be forwarded, as Proxy LDs. Optional data objects not needed may be removed.</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Name the proxy LDs according to the source IED, e.g. proxy LD name:= Source IED name+Source LD name (note LD name length restrictions!). Do not forget to  state  the  IED  name in the Proxy-LPHD.PhyNam data object.</w:t>
            </w:r>
          </w:p>
          <w:p w:rsidR="005E004B" w:rsidRPr="005E004B" w:rsidRDefault="005E004B" w:rsidP="00472036">
            <w:pPr>
              <w:pStyle w:val="ListParagraph"/>
              <w:numPr>
                <w:ilvl w:val="0"/>
                <w:numId w:val="14"/>
              </w:numPr>
              <w:tabs>
                <w:tab w:val="left" w:pos="0"/>
              </w:tabs>
              <w:spacing w:after="0"/>
              <w:ind w:left="0" w:firstLine="0"/>
              <w:rPr>
                <w:rFonts w:eastAsia="Calibri"/>
                <w:bCs/>
                <w:szCs w:val="22"/>
              </w:rPr>
            </w:pPr>
            <w:r w:rsidRPr="005E004B">
              <w:rPr>
                <w:rFonts w:eastAsia="Calibri"/>
                <w:bCs/>
                <w:szCs w:val="22"/>
              </w:rPr>
              <w:t>Take over all substation sections from the source SED SCD files to which data source LNs are mapped, and replace the link to the source IED logical node by a link to the PDC proxy LD logical node.</w:t>
            </w: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p>
          <w:p w:rsidR="005E004B" w:rsidRPr="005E004B" w:rsidRDefault="005E004B" w:rsidP="005E004B">
            <w:pPr>
              <w:tabs>
                <w:tab w:val="left" w:pos="0"/>
              </w:tabs>
              <w:ind w:left="0" w:firstLine="0"/>
              <w:rPr>
                <w:rFonts w:eastAsia="Calibri"/>
                <w:bCs/>
                <w:szCs w:val="22"/>
              </w:rPr>
            </w:pPr>
            <w:bookmarkStart w:id="14" w:name="7.4_Requirement_summary"/>
            <w:bookmarkEnd w:id="14"/>
          </w:p>
        </w:tc>
      </w:tr>
    </w:tbl>
    <w:p w:rsidR="005E004B" w:rsidRDefault="005E004B" w:rsidP="00811BEA">
      <w:pPr>
        <w:ind w:left="0" w:firstLine="0"/>
        <w:jc w:val="center"/>
        <w:rPr>
          <w:b/>
        </w:rPr>
      </w:pPr>
    </w:p>
    <w:p w:rsidR="009E72EA" w:rsidRDefault="009E72EA" w:rsidP="009E72EA">
      <w:pPr>
        <w:ind w:left="0" w:firstLine="0"/>
        <w:jc w:val="center"/>
        <w:rPr>
          <w:b/>
        </w:rPr>
      </w:pPr>
      <w:r>
        <w:rPr>
          <w:noProof/>
          <w:lang w:val="en-US"/>
        </w:rPr>
        <w:lastRenderedPageBreak/>
        <w:drawing>
          <wp:inline distT="0" distB="0" distL="0" distR="0" wp14:anchorId="225F824E" wp14:editId="4516AF92">
            <wp:extent cx="51816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81600" cy="3429000"/>
                    </a:xfrm>
                    <a:prstGeom prst="rect">
                      <a:avLst/>
                    </a:prstGeom>
                  </pic:spPr>
                </pic:pic>
              </a:graphicData>
            </a:graphic>
          </wp:inline>
        </w:drawing>
      </w:r>
    </w:p>
    <w:p w:rsidR="009E72EA" w:rsidRDefault="009E72EA" w:rsidP="009E72EA">
      <w:pPr>
        <w:ind w:left="0" w:firstLine="0"/>
        <w:jc w:val="center"/>
        <w:rPr>
          <w:b/>
        </w:rPr>
      </w:pPr>
    </w:p>
    <w:p w:rsidR="009E72EA" w:rsidRDefault="009E72EA" w:rsidP="009E72EA">
      <w:pPr>
        <w:tabs>
          <w:tab w:val="left" w:pos="0"/>
        </w:tabs>
        <w:rPr>
          <w:b/>
        </w:rPr>
      </w:pPr>
      <w:r w:rsidRPr="00EF2D2B">
        <w:rPr>
          <w:b/>
        </w:rPr>
        <w:t>18</w:t>
      </w:r>
      <w:r>
        <w:rPr>
          <w:b/>
        </w:rPr>
        <w:t>-р зураг</w:t>
      </w:r>
      <w:r w:rsidRPr="00EF2D2B">
        <w:rPr>
          <w:b/>
        </w:rPr>
        <w:t xml:space="preserve"> – (прокси) гарц ба фазор хуримтлуулагч PDC</w:t>
      </w:r>
    </w:p>
    <w:p w:rsidR="009E72EA" w:rsidRDefault="009E72EA" w:rsidP="009E72EA">
      <w:pPr>
        <w:tabs>
          <w:tab w:val="left" w:pos="0"/>
        </w:tabs>
        <w:rPr>
          <w:b/>
        </w:rPr>
      </w:pPr>
    </w:p>
    <w:p w:rsidR="009E72EA" w:rsidRDefault="009E72EA" w:rsidP="009E72EA">
      <w:pPr>
        <w:tabs>
          <w:tab w:val="left" w:pos="0"/>
        </w:tabs>
        <w:ind w:left="0" w:firstLine="0"/>
        <w:jc w:val="left"/>
        <w:rPr>
          <w:b/>
        </w:rPr>
      </w:pPr>
      <w:r>
        <w:rPr>
          <w:noProof/>
          <w:lang w:val="en-US"/>
        </w:rPr>
        <w:drawing>
          <wp:inline distT="0" distB="0" distL="0" distR="0" wp14:anchorId="125A4796" wp14:editId="2C790D46">
            <wp:extent cx="5057775" cy="3219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57775" cy="3219450"/>
                    </a:xfrm>
                    <a:prstGeom prst="rect">
                      <a:avLst/>
                    </a:prstGeom>
                  </pic:spPr>
                </pic:pic>
              </a:graphicData>
            </a:graphic>
          </wp:inline>
        </w:drawing>
      </w:r>
    </w:p>
    <w:p w:rsidR="009E72EA" w:rsidRDefault="009E72EA" w:rsidP="009E72EA">
      <w:pPr>
        <w:tabs>
          <w:tab w:val="left" w:pos="0"/>
        </w:tabs>
        <w:jc w:val="left"/>
        <w:rPr>
          <w:b/>
        </w:rPr>
      </w:pPr>
    </w:p>
    <w:p w:rsidR="009E72EA" w:rsidRDefault="009E72EA" w:rsidP="009E72EA">
      <w:pPr>
        <w:tabs>
          <w:tab w:val="left" w:pos="0"/>
        </w:tabs>
        <w:rPr>
          <w:b/>
        </w:rPr>
      </w:pPr>
      <w:r w:rsidRPr="00731F96">
        <w:rPr>
          <w:b/>
        </w:rPr>
        <w:t>Figure 18 – PDC as phasor c</w:t>
      </w:r>
      <w:r>
        <w:rPr>
          <w:b/>
        </w:rPr>
        <w:t>oncentrator and (proxy) gateway</w:t>
      </w:r>
    </w:p>
    <w:p w:rsidR="009E72EA" w:rsidRDefault="009E72EA"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9E72EA" w:rsidTr="009E72EA">
        <w:tc>
          <w:tcPr>
            <w:tcW w:w="4672" w:type="dxa"/>
          </w:tcPr>
          <w:p w:rsidR="009E72EA" w:rsidRPr="009E72EA" w:rsidRDefault="009E72EA" w:rsidP="009E72EA">
            <w:pPr>
              <w:tabs>
                <w:tab w:val="left" w:pos="0"/>
              </w:tabs>
              <w:ind w:left="0" w:firstLine="0"/>
              <w:rPr>
                <w:rFonts w:eastAsia="Calibri"/>
                <w:b/>
                <w:bCs/>
                <w:szCs w:val="22"/>
              </w:rPr>
            </w:pPr>
            <w:r w:rsidRPr="009E72EA">
              <w:rPr>
                <w:rFonts w:eastAsia="Calibri"/>
                <w:b/>
                <w:bCs/>
                <w:szCs w:val="22"/>
              </w:rPr>
              <w:t xml:space="preserve">7.4 Шаардлагын хураангуй </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Сихрофазор өгөгдлийн харилцаа холбоонд тавигдах шаардлага нь тэдний үйлчилж буй аппликейшинуудаас дагалдан </w:t>
            </w:r>
            <w:r w:rsidRPr="009E72EA">
              <w:rPr>
                <w:rFonts w:eastAsia="Calibri"/>
                <w:bCs/>
                <w:szCs w:val="22"/>
              </w:rPr>
              <w:lastRenderedPageBreak/>
              <w:t>гардаг.Эдгээр шаардлагад хэмжилтийг илгээх хурд, хэмжилтээс аппликейшин хүртэлх саатлын хэмжээ, саатлын өөрчлөлт (гажилт) ба тэдгээрийн найдваржилт зэрэг орно.Хэмжлийн нарийвчлал, нарийвчлал, багаж хэрэгслийн боловсруулалтын саатлууд нь хэрэглээний шаардлага буюу PMU функц бөгөөд энэ баримт бичигт тусгагдаагүй болно.</w:t>
            </w:r>
          </w:p>
          <w:p w:rsidR="009E72EA" w:rsidRPr="009E72EA" w:rsidRDefault="009E72EA" w:rsidP="009E72EA">
            <w:pPr>
              <w:tabs>
                <w:tab w:val="left" w:pos="0"/>
              </w:tabs>
              <w:ind w:left="0" w:firstLine="0"/>
              <w:rPr>
                <w:rFonts w:eastAsia="Calibri"/>
                <w:bCs/>
                <w:szCs w:val="22"/>
              </w:rPr>
            </w:pPr>
            <w:r w:rsidRPr="009E72EA">
              <w:rPr>
                <w:rFonts w:eastAsia="Calibri"/>
                <w:bCs/>
                <w:szCs w:val="22"/>
              </w:rPr>
              <w:t>Дараах хүснэгтэд 5-р хэсэгт заасан шаардлагыг нэгтгэн харуулав.Дамжуулалтын гажилт, алдагдсан өгөгдлийн багцад мэдрэмтгий болгохын тулд багана нэмж оруулсан ба хэрэв шаардлагатай сервис нь IEC 61850 сервист хамрагдсан бол.Эхний 3 багана нь хэрэглэгчийн ашиглалтын тохиолдлуудаас шууд гардаг. Гажилт ба алдагдсан багц багана нь аппдикейшний хүлээгдэж буй ажиллагаанд үндэслэсэн чанарын мэдрэмжийг илэрхийлнэ.Бодит шаардлага нь аппликейшний нарийвчлалаас хамаарах бөгөөд тухайн тохиолдол бүрд үнэлэх шаардлагатай болно.Энэ хүснэгтэд гажилт нь дараалсан түүврүүдийн хоорондын хугацаанаас бага байна гэж ойлгодог.</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SV үйлчилгээ нь бүх аппликейшины үндсэн чиг үүрэгт нийцэж байгааг харж болно. Гэсэн хэдий ч үүний интернэтийн шууд хөрвүүлэлттэй тул өргөн хүрээний мэдээлэл дамжуулах системд ашиглах боломжгүй юм. Иймээс R-SV хөрвүүлэлтийг энэ үед ашиглах боломжтой.  R-SV нь сонгодог хамгаалалтад хэрэгтэй түүврийн утгуудад хамгийн хатуу шаардлагууд  хамардаггүй. Гэсэн хэдий ч үүнийг дээр дурдсан аппликейшний шаардлагуудын дагуу ашиглаж болно. Зураг 19-д энэ талаар дурдсан. 'Түүвэрлэсэн утга' </w:t>
            </w:r>
            <w:r w:rsidRPr="009E72EA">
              <w:rPr>
                <w:rFonts w:eastAsia="Calibri"/>
                <w:bCs/>
                <w:szCs w:val="22"/>
              </w:rPr>
              <w:lastRenderedPageBreak/>
              <w:t>хүрээ нь SV сервисийг интернэтэд шууд дүрсэлсэн байх ёстой ба 'Rms' хүрээ нь үйл явдалд суурилсан буюу тогтсон хугацааны тайлангаар хамрах болно.UDP дээр суурилсан R-SV сервис нь "Фазор" хэрэглээний хэрэгцээг арай ядан хангадаг.</w:t>
            </w:r>
          </w:p>
        </w:tc>
        <w:tc>
          <w:tcPr>
            <w:tcW w:w="4672" w:type="dxa"/>
          </w:tcPr>
          <w:p w:rsidR="009E72EA" w:rsidRPr="009E72EA" w:rsidRDefault="009E72EA" w:rsidP="009E72EA">
            <w:pPr>
              <w:tabs>
                <w:tab w:val="left" w:pos="0"/>
              </w:tabs>
              <w:ind w:left="0" w:firstLine="0"/>
              <w:rPr>
                <w:rFonts w:eastAsia="Calibri"/>
                <w:b/>
                <w:bCs/>
                <w:szCs w:val="22"/>
              </w:rPr>
            </w:pPr>
            <w:r w:rsidRPr="009E72EA">
              <w:rPr>
                <w:rFonts w:eastAsia="Calibri"/>
                <w:b/>
                <w:bCs/>
                <w:szCs w:val="22"/>
              </w:rPr>
              <w:lastRenderedPageBreak/>
              <w:t>7.4 Requirement summary</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The requirements for communication of synchrophasor data follow from the applications they serve. These requirements include the rate at  which the </w:t>
            </w:r>
            <w:r w:rsidRPr="009E72EA">
              <w:rPr>
                <w:rFonts w:eastAsia="Calibri"/>
                <w:bCs/>
                <w:szCs w:val="22"/>
              </w:rPr>
              <w:lastRenderedPageBreak/>
              <w:t>measurements are sent, the amount  of delay from measurement to application, variation in delay (jitter), and the  reliability with which they are delivered. The accuracy and precision of the measurement as well as the instrument processing delays are also application requirements, but they are PMU functions and are not addressed in this document.</w:t>
            </w:r>
          </w:p>
          <w:p w:rsidR="009E72EA" w:rsidRPr="009E72EA" w:rsidRDefault="009E72EA" w:rsidP="009E72EA">
            <w:pPr>
              <w:tabs>
                <w:tab w:val="left" w:pos="0"/>
              </w:tabs>
              <w:ind w:left="0" w:firstLine="0"/>
              <w:rPr>
                <w:rFonts w:eastAsia="Calibri"/>
                <w:bCs/>
                <w:szCs w:val="22"/>
              </w:rPr>
            </w:pPr>
            <w:r w:rsidRPr="009E72EA">
              <w:rPr>
                <w:rFonts w:eastAsia="Calibri"/>
                <w:bCs/>
                <w:szCs w:val="22"/>
              </w:rPr>
              <w:t>The following table summarizes the requirements outlined in Clause 5. Columns have been added for sensitivity to transmission jitter, lost data packets, and if the required service is currently covered in IEC 61850 services. The first 3 columns are derived directly from the individual use cases. The jitter and  lost packet columns indicate qualitative sensitivity based on the expected operation of the application. The actual requirements will depend on the details of the application and will need to be assessed in each individual case. In this table,  jitter is understood to be less than the time interval between successive samples.</w:t>
            </w:r>
          </w:p>
          <w:p w:rsidR="009E72EA" w:rsidRPr="009E72EA" w:rsidRDefault="009E72EA" w:rsidP="009E72EA">
            <w:pPr>
              <w:tabs>
                <w:tab w:val="left" w:pos="0"/>
              </w:tabs>
              <w:ind w:left="0" w:firstLine="0"/>
              <w:rPr>
                <w:rFonts w:eastAsia="Calibri"/>
                <w:bCs/>
                <w:szCs w:val="22"/>
              </w:rPr>
            </w:pP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As can be seen, the SV service covers in principle all applications. However, due to its direct mapping to Ethernet, it is not usable across wide area communication systems. Here is where the R-SV mapping can be used. R-SV does not cover the most stringent requirements for sampled values as needed for classical protection. However, it can be used for the application requirements listed above in most cases. </w:t>
            </w:r>
            <w:hyperlink w:anchor="_bookmark23" w:history="1">
              <w:r w:rsidRPr="009E72EA">
                <w:rPr>
                  <w:rFonts w:eastAsia="Calibri"/>
                  <w:bCs/>
                  <w:szCs w:val="22"/>
                </w:rPr>
                <w:t>Figure 19</w:t>
              </w:r>
            </w:hyperlink>
            <w:r w:rsidRPr="009E72EA">
              <w:rPr>
                <w:rFonts w:eastAsia="Calibri"/>
                <w:bCs/>
                <w:szCs w:val="22"/>
              </w:rPr>
              <w:t xml:space="preserve"> gives a rough overview of this. The ‘Sampled value’ range needs the SV service directly mapped to Ethernet, and the ‘Rms’ range is covered with event based or periodic reporting. The UDP based R-SV service  roughly  covers the ‘Phasor’ range.</w:t>
            </w:r>
          </w:p>
          <w:p w:rsidR="009E72EA" w:rsidRPr="009E72EA" w:rsidRDefault="009E72EA" w:rsidP="009E72EA">
            <w:pPr>
              <w:tabs>
                <w:tab w:val="left" w:pos="0"/>
              </w:tabs>
              <w:ind w:left="0" w:firstLine="0"/>
              <w:rPr>
                <w:rFonts w:eastAsia="Calibri"/>
                <w:bCs/>
                <w:szCs w:val="22"/>
              </w:rPr>
            </w:pPr>
          </w:p>
          <w:p w:rsidR="009E72EA" w:rsidRPr="009E72EA" w:rsidRDefault="009E72EA" w:rsidP="009E72EA">
            <w:pPr>
              <w:tabs>
                <w:tab w:val="left" w:pos="0"/>
              </w:tabs>
              <w:ind w:left="0" w:firstLine="0"/>
              <w:jc w:val="center"/>
              <w:rPr>
                <w:rFonts w:eastAsia="Calibri"/>
                <w:bCs/>
                <w:szCs w:val="22"/>
              </w:rPr>
            </w:pPr>
          </w:p>
        </w:tc>
      </w:tr>
    </w:tbl>
    <w:p w:rsidR="009E72EA" w:rsidRDefault="009E72EA" w:rsidP="00811BEA">
      <w:pPr>
        <w:ind w:left="0" w:firstLine="0"/>
        <w:jc w:val="center"/>
        <w:rPr>
          <w:b/>
        </w:rPr>
      </w:pPr>
    </w:p>
    <w:tbl>
      <w:tblPr>
        <w:tblStyle w:val="TableGrid"/>
        <w:tblW w:w="0" w:type="auto"/>
        <w:tblLook w:val="04A0" w:firstRow="1" w:lastRow="0" w:firstColumn="1" w:lastColumn="0" w:noHBand="0" w:noVBand="1"/>
      </w:tblPr>
      <w:tblGrid>
        <w:gridCol w:w="1295"/>
        <w:gridCol w:w="726"/>
        <w:gridCol w:w="1299"/>
        <w:gridCol w:w="881"/>
        <w:gridCol w:w="1222"/>
        <w:gridCol w:w="1441"/>
        <w:gridCol w:w="1073"/>
        <w:gridCol w:w="1407"/>
      </w:tblGrid>
      <w:tr w:rsidR="009E72EA" w:rsidTr="009E72EA">
        <w:tc>
          <w:tcPr>
            <w:tcW w:w="1599" w:type="dxa"/>
            <w:gridSpan w:val="2"/>
          </w:tcPr>
          <w:p w:rsidR="009E72EA" w:rsidRPr="009E72EA" w:rsidRDefault="009E72EA" w:rsidP="009E72EA">
            <w:pPr>
              <w:tabs>
                <w:tab w:val="left" w:pos="0"/>
              </w:tabs>
              <w:ind w:left="0" w:firstLine="0"/>
              <w:jc w:val="center"/>
              <w:rPr>
                <w:rFonts w:eastAsia="Calibri"/>
                <w:b/>
                <w:bCs/>
                <w:sz w:val="20"/>
                <w:szCs w:val="20"/>
              </w:rPr>
            </w:pPr>
            <w:r w:rsidRPr="009E72EA">
              <w:rPr>
                <w:rFonts w:eastAsia="Calibri"/>
                <w:b/>
                <w:bCs/>
                <w:sz w:val="20"/>
                <w:szCs w:val="20"/>
              </w:rPr>
              <w:t>Хүчин зүйл</w:t>
            </w:r>
          </w:p>
        </w:tc>
        <w:tc>
          <w:tcPr>
            <w:tcW w:w="1375" w:type="dxa"/>
          </w:tcPr>
          <w:p w:rsidR="009E72EA" w:rsidRPr="009E72EA" w:rsidRDefault="009E72EA" w:rsidP="009E72EA">
            <w:pPr>
              <w:tabs>
                <w:tab w:val="left" w:pos="0"/>
              </w:tabs>
              <w:ind w:left="0" w:firstLine="0"/>
              <w:jc w:val="center"/>
              <w:rPr>
                <w:rFonts w:eastAsia="Calibri"/>
                <w:b/>
                <w:bCs/>
                <w:sz w:val="20"/>
                <w:szCs w:val="20"/>
              </w:rPr>
            </w:pPr>
            <w:r w:rsidRPr="009E72EA">
              <w:rPr>
                <w:rFonts w:eastAsia="Calibri"/>
                <w:b/>
                <w:bCs/>
                <w:sz w:val="20"/>
                <w:szCs w:val="20"/>
              </w:rPr>
              <w:t>Reporting rate range</w:t>
            </w:r>
          </w:p>
        </w:tc>
        <w:tc>
          <w:tcPr>
            <w:tcW w:w="928" w:type="dxa"/>
          </w:tcPr>
          <w:p w:rsidR="009E72EA" w:rsidRPr="009E72EA" w:rsidRDefault="009E72EA" w:rsidP="009E72EA">
            <w:pPr>
              <w:tabs>
                <w:tab w:val="left" w:pos="0"/>
              </w:tabs>
              <w:ind w:left="0" w:firstLine="0"/>
              <w:jc w:val="center"/>
              <w:rPr>
                <w:rFonts w:eastAsia="Calibri"/>
                <w:b/>
                <w:bCs/>
                <w:sz w:val="20"/>
                <w:szCs w:val="20"/>
              </w:rPr>
            </w:pPr>
            <w:r w:rsidRPr="009E72EA">
              <w:rPr>
                <w:rFonts w:eastAsia="Calibri"/>
                <w:b/>
                <w:bCs/>
                <w:sz w:val="20"/>
                <w:szCs w:val="20"/>
              </w:rPr>
              <w:t>Эцсийн төгсгөл хоцролт</w:t>
            </w:r>
          </w:p>
        </w:tc>
        <w:tc>
          <w:tcPr>
            <w:tcW w:w="1292" w:type="dxa"/>
          </w:tcPr>
          <w:p w:rsidR="009E72EA" w:rsidRPr="009E72EA" w:rsidRDefault="009E72EA" w:rsidP="009E72EA">
            <w:pPr>
              <w:tabs>
                <w:tab w:val="left" w:pos="0"/>
              </w:tabs>
              <w:ind w:left="0" w:firstLine="0"/>
              <w:jc w:val="center"/>
              <w:rPr>
                <w:rFonts w:eastAsia="Calibri"/>
                <w:b/>
                <w:bCs/>
                <w:sz w:val="20"/>
                <w:szCs w:val="20"/>
              </w:rPr>
            </w:pPr>
            <w:r w:rsidRPr="009E72EA">
              <w:rPr>
                <w:rFonts w:eastAsia="Calibri"/>
                <w:b/>
                <w:bCs/>
                <w:sz w:val="20"/>
                <w:szCs w:val="20"/>
              </w:rPr>
              <w:t>Хэмжилтийн хугацааны алдаа</w:t>
            </w:r>
          </w:p>
        </w:tc>
        <w:tc>
          <w:tcPr>
            <w:tcW w:w="1527" w:type="dxa"/>
          </w:tcPr>
          <w:p w:rsidR="009E72EA" w:rsidRPr="009E72EA" w:rsidRDefault="009E72EA" w:rsidP="009E72EA">
            <w:pPr>
              <w:tabs>
                <w:tab w:val="left" w:pos="0"/>
              </w:tabs>
              <w:ind w:left="0" w:firstLine="0"/>
              <w:jc w:val="center"/>
              <w:rPr>
                <w:rFonts w:eastAsia="Calibri"/>
                <w:b/>
                <w:bCs/>
                <w:sz w:val="20"/>
                <w:szCs w:val="20"/>
              </w:rPr>
            </w:pPr>
            <w:r w:rsidRPr="009E72EA">
              <w:rPr>
                <w:rFonts w:eastAsia="Calibri"/>
                <w:b/>
                <w:bCs/>
                <w:sz w:val="20"/>
                <w:szCs w:val="20"/>
              </w:rPr>
              <w:t>Дамжуулалтын гажилтын мэдрэмж</w:t>
            </w:r>
          </w:p>
        </w:tc>
        <w:tc>
          <w:tcPr>
            <w:tcW w:w="1133" w:type="dxa"/>
          </w:tcPr>
          <w:p w:rsidR="009E72EA" w:rsidRPr="009E72EA" w:rsidRDefault="009E72EA" w:rsidP="009E72EA">
            <w:pPr>
              <w:tabs>
                <w:tab w:val="left" w:pos="0"/>
              </w:tabs>
              <w:ind w:left="0" w:firstLine="0"/>
              <w:jc w:val="center"/>
              <w:rPr>
                <w:rFonts w:eastAsia="Calibri"/>
                <w:b/>
                <w:bCs/>
                <w:sz w:val="20"/>
                <w:szCs w:val="20"/>
              </w:rPr>
            </w:pPr>
            <w:r w:rsidRPr="009E72EA">
              <w:rPr>
                <w:rFonts w:eastAsia="Calibri"/>
                <w:b/>
                <w:bCs/>
                <w:sz w:val="20"/>
                <w:szCs w:val="20"/>
              </w:rPr>
              <w:t>Алдагдсан багцын мэдрэмж</w:t>
            </w:r>
          </w:p>
        </w:tc>
        <w:tc>
          <w:tcPr>
            <w:tcW w:w="1490" w:type="dxa"/>
          </w:tcPr>
          <w:p w:rsidR="009E72EA" w:rsidRPr="009E72EA" w:rsidRDefault="009E72EA" w:rsidP="009E72EA">
            <w:pPr>
              <w:tabs>
                <w:tab w:val="left" w:pos="0"/>
              </w:tabs>
              <w:ind w:left="0" w:firstLine="0"/>
              <w:jc w:val="center"/>
              <w:rPr>
                <w:rFonts w:eastAsia="Calibri"/>
                <w:b/>
                <w:bCs/>
                <w:sz w:val="20"/>
                <w:szCs w:val="20"/>
              </w:rPr>
            </w:pPr>
            <w:r w:rsidRPr="009E72EA">
              <w:rPr>
                <w:rFonts w:eastAsia="Calibri"/>
                <w:b/>
                <w:bCs/>
                <w:sz w:val="20"/>
                <w:szCs w:val="20"/>
              </w:rPr>
              <w:t>61850-т</w:t>
            </w:r>
          </w:p>
          <w:p w:rsidR="009E72EA" w:rsidRPr="009E72EA" w:rsidRDefault="009E72EA" w:rsidP="009E72EA">
            <w:pPr>
              <w:tabs>
                <w:tab w:val="left" w:pos="0"/>
              </w:tabs>
              <w:ind w:left="0" w:firstLine="0"/>
              <w:jc w:val="center"/>
              <w:rPr>
                <w:rFonts w:eastAsia="Calibri"/>
                <w:b/>
                <w:bCs/>
                <w:sz w:val="20"/>
                <w:szCs w:val="20"/>
              </w:rPr>
            </w:pPr>
            <w:r w:rsidRPr="009E72EA">
              <w:rPr>
                <w:rFonts w:eastAsia="Calibri"/>
                <w:b/>
                <w:bCs/>
                <w:sz w:val="20"/>
                <w:szCs w:val="20"/>
              </w:rPr>
              <w:t>хамрагдсан</w:t>
            </w:r>
          </w:p>
        </w:tc>
      </w:tr>
      <w:tr w:rsidR="009E72EA" w:rsidTr="009E72EA">
        <w:tc>
          <w:tcPr>
            <w:tcW w:w="1599" w:type="dxa"/>
            <w:gridSpan w:val="2"/>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Синхрон хяналт</w:t>
            </w:r>
          </w:p>
        </w:tc>
        <w:tc>
          <w:tcPr>
            <w:tcW w:w="1375" w:type="dxa"/>
          </w:tcPr>
          <w:p w:rsidR="009E72EA" w:rsidRPr="00731F96" w:rsidRDefault="009E72EA" w:rsidP="009E72EA">
            <w:pPr>
              <w:pStyle w:val="TableParagraph"/>
              <w:tabs>
                <w:tab w:val="left" w:pos="0"/>
              </w:tabs>
              <w:spacing w:before="57" w:line="276" w:lineRule="auto"/>
              <w:ind w:left="107"/>
              <w:rPr>
                <w:sz w:val="20"/>
                <w:szCs w:val="20"/>
                <w:lang w:val="mn-MN"/>
              </w:rPr>
            </w:pPr>
            <w:r w:rsidRPr="00731F96">
              <w:rPr>
                <w:sz w:val="20"/>
                <w:szCs w:val="20"/>
                <w:lang w:val="mn-MN"/>
              </w:rPr>
              <w:t>≥4/с</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100 мс</w:t>
            </w:r>
          </w:p>
        </w:tc>
        <w:tc>
          <w:tcPr>
            <w:tcW w:w="1292" w:type="dxa"/>
          </w:tcPr>
          <w:p w:rsidR="009E72EA" w:rsidRPr="00EF2D2B" w:rsidRDefault="009E72EA" w:rsidP="009E72EA">
            <w:pPr>
              <w:pStyle w:val="TableParagraph"/>
              <w:tabs>
                <w:tab w:val="left" w:pos="0"/>
              </w:tabs>
              <w:spacing w:before="57" w:line="276" w:lineRule="auto"/>
              <w:ind w:left="107"/>
              <w:rPr>
                <w:sz w:val="20"/>
                <w:szCs w:val="20"/>
                <w:lang w:val="mn-MN"/>
              </w:rPr>
            </w:pPr>
            <w:r w:rsidRPr="00EF2D2B">
              <w:rPr>
                <w:sz w:val="20"/>
                <w:szCs w:val="20"/>
                <w:lang w:val="mn-MN"/>
              </w:rPr>
              <w:t>50 мкс</w:t>
            </w:r>
          </w:p>
        </w:tc>
        <w:tc>
          <w:tcPr>
            <w:tcW w:w="1527"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Дунд </w:t>
            </w:r>
          </w:p>
        </w:tc>
        <w:tc>
          <w:tcPr>
            <w:tcW w:w="1133"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 xml:space="preserve">Өндөр </w:t>
            </w:r>
          </w:p>
        </w:tc>
        <w:tc>
          <w:tcPr>
            <w:tcW w:w="1490" w:type="dxa"/>
          </w:tcPr>
          <w:p w:rsidR="009E72EA" w:rsidRPr="00EF2D2B" w:rsidRDefault="009E72EA" w:rsidP="009E72EA">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9E72EA" w:rsidTr="009E72EA">
        <w:tc>
          <w:tcPr>
            <w:tcW w:w="1599" w:type="dxa"/>
            <w:gridSpan w:val="2"/>
          </w:tcPr>
          <w:p w:rsidR="009E72EA" w:rsidRPr="00EF2D2B" w:rsidRDefault="009E72EA" w:rsidP="009E72EA">
            <w:pPr>
              <w:pStyle w:val="TableParagraph"/>
              <w:tabs>
                <w:tab w:val="left" w:pos="0"/>
              </w:tabs>
              <w:spacing w:line="276" w:lineRule="auto"/>
              <w:ind w:left="107"/>
              <w:rPr>
                <w:sz w:val="20"/>
                <w:szCs w:val="20"/>
                <w:lang w:val="mn-MN"/>
              </w:rPr>
            </w:pPr>
            <w:r w:rsidRPr="00EF2D2B">
              <w:rPr>
                <w:spacing w:val="6"/>
                <w:sz w:val="20"/>
                <w:szCs w:val="20"/>
                <w:lang w:val="mn-MN"/>
              </w:rPr>
              <w:t>Тохируулагдах реле</w:t>
            </w:r>
          </w:p>
        </w:tc>
        <w:tc>
          <w:tcPr>
            <w:tcW w:w="1375" w:type="dxa"/>
          </w:tcPr>
          <w:p w:rsidR="009E72EA" w:rsidRPr="00731F96" w:rsidRDefault="009E72EA" w:rsidP="009E72EA">
            <w:pPr>
              <w:pStyle w:val="TableParagraph"/>
              <w:tabs>
                <w:tab w:val="left" w:pos="0"/>
              </w:tabs>
              <w:spacing w:before="57" w:line="276" w:lineRule="auto"/>
              <w:ind w:left="107"/>
              <w:rPr>
                <w:sz w:val="20"/>
                <w:szCs w:val="20"/>
                <w:lang w:val="mn-MN"/>
              </w:rPr>
            </w:pPr>
            <w:r w:rsidRPr="00731F96">
              <w:rPr>
                <w:sz w:val="20"/>
                <w:szCs w:val="20"/>
                <w:lang w:val="mn-MN"/>
              </w:rPr>
              <w:t>≥10/с</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50 мс</w:t>
            </w:r>
          </w:p>
        </w:tc>
        <w:tc>
          <w:tcPr>
            <w:tcW w:w="1292" w:type="dxa"/>
          </w:tcPr>
          <w:p w:rsidR="009E72EA" w:rsidRPr="00EF2D2B" w:rsidRDefault="009E72EA" w:rsidP="009E72EA">
            <w:pPr>
              <w:tabs>
                <w:tab w:val="left" w:pos="0"/>
              </w:tabs>
              <w:ind w:left="128"/>
              <w:rPr>
                <w:sz w:val="20"/>
              </w:rPr>
            </w:pPr>
            <w:r w:rsidRPr="00EF2D2B">
              <w:rPr>
                <w:sz w:val="20"/>
              </w:rPr>
              <w:t>50 мкс</w:t>
            </w:r>
          </w:p>
        </w:tc>
        <w:tc>
          <w:tcPr>
            <w:tcW w:w="1527"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133"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Дунд</w:t>
            </w:r>
          </w:p>
        </w:tc>
        <w:tc>
          <w:tcPr>
            <w:tcW w:w="1490" w:type="dxa"/>
          </w:tcPr>
          <w:p w:rsidR="009E72EA" w:rsidRPr="00EF2D2B" w:rsidRDefault="009E72EA" w:rsidP="009E72EA">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9E72EA" w:rsidTr="009E72EA">
        <w:tc>
          <w:tcPr>
            <w:tcW w:w="1599" w:type="dxa"/>
            <w:gridSpan w:val="2"/>
          </w:tcPr>
          <w:p w:rsidR="009E72EA" w:rsidRPr="00EF2D2B" w:rsidRDefault="009E72EA" w:rsidP="009E72EA">
            <w:pPr>
              <w:pStyle w:val="TableParagraph"/>
              <w:tabs>
                <w:tab w:val="left" w:pos="0"/>
              </w:tabs>
              <w:spacing w:before="58" w:line="276" w:lineRule="auto"/>
              <w:ind w:left="107" w:right="296"/>
              <w:rPr>
                <w:sz w:val="20"/>
                <w:szCs w:val="20"/>
                <w:lang w:val="mn-MN"/>
              </w:rPr>
            </w:pPr>
            <w:r w:rsidRPr="00EF2D2B">
              <w:rPr>
                <w:sz w:val="20"/>
                <w:szCs w:val="20"/>
                <w:lang w:val="mn-MN"/>
              </w:rPr>
              <w:t xml:space="preserve">хязгаараас </w:t>
            </w:r>
            <w:r w:rsidRPr="00731F96">
              <w:rPr>
                <w:sz w:val="20"/>
                <w:szCs w:val="20"/>
                <w:lang w:val="mn-MN"/>
              </w:rPr>
              <w:t xml:space="preserve"> </w:t>
            </w:r>
            <w:r w:rsidRPr="00EF2D2B">
              <w:rPr>
                <w:sz w:val="20"/>
                <w:szCs w:val="20"/>
                <w:lang w:val="mn-MN"/>
              </w:rPr>
              <w:t>гарах үеийн хамгаалалт</w:t>
            </w:r>
          </w:p>
        </w:tc>
        <w:tc>
          <w:tcPr>
            <w:tcW w:w="1375" w:type="dxa"/>
          </w:tcPr>
          <w:p w:rsidR="009E72EA" w:rsidRPr="00EF2D2B" w:rsidRDefault="009E72EA" w:rsidP="009E72EA">
            <w:pPr>
              <w:pStyle w:val="TableParagraph"/>
              <w:tabs>
                <w:tab w:val="left" w:pos="0"/>
              </w:tabs>
              <w:spacing w:before="59" w:line="276" w:lineRule="auto"/>
              <w:ind w:left="107"/>
              <w:rPr>
                <w:sz w:val="20"/>
                <w:szCs w:val="20"/>
                <w:lang w:val="mn-MN"/>
              </w:rPr>
            </w:pPr>
            <w:r w:rsidRPr="00EF2D2B">
              <w:rPr>
                <w:sz w:val="20"/>
                <w:szCs w:val="20"/>
                <w:lang w:val="mn-MN"/>
              </w:rPr>
              <w:t>≥10/с</w:t>
            </w:r>
          </w:p>
        </w:tc>
        <w:tc>
          <w:tcPr>
            <w:tcW w:w="928" w:type="dxa"/>
          </w:tcPr>
          <w:p w:rsidR="009E72EA" w:rsidRPr="00EF2D2B" w:rsidRDefault="009E72EA" w:rsidP="009E72EA">
            <w:pPr>
              <w:pStyle w:val="TableParagraph"/>
              <w:tabs>
                <w:tab w:val="left" w:pos="0"/>
              </w:tabs>
              <w:spacing w:before="58" w:line="276" w:lineRule="auto"/>
              <w:ind w:left="107"/>
              <w:rPr>
                <w:sz w:val="20"/>
                <w:szCs w:val="20"/>
                <w:lang w:val="mn-MN"/>
              </w:rPr>
            </w:pPr>
            <w:r w:rsidRPr="00EF2D2B">
              <w:rPr>
                <w:sz w:val="20"/>
                <w:szCs w:val="20"/>
                <w:lang w:val="mn-MN"/>
              </w:rPr>
              <w:t>50 мс–</w:t>
            </w:r>
          </w:p>
          <w:p w:rsidR="009E72EA" w:rsidRPr="00EF2D2B" w:rsidRDefault="009E72EA" w:rsidP="009E72EA">
            <w:pPr>
              <w:pStyle w:val="TableParagraph"/>
              <w:tabs>
                <w:tab w:val="left" w:pos="0"/>
              </w:tabs>
              <w:spacing w:before="0" w:line="276" w:lineRule="auto"/>
              <w:ind w:left="107"/>
              <w:rPr>
                <w:sz w:val="20"/>
                <w:szCs w:val="20"/>
                <w:lang w:val="mn-MN"/>
              </w:rPr>
            </w:pPr>
            <w:r w:rsidRPr="00EF2D2B">
              <w:rPr>
                <w:sz w:val="20"/>
                <w:szCs w:val="20"/>
                <w:lang w:val="mn-MN"/>
              </w:rPr>
              <w:t>500 мс</w:t>
            </w:r>
          </w:p>
        </w:tc>
        <w:tc>
          <w:tcPr>
            <w:tcW w:w="1292" w:type="dxa"/>
          </w:tcPr>
          <w:p w:rsidR="009E72EA" w:rsidRPr="00EF2D2B" w:rsidRDefault="009E72EA" w:rsidP="009E72EA">
            <w:pPr>
              <w:tabs>
                <w:tab w:val="left" w:pos="0"/>
              </w:tabs>
              <w:ind w:left="128"/>
              <w:rPr>
                <w:sz w:val="20"/>
              </w:rPr>
            </w:pPr>
            <w:r w:rsidRPr="00EF2D2B">
              <w:rPr>
                <w:sz w:val="20"/>
              </w:rPr>
              <w:t>50 мкс</w:t>
            </w:r>
          </w:p>
        </w:tc>
        <w:tc>
          <w:tcPr>
            <w:tcW w:w="1527" w:type="dxa"/>
          </w:tcPr>
          <w:p w:rsidR="009E72EA" w:rsidRPr="00EF2D2B" w:rsidRDefault="009E72EA" w:rsidP="009E72EA">
            <w:pPr>
              <w:pStyle w:val="TableParagraph"/>
              <w:tabs>
                <w:tab w:val="left" w:pos="0"/>
              </w:tabs>
              <w:spacing w:before="58" w:line="276" w:lineRule="auto"/>
              <w:ind w:left="106"/>
              <w:rPr>
                <w:sz w:val="20"/>
                <w:szCs w:val="20"/>
                <w:lang w:val="mn-MN"/>
              </w:rPr>
            </w:pPr>
            <w:r w:rsidRPr="00EF2D2B">
              <w:rPr>
                <w:sz w:val="20"/>
                <w:szCs w:val="20"/>
                <w:lang w:val="mn-MN"/>
              </w:rPr>
              <w:t xml:space="preserve">Дунд </w:t>
            </w:r>
          </w:p>
        </w:tc>
        <w:tc>
          <w:tcPr>
            <w:tcW w:w="1133" w:type="dxa"/>
          </w:tcPr>
          <w:p w:rsidR="009E72EA" w:rsidRPr="00EF2D2B" w:rsidRDefault="009E72EA" w:rsidP="009E72EA">
            <w:pPr>
              <w:pStyle w:val="TableParagraph"/>
              <w:tabs>
                <w:tab w:val="left" w:pos="0"/>
              </w:tabs>
              <w:spacing w:before="58" w:line="276" w:lineRule="auto"/>
              <w:ind w:left="105"/>
              <w:rPr>
                <w:sz w:val="20"/>
                <w:szCs w:val="20"/>
                <w:lang w:val="mn-MN"/>
              </w:rPr>
            </w:pPr>
            <w:r w:rsidRPr="00EF2D2B">
              <w:rPr>
                <w:sz w:val="20"/>
                <w:szCs w:val="20"/>
                <w:lang w:val="mn-MN"/>
              </w:rPr>
              <w:t>Дунд</w:t>
            </w:r>
          </w:p>
        </w:tc>
        <w:tc>
          <w:tcPr>
            <w:tcW w:w="1490" w:type="dxa"/>
          </w:tcPr>
          <w:p w:rsidR="009E72EA" w:rsidRPr="00EF2D2B" w:rsidRDefault="009E72EA" w:rsidP="009E72EA">
            <w:pPr>
              <w:pStyle w:val="TableParagraph"/>
              <w:tabs>
                <w:tab w:val="left" w:pos="0"/>
              </w:tabs>
              <w:spacing w:before="58" w:line="276" w:lineRule="auto"/>
              <w:ind w:left="102"/>
              <w:rPr>
                <w:sz w:val="20"/>
                <w:szCs w:val="20"/>
                <w:lang w:val="mn-MN"/>
              </w:rPr>
            </w:pPr>
            <w:r w:rsidRPr="00EF2D2B">
              <w:rPr>
                <w:sz w:val="20"/>
                <w:szCs w:val="20"/>
                <w:lang w:val="mn-MN"/>
              </w:rPr>
              <w:t>SV сервес</w:t>
            </w:r>
          </w:p>
        </w:tc>
      </w:tr>
      <w:tr w:rsidR="009E72EA" w:rsidTr="009E72EA">
        <w:tc>
          <w:tcPr>
            <w:tcW w:w="1599" w:type="dxa"/>
            <w:gridSpan w:val="2"/>
          </w:tcPr>
          <w:p w:rsidR="009E72EA" w:rsidRPr="00EF2D2B" w:rsidRDefault="009E72EA" w:rsidP="009E72EA">
            <w:pPr>
              <w:pStyle w:val="TableParagraph"/>
              <w:tabs>
                <w:tab w:val="left" w:pos="0"/>
              </w:tabs>
              <w:spacing w:line="276" w:lineRule="auto"/>
              <w:ind w:left="107" w:right="296"/>
              <w:rPr>
                <w:sz w:val="20"/>
                <w:szCs w:val="20"/>
                <w:lang w:val="mn-MN"/>
              </w:rPr>
            </w:pPr>
            <w:r w:rsidRPr="00EF2D2B">
              <w:rPr>
                <w:spacing w:val="7"/>
                <w:sz w:val="20"/>
                <w:szCs w:val="20"/>
                <w:lang w:val="mn-MN"/>
              </w:rPr>
              <w:t>Нөхцөл байдлын дохионы мэдээлэл</w:t>
            </w:r>
          </w:p>
        </w:tc>
        <w:tc>
          <w:tcPr>
            <w:tcW w:w="1375" w:type="dxa"/>
          </w:tcPr>
          <w:p w:rsidR="009E72EA" w:rsidRPr="00731F96" w:rsidRDefault="009E72EA" w:rsidP="009E72EA">
            <w:pPr>
              <w:pStyle w:val="TableParagraph"/>
              <w:tabs>
                <w:tab w:val="left" w:pos="0"/>
              </w:tabs>
              <w:spacing w:line="276" w:lineRule="auto"/>
              <w:ind w:left="107"/>
              <w:rPr>
                <w:sz w:val="20"/>
                <w:szCs w:val="20"/>
                <w:lang w:val="mn-MN"/>
              </w:rPr>
            </w:pPr>
            <w:r w:rsidRPr="00731F96">
              <w:rPr>
                <w:sz w:val="20"/>
                <w:szCs w:val="20"/>
                <w:lang w:val="mn-MN"/>
              </w:rPr>
              <w:t>1/с– 50/с</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 с</w:t>
            </w:r>
          </w:p>
        </w:tc>
        <w:tc>
          <w:tcPr>
            <w:tcW w:w="1292" w:type="dxa"/>
          </w:tcPr>
          <w:p w:rsidR="009E72EA" w:rsidRPr="00EF2D2B" w:rsidRDefault="009E72EA" w:rsidP="009E72EA">
            <w:pPr>
              <w:tabs>
                <w:tab w:val="left" w:pos="0"/>
              </w:tabs>
              <w:ind w:left="128"/>
              <w:rPr>
                <w:sz w:val="20"/>
              </w:rPr>
            </w:pPr>
            <w:r w:rsidRPr="00EF2D2B">
              <w:rPr>
                <w:sz w:val="20"/>
              </w:rPr>
              <w:t>50 мкс</w:t>
            </w:r>
          </w:p>
        </w:tc>
        <w:tc>
          <w:tcPr>
            <w:tcW w:w="1527" w:type="dxa"/>
          </w:tcPr>
          <w:p w:rsidR="009E72EA" w:rsidRPr="00EF2D2B" w:rsidRDefault="009E72EA" w:rsidP="009E72EA">
            <w:pPr>
              <w:pStyle w:val="TableParagraph"/>
              <w:tabs>
                <w:tab w:val="left" w:pos="0"/>
              </w:tabs>
              <w:spacing w:line="276" w:lineRule="auto"/>
              <w:ind w:left="106" w:right="246"/>
              <w:rPr>
                <w:sz w:val="20"/>
                <w:szCs w:val="20"/>
                <w:lang w:val="mn-MN"/>
              </w:rPr>
            </w:pPr>
            <w:r w:rsidRPr="00EF2D2B">
              <w:rPr>
                <w:sz w:val="20"/>
                <w:szCs w:val="20"/>
                <w:lang w:val="mn-MN"/>
              </w:rPr>
              <w:t>Бага ба дунд</w:t>
            </w:r>
          </w:p>
        </w:tc>
        <w:tc>
          <w:tcPr>
            <w:tcW w:w="1133" w:type="dxa"/>
          </w:tcPr>
          <w:p w:rsidR="009E72EA" w:rsidRPr="00EF2D2B" w:rsidRDefault="009E72EA" w:rsidP="009E72EA">
            <w:pPr>
              <w:pStyle w:val="TableParagraph"/>
              <w:tabs>
                <w:tab w:val="left" w:pos="0"/>
              </w:tabs>
              <w:spacing w:line="276" w:lineRule="auto"/>
              <w:ind w:left="105" w:right="113"/>
              <w:rPr>
                <w:sz w:val="20"/>
                <w:szCs w:val="20"/>
                <w:lang w:val="mn-MN"/>
              </w:rPr>
            </w:pPr>
            <w:r w:rsidRPr="00EF2D2B">
              <w:rPr>
                <w:sz w:val="20"/>
                <w:szCs w:val="20"/>
                <w:lang w:val="mn-MN"/>
              </w:rPr>
              <w:t>Бага ба дунд</w:t>
            </w:r>
          </w:p>
        </w:tc>
        <w:tc>
          <w:tcPr>
            <w:tcW w:w="1490" w:type="dxa"/>
          </w:tcPr>
          <w:p w:rsidR="009E72EA" w:rsidRPr="00EF2D2B" w:rsidRDefault="009E72EA" w:rsidP="009E72EA">
            <w:pPr>
              <w:pStyle w:val="TableParagraph"/>
              <w:tabs>
                <w:tab w:val="left" w:pos="0"/>
              </w:tabs>
              <w:spacing w:before="0" w:line="276" w:lineRule="auto"/>
              <w:ind w:left="102"/>
              <w:rPr>
                <w:sz w:val="20"/>
                <w:szCs w:val="20"/>
                <w:lang w:val="mn-MN"/>
              </w:rPr>
            </w:pPr>
            <w:r w:rsidRPr="00EF2D2B">
              <w:rPr>
                <w:sz w:val="20"/>
                <w:szCs w:val="20"/>
                <w:lang w:val="mn-MN"/>
              </w:rPr>
              <w:t>Тогтсон хугацаануудад тайлагнах, SV сервес</w:t>
            </w:r>
          </w:p>
        </w:tc>
      </w:tr>
      <w:tr w:rsidR="009E72EA" w:rsidTr="009E72EA">
        <w:tc>
          <w:tcPr>
            <w:tcW w:w="1599"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z w:val="20"/>
                <w:szCs w:val="20"/>
                <w:lang w:val="mn-MN"/>
              </w:rPr>
              <w:t>Төлөвийн тооцоолол ба аюулгүй байдлын үнэлгээ</w:t>
            </w:r>
          </w:p>
        </w:tc>
        <w:tc>
          <w:tcPr>
            <w:tcW w:w="1375" w:type="dxa"/>
          </w:tcPr>
          <w:p w:rsidR="009E72EA" w:rsidRPr="00EF2D2B" w:rsidRDefault="009E72EA" w:rsidP="009E72EA">
            <w:pPr>
              <w:pStyle w:val="TableParagraph"/>
              <w:tabs>
                <w:tab w:val="left" w:pos="0"/>
              </w:tabs>
              <w:spacing w:line="276" w:lineRule="auto"/>
              <w:ind w:left="107" w:right="285"/>
              <w:rPr>
                <w:sz w:val="20"/>
                <w:szCs w:val="20"/>
                <w:lang w:val="mn-MN"/>
              </w:rPr>
            </w:pPr>
            <w:r w:rsidRPr="00EF2D2B">
              <w:rPr>
                <w:sz w:val="20"/>
                <w:szCs w:val="20"/>
                <w:lang w:val="mn-MN"/>
              </w:rPr>
              <w:t>1/300 с–  10/с</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 с</w:t>
            </w:r>
          </w:p>
        </w:tc>
        <w:tc>
          <w:tcPr>
            <w:tcW w:w="1292" w:type="dxa"/>
          </w:tcPr>
          <w:p w:rsidR="009E72EA" w:rsidRPr="00EF2D2B" w:rsidRDefault="009E72EA" w:rsidP="009E72EA">
            <w:pPr>
              <w:tabs>
                <w:tab w:val="left" w:pos="0"/>
              </w:tabs>
              <w:ind w:left="128"/>
              <w:rPr>
                <w:sz w:val="20"/>
              </w:rPr>
            </w:pPr>
            <w:r w:rsidRPr="00EF2D2B">
              <w:rPr>
                <w:sz w:val="20"/>
              </w:rPr>
              <w:t>50 мкс</w:t>
            </w:r>
          </w:p>
        </w:tc>
        <w:tc>
          <w:tcPr>
            <w:tcW w:w="1527"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133"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Дунд</w:t>
            </w:r>
          </w:p>
        </w:tc>
        <w:tc>
          <w:tcPr>
            <w:tcW w:w="1490" w:type="dxa"/>
          </w:tcPr>
          <w:p w:rsidR="009E72EA" w:rsidRPr="00EF2D2B" w:rsidRDefault="009E72EA" w:rsidP="009E72EA">
            <w:pPr>
              <w:pStyle w:val="TableParagraph"/>
              <w:tabs>
                <w:tab w:val="left" w:pos="0"/>
              </w:tabs>
              <w:spacing w:before="1" w:line="276" w:lineRule="auto"/>
              <w:ind w:left="102"/>
              <w:rPr>
                <w:sz w:val="20"/>
                <w:szCs w:val="20"/>
                <w:lang w:val="mn-MN"/>
              </w:rPr>
            </w:pPr>
            <w:r w:rsidRPr="00EF2D2B">
              <w:rPr>
                <w:sz w:val="20"/>
                <w:szCs w:val="20"/>
                <w:lang w:val="mn-MN"/>
              </w:rPr>
              <w:t>Тогтсон хугацаануудад тайлагнах, SV сервес</w:t>
            </w:r>
          </w:p>
        </w:tc>
      </w:tr>
      <w:tr w:rsidR="009E72EA" w:rsidTr="009E72EA">
        <w:tc>
          <w:tcPr>
            <w:tcW w:w="1599"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z w:val="20"/>
                <w:szCs w:val="20"/>
                <w:lang w:val="mn-MN"/>
              </w:rPr>
              <w:t>Өгөгдөл</w:t>
            </w:r>
            <w:r w:rsidRPr="00731F96">
              <w:rPr>
                <w:sz w:val="20"/>
                <w:szCs w:val="20"/>
                <w:lang w:val="mn-MN"/>
              </w:rPr>
              <w:t xml:space="preserve"> архивлах</w:t>
            </w:r>
          </w:p>
        </w:tc>
        <w:tc>
          <w:tcPr>
            <w:tcW w:w="1375"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N/A</w:t>
            </w:r>
          </w:p>
        </w:tc>
        <w:tc>
          <w:tcPr>
            <w:tcW w:w="1292" w:type="dxa"/>
          </w:tcPr>
          <w:p w:rsidR="009E72EA" w:rsidRPr="00EF2D2B" w:rsidRDefault="009E72EA" w:rsidP="009E72EA">
            <w:pPr>
              <w:tabs>
                <w:tab w:val="left" w:pos="0"/>
              </w:tabs>
              <w:ind w:left="128"/>
              <w:rPr>
                <w:sz w:val="20"/>
              </w:rPr>
            </w:pPr>
            <w:r w:rsidRPr="00EF2D2B">
              <w:rPr>
                <w:sz w:val="20"/>
              </w:rPr>
              <w:t>50 мкс</w:t>
            </w:r>
          </w:p>
        </w:tc>
        <w:tc>
          <w:tcPr>
            <w:tcW w:w="1527"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133"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Дунд</w:t>
            </w:r>
          </w:p>
        </w:tc>
        <w:tc>
          <w:tcPr>
            <w:tcW w:w="1490" w:type="dxa"/>
          </w:tcPr>
          <w:p w:rsidR="009E72EA" w:rsidRPr="00EF2D2B" w:rsidRDefault="009E72EA" w:rsidP="009E72EA">
            <w:pPr>
              <w:pStyle w:val="TableParagraph"/>
              <w:tabs>
                <w:tab w:val="left" w:pos="0"/>
              </w:tabs>
              <w:spacing w:before="1" w:line="276" w:lineRule="auto"/>
              <w:ind w:left="102"/>
              <w:rPr>
                <w:sz w:val="20"/>
                <w:szCs w:val="20"/>
                <w:lang w:val="mn-MN"/>
              </w:rPr>
            </w:pPr>
            <w:r w:rsidRPr="00EF2D2B">
              <w:rPr>
                <w:sz w:val="20"/>
                <w:szCs w:val="20"/>
                <w:lang w:val="mn-MN"/>
              </w:rPr>
              <w:t>Шаардлагатай бүх зүйл</w:t>
            </w:r>
          </w:p>
        </w:tc>
      </w:tr>
      <w:tr w:rsidR="009E72EA" w:rsidTr="009E72EA">
        <w:tc>
          <w:tcPr>
            <w:tcW w:w="1599"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z w:val="20"/>
                <w:szCs w:val="20"/>
                <w:lang w:val="mn-MN"/>
              </w:rPr>
              <w:t>Өргөн</w:t>
            </w:r>
            <w:r w:rsidRPr="00731F96">
              <w:rPr>
                <w:sz w:val="20"/>
                <w:szCs w:val="20"/>
                <w:lang w:val="mn-MN"/>
              </w:rPr>
              <w:t xml:space="preserve"> хүрээний удирдлага</w:t>
            </w:r>
          </w:p>
        </w:tc>
        <w:tc>
          <w:tcPr>
            <w:tcW w:w="1375" w:type="dxa"/>
          </w:tcPr>
          <w:p w:rsidR="009E72EA" w:rsidRPr="00EF2D2B" w:rsidRDefault="009E72EA" w:rsidP="009E72EA">
            <w:pPr>
              <w:pStyle w:val="TableParagraph"/>
              <w:tabs>
                <w:tab w:val="left" w:pos="0"/>
              </w:tabs>
              <w:spacing w:before="57" w:line="276" w:lineRule="auto"/>
              <w:ind w:left="107"/>
              <w:rPr>
                <w:sz w:val="20"/>
                <w:szCs w:val="20"/>
                <w:lang w:val="mn-MN"/>
              </w:rPr>
            </w:pPr>
            <w:r w:rsidRPr="00EF2D2B">
              <w:rPr>
                <w:sz w:val="20"/>
                <w:szCs w:val="20"/>
                <w:lang w:val="mn-MN"/>
              </w:rPr>
              <w:t>≥10/с</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50 мс–</w:t>
            </w:r>
          </w:p>
          <w:p w:rsidR="009E72EA" w:rsidRPr="00EF2D2B" w:rsidRDefault="009E72EA" w:rsidP="009E72EA">
            <w:pPr>
              <w:pStyle w:val="TableParagraph"/>
              <w:tabs>
                <w:tab w:val="left" w:pos="0"/>
              </w:tabs>
              <w:spacing w:before="0" w:line="276" w:lineRule="auto"/>
              <w:ind w:left="107"/>
              <w:rPr>
                <w:sz w:val="20"/>
                <w:szCs w:val="20"/>
                <w:lang w:val="mn-MN"/>
              </w:rPr>
            </w:pPr>
            <w:r w:rsidRPr="00EF2D2B">
              <w:rPr>
                <w:sz w:val="20"/>
                <w:szCs w:val="20"/>
                <w:lang w:val="mn-MN"/>
              </w:rPr>
              <w:t>500 мс</w:t>
            </w:r>
          </w:p>
        </w:tc>
        <w:tc>
          <w:tcPr>
            <w:tcW w:w="1292" w:type="dxa"/>
          </w:tcPr>
          <w:p w:rsidR="009E72EA" w:rsidRPr="00EF2D2B" w:rsidRDefault="009E72EA" w:rsidP="009E72EA">
            <w:pPr>
              <w:tabs>
                <w:tab w:val="left" w:pos="0"/>
              </w:tabs>
              <w:ind w:left="128"/>
              <w:rPr>
                <w:sz w:val="20"/>
              </w:rPr>
            </w:pPr>
            <w:r w:rsidRPr="00EF2D2B">
              <w:rPr>
                <w:sz w:val="20"/>
              </w:rPr>
              <w:t>50 мкс</w:t>
            </w:r>
          </w:p>
        </w:tc>
        <w:tc>
          <w:tcPr>
            <w:tcW w:w="1527"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Дунд </w:t>
            </w:r>
          </w:p>
        </w:tc>
        <w:tc>
          <w:tcPr>
            <w:tcW w:w="1133"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Өндөр</w:t>
            </w:r>
          </w:p>
        </w:tc>
        <w:tc>
          <w:tcPr>
            <w:tcW w:w="1490" w:type="dxa"/>
          </w:tcPr>
          <w:p w:rsidR="009E72EA" w:rsidRPr="00EF2D2B" w:rsidRDefault="009E72EA" w:rsidP="009E72EA">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9E72EA" w:rsidTr="009E72EA">
        <w:tc>
          <w:tcPr>
            <w:tcW w:w="1599"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pacing w:val="6"/>
                <w:sz w:val="20"/>
                <w:szCs w:val="20"/>
                <w:lang w:val="mn-MN"/>
              </w:rPr>
              <w:t>Динамик тогтворжилтыг хангах, урьдчилан тооцохсистем</w:t>
            </w:r>
          </w:p>
        </w:tc>
        <w:tc>
          <w:tcPr>
            <w:tcW w:w="1375" w:type="dxa"/>
          </w:tcPr>
          <w:p w:rsidR="009E72EA" w:rsidRPr="00EF2D2B" w:rsidRDefault="009E72EA" w:rsidP="009E72EA">
            <w:pPr>
              <w:pStyle w:val="TableParagraph"/>
              <w:tabs>
                <w:tab w:val="left" w:pos="0"/>
              </w:tabs>
              <w:spacing w:before="57" w:line="276" w:lineRule="auto"/>
              <w:ind w:left="107" w:right="285"/>
              <w:rPr>
                <w:sz w:val="20"/>
                <w:szCs w:val="20"/>
                <w:lang w:val="mn-MN"/>
              </w:rPr>
            </w:pPr>
            <w:r w:rsidRPr="00EF2D2B">
              <w:rPr>
                <w:sz w:val="20"/>
                <w:szCs w:val="20"/>
                <w:lang w:val="mn-MN"/>
              </w:rPr>
              <w:t>≥25/s or 30/s</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50 мс</w:t>
            </w:r>
          </w:p>
        </w:tc>
        <w:tc>
          <w:tcPr>
            <w:tcW w:w="1292" w:type="dxa"/>
          </w:tcPr>
          <w:p w:rsidR="009E72EA" w:rsidRPr="00EF2D2B" w:rsidRDefault="009E72EA" w:rsidP="009E72EA">
            <w:pPr>
              <w:tabs>
                <w:tab w:val="left" w:pos="0"/>
              </w:tabs>
              <w:ind w:left="128"/>
              <w:rPr>
                <w:sz w:val="20"/>
              </w:rPr>
            </w:pPr>
            <w:r w:rsidRPr="00EF2D2B">
              <w:rPr>
                <w:sz w:val="20"/>
              </w:rPr>
              <w:t>50 мкс</w:t>
            </w:r>
          </w:p>
        </w:tc>
        <w:tc>
          <w:tcPr>
            <w:tcW w:w="1527" w:type="dxa"/>
          </w:tcPr>
          <w:p w:rsidR="009E72EA" w:rsidRPr="00EF2D2B" w:rsidRDefault="009E72EA" w:rsidP="009E72EA">
            <w:pPr>
              <w:pStyle w:val="TableParagraph"/>
              <w:tabs>
                <w:tab w:val="left" w:pos="0"/>
              </w:tabs>
              <w:spacing w:before="0" w:line="276" w:lineRule="auto"/>
              <w:ind w:left="106"/>
              <w:rPr>
                <w:sz w:val="20"/>
                <w:szCs w:val="20"/>
                <w:lang w:val="mn-MN"/>
              </w:rPr>
            </w:pPr>
            <w:r w:rsidRPr="00EF2D2B">
              <w:rPr>
                <w:sz w:val="20"/>
                <w:szCs w:val="20"/>
                <w:lang w:val="mn-MN"/>
              </w:rPr>
              <w:t xml:space="preserve">Дунд </w:t>
            </w:r>
          </w:p>
        </w:tc>
        <w:tc>
          <w:tcPr>
            <w:tcW w:w="1133"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Өндөр</w:t>
            </w:r>
          </w:p>
        </w:tc>
        <w:tc>
          <w:tcPr>
            <w:tcW w:w="1490" w:type="dxa"/>
          </w:tcPr>
          <w:p w:rsidR="009E72EA" w:rsidRPr="00EF2D2B" w:rsidRDefault="009E72EA" w:rsidP="009E72EA">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9E72EA" w:rsidTr="009E72EA">
        <w:tc>
          <w:tcPr>
            <w:tcW w:w="1599"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z w:val="20"/>
                <w:szCs w:val="20"/>
                <w:lang w:val="mn-MN"/>
              </w:rPr>
              <w:t>Хүчдэлийн уналтаар ачаалал хязгаарлах</w:t>
            </w:r>
          </w:p>
        </w:tc>
        <w:tc>
          <w:tcPr>
            <w:tcW w:w="1375" w:type="dxa"/>
          </w:tcPr>
          <w:p w:rsidR="009E72EA" w:rsidRPr="00EF2D2B" w:rsidRDefault="009E72EA" w:rsidP="009E72EA">
            <w:pPr>
              <w:pStyle w:val="TableParagraph"/>
              <w:tabs>
                <w:tab w:val="left" w:pos="0"/>
              </w:tabs>
              <w:spacing w:before="57" w:line="276" w:lineRule="auto"/>
              <w:ind w:left="107" w:right="285"/>
              <w:rPr>
                <w:sz w:val="20"/>
                <w:szCs w:val="20"/>
                <w:lang w:val="mn-MN"/>
              </w:rPr>
            </w:pPr>
            <w:r w:rsidRPr="00EF2D2B">
              <w:rPr>
                <w:sz w:val="20"/>
                <w:szCs w:val="20"/>
                <w:lang w:val="mn-MN"/>
              </w:rPr>
              <w:t>≥25/сбуюу 30/с</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100 мс</w:t>
            </w:r>
          </w:p>
        </w:tc>
        <w:tc>
          <w:tcPr>
            <w:tcW w:w="1292" w:type="dxa"/>
          </w:tcPr>
          <w:p w:rsidR="009E72EA" w:rsidRPr="00EF2D2B" w:rsidRDefault="009E72EA" w:rsidP="009E72EA">
            <w:pPr>
              <w:pStyle w:val="TableParagraph"/>
              <w:tabs>
                <w:tab w:val="left" w:pos="0"/>
              </w:tabs>
              <w:spacing w:before="57" w:line="276" w:lineRule="auto"/>
              <w:ind w:left="107"/>
              <w:rPr>
                <w:sz w:val="20"/>
                <w:szCs w:val="20"/>
                <w:lang w:val="mn-MN"/>
              </w:rPr>
            </w:pPr>
            <w:r w:rsidRPr="00EF2D2B">
              <w:rPr>
                <w:sz w:val="20"/>
                <w:szCs w:val="20"/>
                <w:lang w:val="mn-MN"/>
              </w:rPr>
              <w:t>50 мкс</w:t>
            </w:r>
          </w:p>
        </w:tc>
        <w:tc>
          <w:tcPr>
            <w:tcW w:w="1527" w:type="dxa"/>
          </w:tcPr>
          <w:p w:rsidR="009E72EA" w:rsidRPr="00EF2D2B" w:rsidRDefault="009E72EA" w:rsidP="009E72EA">
            <w:pPr>
              <w:pStyle w:val="TableParagraph"/>
              <w:tabs>
                <w:tab w:val="left" w:pos="0"/>
              </w:tabs>
              <w:spacing w:before="0" w:line="276" w:lineRule="auto"/>
              <w:ind w:left="106"/>
              <w:rPr>
                <w:sz w:val="20"/>
                <w:szCs w:val="20"/>
                <w:lang w:val="mn-MN"/>
              </w:rPr>
            </w:pPr>
            <w:r w:rsidRPr="00EF2D2B">
              <w:rPr>
                <w:sz w:val="20"/>
                <w:szCs w:val="20"/>
                <w:lang w:val="mn-MN"/>
              </w:rPr>
              <w:t xml:space="preserve">Бага </w:t>
            </w:r>
          </w:p>
        </w:tc>
        <w:tc>
          <w:tcPr>
            <w:tcW w:w="1133"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Өндөр</w:t>
            </w:r>
          </w:p>
        </w:tc>
        <w:tc>
          <w:tcPr>
            <w:tcW w:w="1490" w:type="dxa"/>
          </w:tcPr>
          <w:p w:rsidR="009E72EA" w:rsidRPr="00EF2D2B" w:rsidRDefault="009E72EA" w:rsidP="009E72EA">
            <w:pPr>
              <w:pStyle w:val="TableParagraph"/>
              <w:tabs>
                <w:tab w:val="left" w:pos="0"/>
              </w:tabs>
              <w:spacing w:line="276" w:lineRule="auto"/>
              <w:ind w:left="102" w:right="86"/>
              <w:rPr>
                <w:sz w:val="20"/>
                <w:szCs w:val="20"/>
                <w:lang w:val="mn-MN"/>
              </w:rPr>
            </w:pPr>
            <w:r w:rsidRPr="00EF2D2B">
              <w:rPr>
                <w:sz w:val="20"/>
                <w:szCs w:val="20"/>
                <w:lang w:val="mn-MN"/>
              </w:rPr>
              <w:t>SV сервес</w:t>
            </w:r>
          </w:p>
        </w:tc>
      </w:tr>
      <w:tr w:rsidR="009E72EA" w:rsidTr="009E72EA">
        <w:tc>
          <w:tcPr>
            <w:tcW w:w="898" w:type="dxa"/>
            <w:vMerge w:val="restart"/>
          </w:tcPr>
          <w:p w:rsidR="009E72EA" w:rsidRPr="00EF2D2B" w:rsidRDefault="009E72EA" w:rsidP="009E72EA">
            <w:pPr>
              <w:pStyle w:val="TableParagraph"/>
              <w:tabs>
                <w:tab w:val="left" w:pos="0"/>
              </w:tabs>
              <w:spacing w:line="276" w:lineRule="auto"/>
              <w:ind w:left="107"/>
              <w:rPr>
                <w:sz w:val="20"/>
                <w:szCs w:val="20"/>
                <w:lang w:val="mn-MN"/>
              </w:rPr>
            </w:pPr>
            <w:r w:rsidRPr="009E72EA">
              <w:rPr>
                <w:sz w:val="20"/>
                <w:szCs w:val="20"/>
                <w:lang w:val="mn-MN"/>
              </w:rPr>
              <w:t>Феномен таамагла</w:t>
            </w:r>
            <w:r w:rsidRPr="009E72EA">
              <w:rPr>
                <w:sz w:val="20"/>
                <w:szCs w:val="20"/>
                <w:lang w:val="mn-MN"/>
              </w:rPr>
              <w:lastRenderedPageBreak/>
              <w:t>лын төрөл WAMPAC</w:t>
            </w:r>
          </w:p>
        </w:tc>
        <w:tc>
          <w:tcPr>
            <w:tcW w:w="701" w:type="dxa"/>
          </w:tcPr>
          <w:p w:rsidR="009E72EA" w:rsidRPr="00EF2D2B" w:rsidRDefault="009E72EA" w:rsidP="009E72EA">
            <w:pPr>
              <w:pStyle w:val="TableParagraph"/>
              <w:tabs>
                <w:tab w:val="left" w:pos="0"/>
              </w:tabs>
              <w:spacing w:line="276" w:lineRule="auto"/>
              <w:ind w:left="107"/>
              <w:rPr>
                <w:sz w:val="20"/>
                <w:szCs w:val="20"/>
                <w:lang w:val="mn-MN"/>
              </w:rPr>
            </w:pPr>
            <w:r w:rsidRPr="00EF2D2B">
              <w:rPr>
                <w:spacing w:val="5"/>
                <w:sz w:val="20"/>
                <w:szCs w:val="20"/>
                <w:lang w:val="mn-MN"/>
              </w:rPr>
              <w:lastRenderedPageBreak/>
              <w:t>PMU</w:t>
            </w:r>
            <w:r w:rsidRPr="00EF2D2B">
              <w:rPr>
                <w:sz w:val="20"/>
                <w:szCs w:val="20"/>
                <w:lang w:val="mn-MN"/>
              </w:rPr>
              <w:t>-</w:t>
            </w:r>
            <w:r w:rsidRPr="00EF2D2B">
              <w:rPr>
                <w:sz w:val="20"/>
                <w:szCs w:val="20"/>
                <w:lang w:val="mn-MN"/>
              </w:rPr>
              <w:lastRenderedPageBreak/>
              <w:t xml:space="preserve">аас </w:t>
            </w:r>
            <w:r w:rsidRPr="00EF2D2B">
              <w:rPr>
                <w:spacing w:val="6"/>
                <w:sz w:val="20"/>
                <w:szCs w:val="20"/>
                <w:lang w:val="mn-MN"/>
              </w:rPr>
              <w:t>PDC</w:t>
            </w:r>
          </w:p>
        </w:tc>
        <w:tc>
          <w:tcPr>
            <w:tcW w:w="1375" w:type="dxa"/>
          </w:tcPr>
          <w:p w:rsidR="009E72EA" w:rsidRPr="00EF2D2B" w:rsidRDefault="009E72EA" w:rsidP="009E72EA">
            <w:pPr>
              <w:pStyle w:val="TableParagraph"/>
              <w:tabs>
                <w:tab w:val="left" w:pos="0"/>
              </w:tabs>
              <w:spacing w:before="0" w:line="276" w:lineRule="auto"/>
              <w:ind w:left="107" w:right="383"/>
              <w:rPr>
                <w:sz w:val="20"/>
                <w:szCs w:val="20"/>
                <w:lang w:val="mn-MN"/>
              </w:rPr>
            </w:pPr>
            <w:r w:rsidRPr="00EF2D2B">
              <w:rPr>
                <w:sz w:val="20"/>
                <w:szCs w:val="20"/>
                <w:lang w:val="mn-MN"/>
              </w:rPr>
              <w:lastRenderedPageBreak/>
              <w:t>1/с–  10/с</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 с</w:t>
            </w:r>
          </w:p>
        </w:tc>
        <w:tc>
          <w:tcPr>
            <w:tcW w:w="1292" w:type="dxa"/>
          </w:tcPr>
          <w:p w:rsidR="009E72EA" w:rsidRPr="00EF2D2B" w:rsidRDefault="009E72EA" w:rsidP="009E72EA">
            <w:pPr>
              <w:pStyle w:val="TableParagraph"/>
              <w:tabs>
                <w:tab w:val="left" w:pos="0"/>
              </w:tabs>
              <w:spacing w:before="57" w:line="276" w:lineRule="auto"/>
              <w:ind w:left="106"/>
              <w:rPr>
                <w:sz w:val="20"/>
                <w:szCs w:val="20"/>
                <w:lang w:val="mn-MN"/>
              </w:rPr>
            </w:pPr>
            <w:r w:rsidRPr="00EF2D2B">
              <w:rPr>
                <w:sz w:val="20"/>
                <w:szCs w:val="20"/>
                <w:lang w:val="mn-MN"/>
              </w:rPr>
              <w:t>50 мкс</w:t>
            </w:r>
          </w:p>
        </w:tc>
        <w:tc>
          <w:tcPr>
            <w:tcW w:w="1527" w:type="dxa"/>
          </w:tcPr>
          <w:p w:rsidR="009E72EA" w:rsidRPr="00EF2D2B" w:rsidRDefault="009E72EA" w:rsidP="009E72EA">
            <w:pPr>
              <w:pStyle w:val="TableParagraph"/>
              <w:tabs>
                <w:tab w:val="left" w:pos="0"/>
              </w:tabs>
              <w:spacing w:before="0" w:line="276" w:lineRule="auto"/>
              <w:ind w:left="106" w:right="246"/>
              <w:rPr>
                <w:sz w:val="20"/>
                <w:szCs w:val="20"/>
                <w:lang w:val="mn-MN"/>
              </w:rPr>
            </w:pPr>
            <w:r w:rsidRPr="00EF2D2B">
              <w:rPr>
                <w:sz w:val="20"/>
                <w:szCs w:val="20"/>
                <w:lang w:val="mn-MN"/>
              </w:rPr>
              <w:t>Бага ба дунд</w:t>
            </w:r>
          </w:p>
        </w:tc>
        <w:tc>
          <w:tcPr>
            <w:tcW w:w="1133" w:type="dxa"/>
          </w:tcPr>
          <w:p w:rsidR="009E72EA" w:rsidRPr="00EF2D2B" w:rsidRDefault="009E72EA" w:rsidP="009E72EA">
            <w:pPr>
              <w:pStyle w:val="TableParagraph"/>
              <w:tabs>
                <w:tab w:val="left" w:pos="0"/>
              </w:tabs>
              <w:spacing w:before="0" w:line="276" w:lineRule="auto"/>
              <w:ind w:left="105" w:right="113"/>
              <w:rPr>
                <w:sz w:val="20"/>
                <w:szCs w:val="20"/>
                <w:lang w:val="mn-MN"/>
              </w:rPr>
            </w:pPr>
            <w:r w:rsidRPr="00EF2D2B">
              <w:rPr>
                <w:sz w:val="20"/>
                <w:szCs w:val="20"/>
                <w:lang w:val="mn-MN"/>
              </w:rPr>
              <w:t xml:space="preserve">Бага ба </w:t>
            </w:r>
            <w:r w:rsidRPr="00EF2D2B">
              <w:rPr>
                <w:sz w:val="20"/>
                <w:szCs w:val="20"/>
                <w:lang w:val="mn-MN"/>
              </w:rPr>
              <w:lastRenderedPageBreak/>
              <w:t>дунд</w:t>
            </w:r>
          </w:p>
        </w:tc>
        <w:tc>
          <w:tcPr>
            <w:tcW w:w="1490" w:type="dxa"/>
          </w:tcPr>
          <w:p w:rsidR="009E72EA" w:rsidRPr="00EF2D2B" w:rsidRDefault="009E72EA" w:rsidP="009E72EA">
            <w:pPr>
              <w:pStyle w:val="TableParagraph"/>
              <w:tabs>
                <w:tab w:val="left" w:pos="0"/>
              </w:tabs>
              <w:spacing w:before="55" w:line="276" w:lineRule="auto"/>
              <w:ind w:left="102"/>
              <w:rPr>
                <w:sz w:val="20"/>
                <w:szCs w:val="20"/>
                <w:lang w:val="mn-MN"/>
              </w:rPr>
            </w:pPr>
            <w:r w:rsidRPr="00EF2D2B">
              <w:rPr>
                <w:sz w:val="20"/>
                <w:szCs w:val="20"/>
                <w:lang w:val="mn-MN"/>
              </w:rPr>
              <w:lastRenderedPageBreak/>
              <w:t>Тогтсон хугацаануу</w:t>
            </w:r>
            <w:r w:rsidRPr="00EF2D2B">
              <w:rPr>
                <w:sz w:val="20"/>
                <w:szCs w:val="20"/>
                <w:lang w:val="mn-MN"/>
              </w:rPr>
              <w:lastRenderedPageBreak/>
              <w:t>дад тайлагнах, SV сервес</w:t>
            </w:r>
          </w:p>
        </w:tc>
      </w:tr>
      <w:tr w:rsidR="009E72EA" w:rsidTr="009E72EA">
        <w:tc>
          <w:tcPr>
            <w:tcW w:w="898" w:type="dxa"/>
            <w:vMerge/>
          </w:tcPr>
          <w:p w:rsidR="009E72EA" w:rsidRPr="00EF2D2B" w:rsidRDefault="009E72EA" w:rsidP="009E72EA">
            <w:pPr>
              <w:pStyle w:val="TableParagraph"/>
              <w:tabs>
                <w:tab w:val="left" w:pos="0"/>
              </w:tabs>
              <w:spacing w:line="276" w:lineRule="auto"/>
              <w:ind w:left="107"/>
              <w:rPr>
                <w:sz w:val="20"/>
                <w:szCs w:val="20"/>
                <w:lang w:val="mn-MN"/>
              </w:rPr>
            </w:pPr>
          </w:p>
        </w:tc>
        <w:tc>
          <w:tcPr>
            <w:tcW w:w="701" w:type="dxa"/>
          </w:tcPr>
          <w:p w:rsidR="009E72EA" w:rsidRPr="00EF2D2B" w:rsidRDefault="009E72EA" w:rsidP="009E72EA">
            <w:pPr>
              <w:pStyle w:val="TableParagraph"/>
              <w:tabs>
                <w:tab w:val="left" w:pos="0"/>
              </w:tabs>
              <w:spacing w:line="276" w:lineRule="auto"/>
              <w:rPr>
                <w:sz w:val="20"/>
                <w:szCs w:val="20"/>
                <w:lang w:val="mn-MN"/>
              </w:rPr>
            </w:pPr>
            <w:r w:rsidRPr="00EF2D2B">
              <w:rPr>
                <w:sz w:val="20"/>
                <w:szCs w:val="20"/>
                <w:lang w:val="mn-MN"/>
              </w:rPr>
              <w:t>PMU</w:t>
            </w:r>
          </w:p>
          <w:p w:rsidR="009E72EA" w:rsidRPr="00EF2D2B" w:rsidRDefault="009E72EA" w:rsidP="009E72EA">
            <w:pPr>
              <w:pStyle w:val="TableParagraph"/>
              <w:tabs>
                <w:tab w:val="left" w:pos="0"/>
              </w:tabs>
              <w:spacing w:before="1" w:line="276" w:lineRule="auto"/>
              <w:ind w:left="107" w:right="155"/>
              <w:rPr>
                <w:sz w:val="20"/>
                <w:szCs w:val="20"/>
                <w:lang w:val="mn-MN"/>
              </w:rPr>
            </w:pPr>
            <w:r w:rsidRPr="00EF2D2B">
              <w:rPr>
                <w:sz w:val="20"/>
                <w:szCs w:val="20"/>
                <w:lang w:val="mn-MN"/>
              </w:rPr>
              <w:t>-аас IED</w:t>
            </w:r>
          </w:p>
        </w:tc>
        <w:tc>
          <w:tcPr>
            <w:tcW w:w="1375" w:type="dxa"/>
          </w:tcPr>
          <w:p w:rsidR="009E72EA" w:rsidRPr="00EF2D2B" w:rsidRDefault="009E72EA" w:rsidP="009E72EA">
            <w:pPr>
              <w:pStyle w:val="TableParagraph"/>
              <w:tabs>
                <w:tab w:val="left" w:pos="0"/>
              </w:tabs>
              <w:spacing w:before="0" w:line="276" w:lineRule="auto"/>
              <w:ind w:left="107" w:right="285"/>
              <w:rPr>
                <w:sz w:val="20"/>
                <w:szCs w:val="20"/>
                <w:lang w:val="mn-MN"/>
              </w:rPr>
            </w:pPr>
            <w:r w:rsidRPr="00EF2D2B">
              <w:rPr>
                <w:sz w:val="20"/>
                <w:szCs w:val="20"/>
                <w:lang w:val="mn-MN"/>
              </w:rPr>
              <w:t>50/ с–60/с</w:t>
            </w:r>
          </w:p>
        </w:tc>
        <w:tc>
          <w:tcPr>
            <w:tcW w:w="928"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20 мс</w:t>
            </w:r>
          </w:p>
        </w:tc>
        <w:tc>
          <w:tcPr>
            <w:tcW w:w="1292" w:type="dxa"/>
          </w:tcPr>
          <w:p w:rsidR="009E72EA" w:rsidRPr="00EF2D2B" w:rsidRDefault="009E72EA" w:rsidP="009E72EA">
            <w:pPr>
              <w:pStyle w:val="TableParagraph"/>
              <w:tabs>
                <w:tab w:val="left" w:pos="0"/>
              </w:tabs>
              <w:spacing w:before="57" w:line="276" w:lineRule="auto"/>
              <w:ind w:left="107"/>
              <w:rPr>
                <w:sz w:val="20"/>
                <w:szCs w:val="20"/>
                <w:lang w:val="mn-MN"/>
              </w:rPr>
            </w:pPr>
            <w:r w:rsidRPr="00EF2D2B">
              <w:rPr>
                <w:sz w:val="20"/>
                <w:szCs w:val="20"/>
                <w:lang w:val="mn-MN"/>
              </w:rPr>
              <w:t>50 мкс</w:t>
            </w:r>
          </w:p>
        </w:tc>
        <w:tc>
          <w:tcPr>
            <w:tcW w:w="1527" w:type="dxa"/>
          </w:tcPr>
          <w:p w:rsidR="009E72EA" w:rsidRPr="00EF2D2B" w:rsidRDefault="009E72EA" w:rsidP="009E72EA">
            <w:pPr>
              <w:pStyle w:val="TableParagraph"/>
              <w:tabs>
                <w:tab w:val="left" w:pos="0"/>
              </w:tabs>
              <w:spacing w:before="0" w:line="276" w:lineRule="auto"/>
              <w:ind w:left="106"/>
              <w:rPr>
                <w:sz w:val="20"/>
                <w:szCs w:val="20"/>
                <w:lang w:val="mn-MN"/>
              </w:rPr>
            </w:pPr>
            <w:r w:rsidRPr="00EF2D2B">
              <w:rPr>
                <w:sz w:val="20"/>
                <w:szCs w:val="20"/>
                <w:lang w:val="mn-MN"/>
              </w:rPr>
              <w:t>дунд</w:t>
            </w:r>
          </w:p>
        </w:tc>
        <w:tc>
          <w:tcPr>
            <w:tcW w:w="1133" w:type="dxa"/>
          </w:tcPr>
          <w:p w:rsidR="009E72EA" w:rsidRPr="00EF2D2B" w:rsidRDefault="009E72EA" w:rsidP="009E72EA">
            <w:pPr>
              <w:pStyle w:val="TableParagraph"/>
              <w:tabs>
                <w:tab w:val="left" w:pos="0"/>
              </w:tabs>
              <w:spacing w:before="0" w:line="276" w:lineRule="auto"/>
              <w:ind w:left="105"/>
              <w:rPr>
                <w:sz w:val="20"/>
                <w:szCs w:val="20"/>
                <w:lang w:val="mn-MN"/>
              </w:rPr>
            </w:pPr>
            <w:r w:rsidRPr="00EF2D2B">
              <w:rPr>
                <w:sz w:val="20"/>
                <w:szCs w:val="20"/>
                <w:lang w:val="mn-MN"/>
              </w:rPr>
              <w:t xml:space="preserve">Өндөр </w:t>
            </w:r>
          </w:p>
        </w:tc>
        <w:tc>
          <w:tcPr>
            <w:tcW w:w="1490" w:type="dxa"/>
          </w:tcPr>
          <w:p w:rsidR="009E72EA" w:rsidRPr="00EF2D2B" w:rsidRDefault="009E72EA" w:rsidP="009E72EA">
            <w:pPr>
              <w:pStyle w:val="TableParagraph"/>
              <w:tabs>
                <w:tab w:val="left" w:pos="0"/>
              </w:tabs>
              <w:spacing w:before="0" w:line="276" w:lineRule="auto"/>
              <w:ind w:left="102"/>
              <w:rPr>
                <w:sz w:val="20"/>
                <w:szCs w:val="20"/>
                <w:lang w:val="mn-MN"/>
              </w:rPr>
            </w:pPr>
            <w:r w:rsidRPr="00EF2D2B">
              <w:rPr>
                <w:sz w:val="20"/>
                <w:szCs w:val="20"/>
                <w:lang w:val="mn-MN"/>
              </w:rPr>
              <w:t>SV сервес</w:t>
            </w:r>
          </w:p>
        </w:tc>
      </w:tr>
    </w:tbl>
    <w:p w:rsidR="009E72EA" w:rsidRDefault="009E72EA" w:rsidP="00811BEA">
      <w:pPr>
        <w:ind w:left="0" w:firstLine="0"/>
        <w:jc w:val="center"/>
        <w:rPr>
          <w:b/>
        </w:rPr>
      </w:pPr>
    </w:p>
    <w:tbl>
      <w:tblPr>
        <w:tblStyle w:val="TableGrid"/>
        <w:tblW w:w="0" w:type="auto"/>
        <w:tblLook w:val="04A0" w:firstRow="1" w:lastRow="0" w:firstColumn="1" w:lastColumn="0" w:noHBand="0" w:noVBand="1"/>
      </w:tblPr>
      <w:tblGrid>
        <w:gridCol w:w="1256"/>
        <w:gridCol w:w="670"/>
        <w:gridCol w:w="1241"/>
        <w:gridCol w:w="902"/>
        <w:gridCol w:w="1324"/>
        <w:gridCol w:w="1421"/>
        <w:gridCol w:w="1186"/>
        <w:gridCol w:w="1344"/>
      </w:tblGrid>
      <w:tr w:rsidR="009E72EA" w:rsidRPr="009E72EA" w:rsidTr="009E72EA">
        <w:tc>
          <w:tcPr>
            <w:tcW w:w="1978" w:type="dxa"/>
            <w:gridSpan w:val="2"/>
          </w:tcPr>
          <w:p w:rsidR="009E72EA" w:rsidRPr="00EF2D2B" w:rsidRDefault="009E72EA" w:rsidP="009E72EA">
            <w:pPr>
              <w:pStyle w:val="TableParagraph"/>
              <w:tabs>
                <w:tab w:val="left" w:pos="0"/>
              </w:tabs>
              <w:spacing w:before="53" w:line="276" w:lineRule="auto"/>
              <w:ind w:left="678" w:right="678"/>
              <w:jc w:val="center"/>
              <w:rPr>
                <w:b/>
                <w:sz w:val="20"/>
                <w:szCs w:val="20"/>
                <w:lang w:val="mn-MN"/>
              </w:rPr>
            </w:pPr>
            <w:r w:rsidRPr="00EF2D2B">
              <w:rPr>
                <w:b/>
                <w:sz w:val="20"/>
                <w:szCs w:val="20"/>
                <w:lang w:val="mn-MN"/>
              </w:rPr>
              <w:t>Factor</w:t>
            </w:r>
          </w:p>
        </w:tc>
        <w:tc>
          <w:tcPr>
            <w:tcW w:w="1233" w:type="dxa"/>
          </w:tcPr>
          <w:p w:rsidR="009E72EA" w:rsidRPr="00EF2D2B" w:rsidRDefault="009E72EA" w:rsidP="009E72EA">
            <w:pPr>
              <w:pStyle w:val="TableParagraph"/>
              <w:tabs>
                <w:tab w:val="left" w:pos="0"/>
              </w:tabs>
              <w:spacing w:before="53" w:line="276" w:lineRule="auto"/>
              <w:ind w:left="158" w:firstLine="14"/>
              <w:rPr>
                <w:b/>
                <w:sz w:val="20"/>
                <w:szCs w:val="20"/>
                <w:lang w:val="mn-MN"/>
              </w:rPr>
            </w:pPr>
            <w:r w:rsidRPr="00EF2D2B">
              <w:rPr>
                <w:b/>
                <w:sz w:val="20"/>
                <w:szCs w:val="20"/>
                <w:lang w:val="mn-MN"/>
              </w:rPr>
              <w:t>Reporting rate range</w:t>
            </w:r>
          </w:p>
        </w:tc>
        <w:tc>
          <w:tcPr>
            <w:tcW w:w="896" w:type="dxa"/>
          </w:tcPr>
          <w:p w:rsidR="009E72EA" w:rsidRPr="00EF2D2B" w:rsidRDefault="009E72EA" w:rsidP="009E72EA">
            <w:pPr>
              <w:pStyle w:val="TableParagraph"/>
              <w:tabs>
                <w:tab w:val="left" w:pos="0"/>
              </w:tabs>
              <w:spacing w:before="53" w:line="276" w:lineRule="auto"/>
              <w:ind w:left="359" w:hanging="154"/>
              <w:rPr>
                <w:b/>
                <w:sz w:val="20"/>
                <w:szCs w:val="20"/>
                <w:lang w:val="mn-MN"/>
              </w:rPr>
            </w:pPr>
            <w:r w:rsidRPr="00EF2D2B">
              <w:rPr>
                <w:b/>
                <w:sz w:val="20"/>
                <w:szCs w:val="20"/>
                <w:lang w:val="mn-MN"/>
              </w:rPr>
              <w:t>End-to- end</w:t>
            </w:r>
          </w:p>
          <w:p w:rsidR="009E72EA" w:rsidRPr="00EF2D2B" w:rsidRDefault="009E72EA" w:rsidP="009E72EA">
            <w:pPr>
              <w:pStyle w:val="TableParagraph"/>
              <w:tabs>
                <w:tab w:val="left" w:pos="0"/>
              </w:tabs>
              <w:spacing w:before="0" w:line="276" w:lineRule="auto"/>
              <w:ind w:left="210"/>
              <w:rPr>
                <w:b/>
                <w:sz w:val="20"/>
                <w:szCs w:val="20"/>
                <w:lang w:val="mn-MN"/>
              </w:rPr>
            </w:pPr>
            <w:r w:rsidRPr="00EF2D2B">
              <w:rPr>
                <w:b/>
                <w:sz w:val="20"/>
                <w:szCs w:val="20"/>
                <w:lang w:val="mn-MN"/>
              </w:rPr>
              <w:t>latency</w:t>
            </w:r>
          </w:p>
        </w:tc>
        <w:tc>
          <w:tcPr>
            <w:tcW w:w="1314" w:type="dxa"/>
          </w:tcPr>
          <w:p w:rsidR="009E72EA" w:rsidRPr="00EF2D2B" w:rsidRDefault="009E72EA" w:rsidP="009E72EA">
            <w:pPr>
              <w:pStyle w:val="TableParagraph"/>
              <w:tabs>
                <w:tab w:val="left" w:pos="0"/>
              </w:tabs>
              <w:spacing w:before="53" w:line="276" w:lineRule="auto"/>
              <w:ind w:left="226" w:hanging="63"/>
              <w:rPr>
                <w:b/>
                <w:sz w:val="20"/>
                <w:szCs w:val="20"/>
                <w:lang w:val="mn-MN"/>
              </w:rPr>
            </w:pPr>
            <w:r w:rsidRPr="00EF2D2B">
              <w:rPr>
                <w:b/>
                <w:sz w:val="20"/>
                <w:szCs w:val="20"/>
                <w:lang w:val="mn-MN"/>
              </w:rPr>
              <w:t>Measurement timing error</w:t>
            </w:r>
          </w:p>
        </w:tc>
        <w:tc>
          <w:tcPr>
            <w:tcW w:w="1411" w:type="dxa"/>
          </w:tcPr>
          <w:p w:rsidR="009E72EA" w:rsidRPr="00EF2D2B" w:rsidRDefault="009E72EA" w:rsidP="009E72EA">
            <w:pPr>
              <w:pStyle w:val="TableParagraph"/>
              <w:tabs>
                <w:tab w:val="left" w:pos="0"/>
              </w:tabs>
              <w:spacing w:before="53" w:line="276" w:lineRule="auto"/>
              <w:ind w:left="167" w:right="169"/>
              <w:jc w:val="center"/>
              <w:rPr>
                <w:b/>
                <w:sz w:val="20"/>
                <w:szCs w:val="20"/>
                <w:lang w:val="mn-MN"/>
              </w:rPr>
            </w:pPr>
            <w:r w:rsidRPr="00EF2D2B">
              <w:rPr>
                <w:b/>
                <w:sz w:val="20"/>
                <w:szCs w:val="20"/>
                <w:lang w:val="mn-MN"/>
              </w:rPr>
              <w:t>Sensitivity to transmission jitter</w:t>
            </w:r>
          </w:p>
        </w:tc>
        <w:tc>
          <w:tcPr>
            <w:tcW w:w="1178" w:type="dxa"/>
          </w:tcPr>
          <w:p w:rsidR="009E72EA" w:rsidRPr="00EF2D2B" w:rsidRDefault="009E72EA" w:rsidP="009E72EA">
            <w:pPr>
              <w:pStyle w:val="TableParagraph"/>
              <w:tabs>
                <w:tab w:val="left" w:pos="0"/>
              </w:tabs>
              <w:spacing w:before="53" w:line="276" w:lineRule="auto"/>
              <w:ind w:left="276" w:right="113" w:hanging="118"/>
              <w:rPr>
                <w:b/>
                <w:sz w:val="20"/>
                <w:szCs w:val="20"/>
                <w:lang w:val="mn-MN"/>
              </w:rPr>
            </w:pPr>
            <w:r w:rsidRPr="00EF2D2B">
              <w:rPr>
                <w:b/>
                <w:sz w:val="20"/>
                <w:szCs w:val="20"/>
                <w:lang w:val="mn-MN"/>
              </w:rPr>
              <w:t>Sensitivity to lost packets</w:t>
            </w:r>
          </w:p>
        </w:tc>
        <w:tc>
          <w:tcPr>
            <w:tcW w:w="1334" w:type="dxa"/>
          </w:tcPr>
          <w:p w:rsidR="009E72EA" w:rsidRPr="00EF2D2B" w:rsidRDefault="009E72EA" w:rsidP="009E72EA">
            <w:pPr>
              <w:pStyle w:val="TableParagraph"/>
              <w:tabs>
                <w:tab w:val="left" w:pos="0"/>
              </w:tabs>
              <w:spacing w:before="53" w:line="276" w:lineRule="auto"/>
              <w:ind w:left="126" w:right="133" w:firstLine="8"/>
              <w:jc w:val="center"/>
              <w:rPr>
                <w:b/>
                <w:sz w:val="20"/>
                <w:szCs w:val="20"/>
                <w:lang w:val="mn-MN"/>
              </w:rPr>
            </w:pPr>
            <w:r w:rsidRPr="00EF2D2B">
              <w:rPr>
                <w:b/>
                <w:sz w:val="20"/>
                <w:szCs w:val="20"/>
                <w:lang w:val="mn-MN"/>
              </w:rPr>
              <w:t>Currently covered in 61850</w:t>
            </w:r>
          </w:p>
        </w:tc>
      </w:tr>
      <w:tr w:rsidR="009E72EA" w:rsidRPr="00EF2D2B" w:rsidTr="009E72EA">
        <w:tc>
          <w:tcPr>
            <w:tcW w:w="1978" w:type="dxa"/>
            <w:gridSpan w:val="2"/>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Синхрон хяналт</w:t>
            </w:r>
          </w:p>
        </w:tc>
        <w:tc>
          <w:tcPr>
            <w:tcW w:w="1233" w:type="dxa"/>
          </w:tcPr>
          <w:p w:rsidR="009E72EA" w:rsidRPr="00731F96" w:rsidRDefault="009E72EA" w:rsidP="009E72EA">
            <w:pPr>
              <w:pStyle w:val="TableParagraph"/>
              <w:tabs>
                <w:tab w:val="left" w:pos="0"/>
              </w:tabs>
              <w:spacing w:before="57" w:line="276" w:lineRule="auto"/>
              <w:ind w:left="107"/>
              <w:rPr>
                <w:sz w:val="20"/>
                <w:szCs w:val="20"/>
                <w:lang w:val="mn-MN"/>
              </w:rPr>
            </w:pPr>
            <w:r w:rsidRPr="00731F96">
              <w:rPr>
                <w:sz w:val="20"/>
                <w:szCs w:val="20"/>
                <w:lang w:val="mn-MN"/>
              </w:rPr>
              <w:t>≥4/с</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100 мс</w:t>
            </w:r>
          </w:p>
        </w:tc>
        <w:tc>
          <w:tcPr>
            <w:tcW w:w="1314" w:type="dxa"/>
          </w:tcPr>
          <w:p w:rsidR="009E72EA" w:rsidRPr="00EF2D2B" w:rsidRDefault="009E72EA" w:rsidP="009E72EA">
            <w:pPr>
              <w:pStyle w:val="TableParagraph"/>
              <w:tabs>
                <w:tab w:val="left" w:pos="0"/>
              </w:tabs>
              <w:spacing w:before="57" w:line="276" w:lineRule="auto"/>
              <w:ind w:left="107"/>
              <w:rPr>
                <w:sz w:val="20"/>
                <w:szCs w:val="20"/>
                <w:lang w:val="mn-MN"/>
              </w:rPr>
            </w:pPr>
            <w:r w:rsidRPr="00EF2D2B">
              <w:rPr>
                <w:sz w:val="20"/>
                <w:szCs w:val="20"/>
                <w:lang w:val="mn-MN"/>
              </w:rPr>
              <w:t>50 мкс</w:t>
            </w:r>
          </w:p>
        </w:tc>
        <w:tc>
          <w:tcPr>
            <w:tcW w:w="1411"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Дунд </w:t>
            </w:r>
          </w:p>
        </w:tc>
        <w:tc>
          <w:tcPr>
            <w:tcW w:w="1178"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 xml:space="preserve">Өндөр </w:t>
            </w:r>
          </w:p>
        </w:tc>
        <w:tc>
          <w:tcPr>
            <w:tcW w:w="1334" w:type="dxa"/>
          </w:tcPr>
          <w:p w:rsidR="009E72EA" w:rsidRPr="00EF2D2B" w:rsidRDefault="009E72EA" w:rsidP="009E72EA">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9E72EA" w:rsidRPr="00EF2D2B" w:rsidTr="009E72EA">
        <w:tc>
          <w:tcPr>
            <w:tcW w:w="1978" w:type="dxa"/>
            <w:gridSpan w:val="2"/>
          </w:tcPr>
          <w:p w:rsidR="009E72EA" w:rsidRPr="00EF2D2B" w:rsidRDefault="009E72EA" w:rsidP="009E72EA">
            <w:pPr>
              <w:pStyle w:val="TableParagraph"/>
              <w:tabs>
                <w:tab w:val="left" w:pos="0"/>
              </w:tabs>
              <w:spacing w:line="276" w:lineRule="auto"/>
              <w:ind w:left="107"/>
              <w:rPr>
                <w:sz w:val="20"/>
                <w:szCs w:val="20"/>
                <w:lang w:val="mn-MN"/>
              </w:rPr>
            </w:pPr>
            <w:r w:rsidRPr="00EF2D2B">
              <w:rPr>
                <w:spacing w:val="6"/>
                <w:sz w:val="20"/>
                <w:szCs w:val="20"/>
                <w:lang w:val="mn-MN"/>
              </w:rPr>
              <w:t>Тохируулагдах реле</w:t>
            </w:r>
          </w:p>
        </w:tc>
        <w:tc>
          <w:tcPr>
            <w:tcW w:w="1233" w:type="dxa"/>
          </w:tcPr>
          <w:p w:rsidR="009E72EA" w:rsidRPr="00731F96" w:rsidRDefault="009E72EA" w:rsidP="009E72EA">
            <w:pPr>
              <w:pStyle w:val="TableParagraph"/>
              <w:tabs>
                <w:tab w:val="left" w:pos="0"/>
              </w:tabs>
              <w:spacing w:before="57" w:line="276" w:lineRule="auto"/>
              <w:ind w:left="107"/>
              <w:rPr>
                <w:sz w:val="20"/>
                <w:szCs w:val="20"/>
                <w:lang w:val="mn-MN"/>
              </w:rPr>
            </w:pPr>
            <w:r w:rsidRPr="00731F96">
              <w:rPr>
                <w:sz w:val="20"/>
                <w:szCs w:val="20"/>
                <w:lang w:val="mn-MN"/>
              </w:rPr>
              <w:t>≥10/с</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50 мс</w:t>
            </w:r>
          </w:p>
        </w:tc>
        <w:tc>
          <w:tcPr>
            <w:tcW w:w="1314" w:type="dxa"/>
          </w:tcPr>
          <w:p w:rsidR="009E72EA" w:rsidRPr="00EF2D2B" w:rsidRDefault="009E72EA" w:rsidP="009E72EA">
            <w:pPr>
              <w:tabs>
                <w:tab w:val="left" w:pos="0"/>
              </w:tabs>
              <w:ind w:left="128"/>
              <w:rPr>
                <w:sz w:val="20"/>
              </w:rPr>
            </w:pPr>
            <w:r w:rsidRPr="00EF2D2B">
              <w:rPr>
                <w:sz w:val="20"/>
              </w:rPr>
              <w:t>50 мкс</w:t>
            </w:r>
          </w:p>
        </w:tc>
        <w:tc>
          <w:tcPr>
            <w:tcW w:w="1411"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178"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Дунд</w:t>
            </w:r>
          </w:p>
        </w:tc>
        <w:tc>
          <w:tcPr>
            <w:tcW w:w="1334" w:type="dxa"/>
          </w:tcPr>
          <w:p w:rsidR="009E72EA" w:rsidRPr="00EF2D2B" w:rsidRDefault="009E72EA" w:rsidP="009E72EA">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9E72EA" w:rsidRPr="00EF2D2B" w:rsidTr="009E72EA">
        <w:tc>
          <w:tcPr>
            <w:tcW w:w="1978" w:type="dxa"/>
            <w:gridSpan w:val="2"/>
          </w:tcPr>
          <w:p w:rsidR="009E72EA" w:rsidRPr="00EF2D2B" w:rsidRDefault="009E72EA" w:rsidP="009E72EA">
            <w:pPr>
              <w:pStyle w:val="TableParagraph"/>
              <w:tabs>
                <w:tab w:val="left" w:pos="0"/>
              </w:tabs>
              <w:spacing w:before="58" w:line="276" w:lineRule="auto"/>
              <w:ind w:left="107" w:right="296"/>
              <w:rPr>
                <w:sz w:val="20"/>
                <w:szCs w:val="20"/>
                <w:lang w:val="mn-MN"/>
              </w:rPr>
            </w:pPr>
            <w:r w:rsidRPr="00EF2D2B">
              <w:rPr>
                <w:sz w:val="20"/>
                <w:szCs w:val="20"/>
                <w:lang w:val="mn-MN"/>
              </w:rPr>
              <w:t xml:space="preserve">хязгаараас </w:t>
            </w:r>
            <w:r w:rsidRPr="00731F96">
              <w:rPr>
                <w:sz w:val="20"/>
                <w:szCs w:val="20"/>
                <w:lang w:val="mn-MN"/>
              </w:rPr>
              <w:t xml:space="preserve"> </w:t>
            </w:r>
            <w:r w:rsidRPr="00EF2D2B">
              <w:rPr>
                <w:sz w:val="20"/>
                <w:szCs w:val="20"/>
                <w:lang w:val="mn-MN"/>
              </w:rPr>
              <w:t>гарах үеийн хамгаалалт</w:t>
            </w:r>
          </w:p>
        </w:tc>
        <w:tc>
          <w:tcPr>
            <w:tcW w:w="1233" w:type="dxa"/>
          </w:tcPr>
          <w:p w:rsidR="009E72EA" w:rsidRPr="00EF2D2B" w:rsidRDefault="009E72EA" w:rsidP="009E72EA">
            <w:pPr>
              <w:pStyle w:val="TableParagraph"/>
              <w:tabs>
                <w:tab w:val="left" w:pos="0"/>
              </w:tabs>
              <w:spacing w:before="59" w:line="276" w:lineRule="auto"/>
              <w:ind w:left="107"/>
              <w:rPr>
                <w:sz w:val="20"/>
                <w:szCs w:val="20"/>
                <w:lang w:val="mn-MN"/>
              </w:rPr>
            </w:pPr>
            <w:r w:rsidRPr="00EF2D2B">
              <w:rPr>
                <w:sz w:val="20"/>
                <w:szCs w:val="20"/>
                <w:lang w:val="mn-MN"/>
              </w:rPr>
              <w:t>≥10/с</w:t>
            </w:r>
          </w:p>
        </w:tc>
        <w:tc>
          <w:tcPr>
            <w:tcW w:w="896" w:type="dxa"/>
          </w:tcPr>
          <w:p w:rsidR="009E72EA" w:rsidRPr="00EF2D2B" w:rsidRDefault="009E72EA" w:rsidP="009E72EA">
            <w:pPr>
              <w:pStyle w:val="TableParagraph"/>
              <w:tabs>
                <w:tab w:val="left" w:pos="0"/>
              </w:tabs>
              <w:spacing w:before="58" w:line="276" w:lineRule="auto"/>
              <w:ind w:left="107"/>
              <w:rPr>
                <w:sz w:val="20"/>
                <w:szCs w:val="20"/>
                <w:lang w:val="mn-MN"/>
              </w:rPr>
            </w:pPr>
            <w:r w:rsidRPr="00EF2D2B">
              <w:rPr>
                <w:sz w:val="20"/>
                <w:szCs w:val="20"/>
                <w:lang w:val="mn-MN"/>
              </w:rPr>
              <w:t>50 мс–</w:t>
            </w:r>
          </w:p>
          <w:p w:rsidR="009E72EA" w:rsidRPr="00EF2D2B" w:rsidRDefault="009E72EA" w:rsidP="009E72EA">
            <w:pPr>
              <w:pStyle w:val="TableParagraph"/>
              <w:tabs>
                <w:tab w:val="left" w:pos="0"/>
              </w:tabs>
              <w:spacing w:before="0" w:line="276" w:lineRule="auto"/>
              <w:ind w:left="107"/>
              <w:rPr>
                <w:sz w:val="20"/>
                <w:szCs w:val="20"/>
                <w:lang w:val="mn-MN"/>
              </w:rPr>
            </w:pPr>
            <w:r w:rsidRPr="00EF2D2B">
              <w:rPr>
                <w:sz w:val="20"/>
                <w:szCs w:val="20"/>
                <w:lang w:val="mn-MN"/>
              </w:rPr>
              <w:t>500 мс</w:t>
            </w:r>
          </w:p>
        </w:tc>
        <w:tc>
          <w:tcPr>
            <w:tcW w:w="1314" w:type="dxa"/>
          </w:tcPr>
          <w:p w:rsidR="009E72EA" w:rsidRPr="00EF2D2B" w:rsidRDefault="009E72EA" w:rsidP="009E72EA">
            <w:pPr>
              <w:tabs>
                <w:tab w:val="left" w:pos="0"/>
              </w:tabs>
              <w:ind w:left="128"/>
              <w:rPr>
                <w:sz w:val="20"/>
              </w:rPr>
            </w:pPr>
            <w:r w:rsidRPr="00EF2D2B">
              <w:rPr>
                <w:sz w:val="20"/>
              </w:rPr>
              <w:t>50 мкс</w:t>
            </w:r>
          </w:p>
        </w:tc>
        <w:tc>
          <w:tcPr>
            <w:tcW w:w="1411" w:type="dxa"/>
          </w:tcPr>
          <w:p w:rsidR="009E72EA" w:rsidRPr="00EF2D2B" w:rsidRDefault="009E72EA" w:rsidP="009E72EA">
            <w:pPr>
              <w:pStyle w:val="TableParagraph"/>
              <w:tabs>
                <w:tab w:val="left" w:pos="0"/>
              </w:tabs>
              <w:spacing w:before="58" w:line="276" w:lineRule="auto"/>
              <w:ind w:left="106"/>
              <w:rPr>
                <w:sz w:val="20"/>
                <w:szCs w:val="20"/>
                <w:lang w:val="mn-MN"/>
              </w:rPr>
            </w:pPr>
            <w:r w:rsidRPr="00EF2D2B">
              <w:rPr>
                <w:sz w:val="20"/>
                <w:szCs w:val="20"/>
                <w:lang w:val="mn-MN"/>
              </w:rPr>
              <w:t xml:space="preserve">Дунд </w:t>
            </w:r>
          </w:p>
        </w:tc>
        <w:tc>
          <w:tcPr>
            <w:tcW w:w="1178" w:type="dxa"/>
          </w:tcPr>
          <w:p w:rsidR="009E72EA" w:rsidRPr="00EF2D2B" w:rsidRDefault="009E72EA" w:rsidP="009E72EA">
            <w:pPr>
              <w:pStyle w:val="TableParagraph"/>
              <w:tabs>
                <w:tab w:val="left" w:pos="0"/>
              </w:tabs>
              <w:spacing w:before="58" w:line="276" w:lineRule="auto"/>
              <w:ind w:left="105"/>
              <w:rPr>
                <w:sz w:val="20"/>
                <w:szCs w:val="20"/>
                <w:lang w:val="mn-MN"/>
              </w:rPr>
            </w:pPr>
            <w:r w:rsidRPr="00EF2D2B">
              <w:rPr>
                <w:sz w:val="20"/>
                <w:szCs w:val="20"/>
                <w:lang w:val="mn-MN"/>
              </w:rPr>
              <w:t>Дунд</w:t>
            </w:r>
          </w:p>
        </w:tc>
        <w:tc>
          <w:tcPr>
            <w:tcW w:w="1334" w:type="dxa"/>
          </w:tcPr>
          <w:p w:rsidR="009E72EA" w:rsidRPr="00EF2D2B" w:rsidRDefault="009E72EA" w:rsidP="009E72EA">
            <w:pPr>
              <w:pStyle w:val="TableParagraph"/>
              <w:tabs>
                <w:tab w:val="left" w:pos="0"/>
              </w:tabs>
              <w:spacing w:before="58" w:line="276" w:lineRule="auto"/>
              <w:ind w:left="102"/>
              <w:rPr>
                <w:sz w:val="20"/>
                <w:szCs w:val="20"/>
                <w:lang w:val="mn-MN"/>
              </w:rPr>
            </w:pPr>
            <w:r w:rsidRPr="00EF2D2B">
              <w:rPr>
                <w:sz w:val="20"/>
                <w:szCs w:val="20"/>
                <w:lang w:val="mn-MN"/>
              </w:rPr>
              <w:t>SV сервес</w:t>
            </w:r>
          </w:p>
        </w:tc>
      </w:tr>
      <w:tr w:rsidR="009E72EA" w:rsidRPr="00EF2D2B" w:rsidTr="009E72EA">
        <w:tc>
          <w:tcPr>
            <w:tcW w:w="1978" w:type="dxa"/>
            <w:gridSpan w:val="2"/>
          </w:tcPr>
          <w:p w:rsidR="009E72EA" w:rsidRPr="00EF2D2B" w:rsidRDefault="009E72EA" w:rsidP="009E72EA">
            <w:pPr>
              <w:pStyle w:val="TableParagraph"/>
              <w:tabs>
                <w:tab w:val="left" w:pos="0"/>
              </w:tabs>
              <w:spacing w:line="276" w:lineRule="auto"/>
              <w:ind w:left="107" w:right="296"/>
              <w:rPr>
                <w:sz w:val="20"/>
                <w:szCs w:val="20"/>
                <w:lang w:val="mn-MN"/>
              </w:rPr>
            </w:pPr>
            <w:r w:rsidRPr="00EF2D2B">
              <w:rPr>
                <w:spacing w:val="7"/>
                <w:sz w:val="20"/>
                <w:szCs w:val="20"/>
                <w:lang w:val="mn-MN"/>
              </w:rPr>
              <w:t>Нөхцөл байдлын дохионы мэдээлэл</w:t>
            </w:r>
          </w:p>
        </w:tc>
        <w:tc>
          <w:tcPr>
            <w:tcW w:w="1233" w:type="dxa"/>
          </w:tcPr>
          <w:p w:rsidR="009E72EA" w:rsidRPr="00731F96" w:rsidRDefault="009E72EA" w:rsidP="009E72EA">
            <w:pPr>
              <w:pStyle w:val="TableParagraph"/>
              <w:tabs>
                <w:tab w:val="left" w:pos="0"/>
              </w:tabs>
              <w:spacing w:line="276" w:lineRule="auto"/>
              <w:ind w:left="107"/>
              <w:rPr>
                <w:sz w:val="20"/>
                <w:szCs w:val="20"/>
                <w:lang w:val="mn-MN"/>
              </w:rPr>
            </w:pPr>
            <w:r w:rsidRPr="00731F96">
              <w:rPr>
                <w:sz w:val="20"/>
                <w:szCs w:val="20"/>
                <w:lang w:val="mn-MN"/>
              </w:rPr>
              <w:t>1/с– 50/с</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 с</w:t>
            </w:r>
          </w:p>
        </w:tc>
        <w:tc>
          <w:tcPr>
            <w:tcW w:w="1314" w:type="dxa"/>
          </w:tcPr>
          <w:p w:rsidR="009E72EA" w:rsidRPr="00EF2D2B" w:rsidRDefault="009E72EA" w:rsidP="009E72EA">
            <w:pPr>
              <w:tabs>
                <w:tab w:val="left" w:pos="0"/>
              </w:tabs>
              <w:ind w:left="128"/>
              <w:rPr>
                <w:sz w:val="20"/>
              </w:rPr>
            </w:pPr>
            <w:r w:rsidRPr="00EF2D2B">
              <w:rPr>
                <w:sz w:val="20"/>
              </w:rPr>
              <w:t>50 мкс</w:t>
            </w:r>
          </w:p>
        </w:tc>
        <w:tc>
          <w:tcPr>
            <w:tcW w:w="1411" w:type="dxa"/>
          </w:tcPr>
          <w:p w:rsidR="009E72EA" w:rsidRPr="00EF2D2B" w:rsidRDefault="009E72EA" w:rsidP="009E72EA">
            <w:pPr>
              <w:pStyle w:val="TableParagraph"/>
              <w:tabs>
                <w:tab w:val="left" w:pos="0"/>
              </w:tabs>
              <w:spacing w:line="276" w:lineRule="auto"/>
              <w:ind w:left="106" w:right="246"/>
              <w:rPr>
                <w:sz w:val="20"/>
                <w:szCs w:val="20"/>
                <w:lang w:val="mn-MN"/>
              </w:rPr>
            </w:pPr>
            <w:r w:rsidRPr="00EF2D2B">
              <w:rPr>
                <w:sz w:val="20"/>
                <w:szCs w:val="20"/>
                <w:lang w:val="mn-MN"/>
              </w:rPr>
              <w:t>Бага ба дунд</w:t>
            </w:r>
          </w:p>
        </w:tc>
        <w:tc>
          <w:tcPr>
            <w:tcW w:w="1178" w:type="dxa"/>
          </w:tcPr>
          <w:p w:rsidR="009E72EA" w:rsidRPr="00EF2D2B" w:rsidRDefault="009E72EA" w:rsidP="009E72EA">
            <w:pPr>
              <w:pStyle w:val="TableParagraph"/>
              <w:tabs>
                <w:tab w:val="left" w:pos="0"/>
              </w:tabs>
              <w:spacing w:line="276" w:lineRule="auto"/>
              <w:ind w:left="105" w:right="113"/>
              <w:rPr>
                <w:sz w:val="20"/>
                <w:szCs w:val="20"/>
                <w:lang w:val="mn-MN"/>
              </w:rPr>
            </w:pPr>
            <w:r w:rsidRPr="00EF2D2B">
              <w:rPr>
                <w:sz w:val="20"/>
                <w:szCs w:val="20"/>
                <w:lang w:val="mn-MN"/>
              </w:rPr>
              <w:t>Бага ба дунд</w:t>
            </w:r>
          </w:p>
        </w:tc>
        <w:tc>
          <w:tcPr>
            <w:tcW w:w="1334" w:type="dxa"/>
          </w:tcPr>
          <w:p w:rsidR="009E72EA" w:rsidRPr="00EF2D2B" w:rsidRDefault="009E72EA" w:rsidP="009E72EA">
            <w:pPr>
              <w:pStyle w:val="TableParagraph"/>
              <w:tabs>
                <w:tab w:val="left" w:pos="0"/>
              </w:tabs>
              <w:spacing w:before="0" w:line="276" w:lineRule="auto"/>
              <w:ind w:left="102"/>
              <w:rPr>
                <w:sz w:val="20"/>
                <w:szCs w:val="20"/>
                <w:lang w:val="mn-MN"/>
              </w:rPr>
            </w:pPr>
            <w:r w:rsidRPr="00EF2D2B">
              <w:rPr>
                <w:sz w:val="20"/>
                <w:szCs w:val="20"/>
                <w:lang w:val="mn-MN"/>
              </w:rPr>
              <w:t>Тогтсон хугацаануудад тайлагнах, SV сервес</w:t>
            </w:r>
          </w:p>
        </w:tc>
      </w:tr>
      <w:tr w:rsidR="009E72EA" w:rsidRPr="00EF2D2B" w:rsidTr="009E72EA">
        <w:tc>
          <w:tcPr>
            <w:tcW w:w="1978"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z w:val="20"/>
                <w:szCs w:val="20"/>
                <w:lang w:val="mn-MN"/>
              </w:rPr>
              <w:t>Төлөвийн тооцоолол ба аюулгүй байдлын үнэлгээ</w:t>
            </w:r>
          </w:p>
        </w:tc>
        <w:tc>
          <w:tcPr>
            <w:tcW w:w="1233" w:type="dxa"/>
          </w:tcPr>
          <w:p w:rsidR="009E72EA" w:rsidRPr="00EF2D2B" w:rsidRDefault="009E72EA" w:rsidP="009E72EA">
            <w:pPr>
              <w:pStyle w:val="TableParagraph"/>
              <w:tabs>
                <w:tab w:val="left" w:pos="0"/>
              </w:tabs>
              <w:spacing w:line="276" w:lineRule="auto"/>
              <w:ind w:left="107" w:right="285"/>
              <w:rPr>
                <w:sz w:val="20"/>
                <w:szCs w:val="20"/>
                <w:lang w:val="mn-MN"/>
              </w:rPr>
            </w:pPr>
            <w:r w:rsidRPr="00EF2D2B">
              <w:rPr>
                <w:sz w:val="20"/>
                <w:szCs w:val="20"/>
                <w:lang w:val="mn-MN"/>
              </w:rPr>
              <w:t>1/300 с–  10/с</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 с</w:t>
            </w:r>
          </w:p>
        </w:tc>
        <w:tc>
          <w:tcPr>
            <w:tcW w:w="1314" w:type="dxa"/>
          </w:tcPr>
          <w:p w:rsidR="009E72EA" w:rsidRPr="00EF2D2B" w:rsidRDefault="009E72EA" w:rsidP="009E72EA">
            <w:pPr>
              <w:tabs>
                <w:tab w:val="left" w:pos="0"/>
              </w:tabs>
              <w:ind w:left="128"/>
              <w:rPr>
                <w:sz w:val="20"/>
              </w:rPr>
            </w:pPr>
            <w:r w:rsidRPr="00EF2D2B">
              <w:rPr>
                <w:sz w:val="20"/>
              </w:rPr>
              <w:t>50 мкс</w:t>
            </w:r>
          </w:p>
        </w:tc>
        <w:tc>
          <w:tcPr>
            <w:tcW w:w="1411"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178"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Дунд</w:t>
            </w:r>
          </w:p>
        </w:tc>
        <w:tc>
          <w:tcPr>
            <w:tcW w:w="1334" w:type="dxa"/>
          </w:tcPr>
          <w:p w:rsidR="009E72EA" w:rsidRPr="00EF2D2B" w:rsidRDefault="009E72EA" w:rsidP="009E72EA">
            <w:pPr>
              <w:pStyle w:val="TableParagraph"/>
              <w:tabs>
                <w:tab w:val="left" w:pos="0"/>
              </w:tabs>
              <w:spacing w:before="1" w:line="276" w:lineRule="auto"/>
              <w:ind w:left="102"/>
              <w:rPr>
                <w:sz w:val="20"/>
                <w:szCs w:val="20"/>
                <w:lang w:val="mn-MN"/>
              </w:rPr>
            </w:pPr>
            <w:r w:rsidRPr="00EF2D2B">
              <w:rPr>
                <w:sz w:val="20"/>
                <w:szCs w:val="20"/>
                <w:lang w:val="mn-MN"/>
              </w:rPr>
              <w:t>Тогтсон хугацаануудад тайлагнах, SV сервес</w:t>
            </w:r>
          </w:p>
        </w:tc>
      </w:tr>
      <w:tr w:rsidR="009E72EA" w:rsidRPr="00EF2D2B" w:rsidTr="009E72EA">
        <w:tc>
          <w:tcPr>
            <w:tcW w:w="1978"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z w:val="20"/>
                <w:szCs w:val="20"/>
                <w:lang w:val="mn-MN"/>
              </w:rPr>
              <w:t>Өгөгдөл</w:t>
            </w:r>
            <w:r w:rsidRPr="00731F96">
              <w:rPr>
                <w:sz w:val="20"/>
                <w:szCs w:val="20"/>
                <w:lang w:val="mn-MN"/>
              </w:rPr>
              <w:t xml:space="preserve"> архивлах</w:t>
            </w:r>
          </w:p>
        </w:tc>
        <w:tc>
          <w:tcPr>
            <w:tcW w:w="1233"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N/A</w:t>
            </w:r>
          </w:p>
        </w:tc>
        <w:tc>
          <w:tcPr>
            <w:tcW w:w="1314" w:type="dxa"/>
          </w:tcPr>
          <w:p w:rsidR="009E72EA" w:rsidRPr="00EF2D2B" w:rsidRDefault="009E72EA" w:rsidP="009E72EA">
            <w:pPr>
              <w:tabs>
                <w:tab w:val="left" w:pos="0"/>
              </w:tabs>
              <w:ind w:left="128"/>
              <w:rPr>
                <w:sz w:val="20"/>
              </w:rPr>
            </w:pPr>
            <w:r w:rsidRPr="00EF2D2B">
              <w:rPr>
                <w:sz w:val="20"/>
              </w:rPr>
              <w:t>50 мкс</w:t>
            </w:r>
          </w:p>
        </w:tc>
        <w:tc>
          <w:tcPr>
            <w:tcW w:w="1411"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178"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Дунд</w:t>
            </w:r>
          </w:p>
        </w:tc>
        <w:tc>
          <w:tcPr>
            <w:tcW w:w="1334" w:type="dxa"/>
          </w:tcPr>
          <w:p w:rsidR="009E72EA" w:rsidRPr="00EF2D2B" w:rsidRDefault="009E72EA" w:rsidP="009E72EA">
            <w:pPr>
              <w:pStyle w:val="TableParagraph"/>
              <w:tabs>
                <w:tab w:val="left" w:pos="0"/>
              </w:tabs>
              <w:spacing w:before="1" w:line="276" w:lineRule="auto"/>
              <w:ind w:left="102"/>
              <w:rPr>
                <w:sz w:val="20"/>
                <w:szCs w:val="20"/>
                <w:lang w:val="mn-MN"/>
              </w:rPr>
            </w:pPr>
            <w:r w:rsidRPr="00EF2D2B">
              <w:rPr>
                <w:sz w:val="20"/>
                <w:szCs w:val="20"/>
                <w:lang w:val="mn-MN"/>
              </w:rPr>
              <w:t>Шаардлагатай бүх зүйл</w:t>
            </w:r>
          </w:p>
        </w:tc>
      </w:tr>
      <w:tr w:rsidR="009E72EA" w:rsidRPr="00EF2D2B" w:rsidTr="009E72EA">
        <w:tc>
          <w:tcPr>
            <w:tcW w:w="1978"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z w:val="20"/>
                <w:szCs w:val="20"/>
                <w:lang w:val="mn-MN"/>
              </w:rPr>
              <w:t>Өргөн</w:t>
            </w:r>
            <w:r w:rsidRPr="00731F96">
              <w:rPr>
                <w:sz w:val="20"/>
                <w:szCs w:val="20"/>
                <w:lang w:val="mn-MN"/>
              </w:rPr>
              <w:t xml:space="preserve"> хүрээний удирдлага</w:t>
            </w:r>
          </w:p>
        </w:tc>
        <w:tc>
          <w:tcPr>
            <w:tcW w:w="1233" w:type="dxa"/>
          </w:tcPr>
          <w:p w:rsidR="009E72EA" w:rsidRPr="00EF2D2B" w:rsidRDefault="009E72EA" w:rsidP="009E72EA">
            <w:pPr>
              <w:pStyle w:val="TableParagraph"/>
              <w:tabs>
                <w:tab w:val="left" w:pos="0"/>
              </w:tabs>
              <w:spacing w:before="57" w:line="276" w:lineRule="auto"/>
              <w:ind w:left="107"/>
              <w:rPr>
                <w:sz w:val="20"/>
                <w:szCs w:val="20"/>
                <w:lang w:val="mn-MN"/>
              </w:rPr>
            </w:pPr>
            <w:r w:rsidRPr="00EF2D2B">
              <w:rPr>
                <w:sz w:val="20"/>
                <w:szCs w:val="20"/>
                <w:lang w:val="mn-MN"/>
              </w:rPr>
              <w:t>≥10/с</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50 мс–</w:t>
            </w:r>
          </w:p>
          <w:p w:rsidR="009E72EA" w:rsidRPr="00EF2D2B" w:rsidRDefault="009E72EA" w:rsidP="009E72EA">
            <w:pPr>
              <w:pStyle w:val="TableParagraph"/>
              <w:tabs>
                <w:tab w:val="left" w:pos="0"/>
              </w:tabs>
              <w:spacing w:before="0" w:line="276" w:lineRule="auto"/>
              <w:ind w:left="107"/>
              <w:rPr>
                <w:sz w:val="20"/>
                <w:szCs w:val="20"/>
                <w:lang w:val="mn-MN"/>
              </w:rPr>
            </w:pPr>
            <w:r w:rsidRPr="00EF2D2B">
              <w:rPr>
                <w:sz w:val="20"/>
                <w:szCs w:val="20"/>
                <w:lang w:val="mn-MN"/>
              </w:rPr>
              <w:t>500 мс</w:t>
            </w:r>
          </w:p>
        </w:tc>
        <w:tc>
          <w:tcPr>
            <w:tcW w:w="1314" w:type="dxa"/>
          </w:tcPr>
          <w:p w:rsidR="009E72EA" w:rsidRPr="00EF2D2B" w:rsidRDefault="009E72EA" w:rsidP="009E72EA">
            <w:pPr>
              <w:tabs>
                <w:tab w:val="left" w:pos="0"/>
              </w:tabs>
              <w:ind w:left="128"/>
              <w:rPr>
                <w:sz w:val="20"/>
              </w:rPr>
            </w:pPr>
            <w:r w:rsidRPr="00EF2D2B">
              <w:rPr>
                <w:sz w:val="20"/>
              </w:rPr>
              <w:t>50 мкс</w:t>
            </w:r>
          </w:p>
        </w:tc>
        <w:tc>
          <w:tcPr>
            <w:tcW w:w="1411" w:type="dxa"/>
          </w:tcPr>
          <w:p w:rsidR="009E72EA" w:rsidRPr="00EF2D2B" w:rsidRDefault="009E72EA" w:rsidP="009E72EA">
            <w:pPr>
              <w:pStyle w:val="TableParagraph"/>
              <w:tabs>
                <w:tab w:val="left" w:pos="0"/>
              </w:tabs>
              <w:spacing w:line="276" w:lineRule="auto"/>
              <w:ind w:left="106"/>
              <w:rPr>
                <w:sz w:val="20"/>
                <w:szCs w:val="20"/>
                <w:lang w:val="mn-MN"/>
              </w:rPr>
            </w:pPr>
            <w:r w:rsidRPr="00EF2D2B">
              <w:rPr>
                <w:sz w:val="20"/>
                <w:szCs w:val="20"/>
                <w:lang w:val="mn-MN"/>
              </w:rPr>
              <w:t xml:space="preserve">Дунд </w:t>
            </w:r>
          </w:p>
        </w:tc>
        <w:tc>
          <w:tcPr>
            <w:tcW w:w="1178"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Өндөр</w:t>
            </w:r>
          </w:p>
        </w:tc>
        <w:tc>
          <w:tcPr>
            <w:tcW w:w="1334" w:type="dxa"/>
          </w:tcPr>
          <w:p w:rsidR="009E72EA" w:rsidRPr="00EF2D2B" w:rsidRDefault="009E72EA" w:rsidP="009E72EA">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9E72EA" w:rsidRPr="00EF2D2B" w:rsidTr="009E72EA">
        <w:tc>
          <w:tcPr>
            <w:tcW w:w="1978"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pacing w:val="6"/>
                <w:sz w:val="20"/>
                <w:szCs w:val="20"/>
                <w:lang w:val="mn-MN"/>
              </w:rPr>
              <w:t>Динамик тогтворжилтыг хангах, урьдчилан тооцохсистем</w:t>
            </w:r>
          </w:p>
        </w:tc>
        <w:tc>
          <w:tcPr>
            <w:tcW w:w="1233" w:type="dxa"/>
          </w:tcPr>
          <w:p w:rsidR="009E72EA" w:rsidRPr="00EF2D2B" w:rsidRDefault="009E72EA" w:rsidP="009E72EA">
            <w:pPr>
              <w:pStyle w:val="TableParagraph"/>
              <w:tabs>
                <w:tab w:val="left" w:pos="0"/>
              </w:tabs>
              <w:spacing w:before="57" w:line="276" w:lineRule="auto"/>
              <w:ind w:left="107" w:right="285"/>
              <w:rPr>
                <w:sz w:val="20"/>
                <w:szCs w:val="20"/>
                <w:lang w:val="mn-MN"/>
              </w:rPr>
            </w:pPr>
            <w:r w:rsidRPr="00EF2D2B">
              <w:rPr>
                <w:sz w:val="20"/>
                <w:szCs w:val="20"/>
                <w:lang w:val="mn-MN"/>
              </w:rPr>
              <w:t>≥25/s or 30/s</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50 мс</w:t>
            </w:r>
          </w:p>
        </w:tc>
        <w:tc>
          <w:tcPr>
            <w:tcW w:w="1314" w:type="dxa"/>
          </w:tcPr>
          <w:p w:rsidR="009E72EA" w:rsidRPr="00EF2D2B" w:rsidRDefault="009E72EA" w:rsidP="009E72EA">
            <w:pPr>
              <w:tabs>
                <w:tab w:val="left" w:pos="0"/>
              </w:tabs>
              <w:ind w:left="128"/>
              <w:rPr>
                <w:sz w:val="20"/>
              </w:rPr>
            </w:pPr>
            <w:r w:rsidRPr="00EF2D2B">
              <w:rPr>
                <w:sz w:val="20"/>
              </w:rPr>
              <w:t>50 мкс</w:t>
            </w:r>
          </w:p>
        </w:tc>
        <w:tc>
          <w:tcPr>
            <w:tcW w:w="1411" w:type="dxa"/>
          </w:tcPr>
          <w:p w:rsidR="009E72EA" w:rsidRPr="00EF2D2B" w:rsidRDefault="009E72EA" w:rsidP="009E72EA">
            <w:pPr>
              <w:pStyle w:val="TableParagraph"/>
              <w:tabs>
                <w:tab w:val="left" w:pos="0"/>
              </w:tabs>
              <w:spacing w:before="0" w:line="276" w:lineRule="auto"/>
              <w:ind w:left="106"/>
              <w:rPr>
                <w:sz w:val="20"/>
                <w:szCs w:val="20"/>
                <w:lang w:val="mn-MN"/>
              </w:rPr>
            </w:pPr>
            <w:r w:rsidRPr="00EF2D2B">
              <w:rPr>
                <w:sz w:val="20"/>
                <w:szCs w:val="20"/>
                <w:lang w:val="mn-MN"/>
              </w:rPr>
              <w:t xml:space="preserve">Дунд </w:t>
            </w:r>
          </w:p>
        </w:tc>
        <w:tc>
          <w:tcPr>
            <w:tcW w:w="1178"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Өндөр</w:t>
            </w:r>
          </w:p>
        </w:tc>
        <w:tc>
          <w:tcPr>
            <w:tcW w:w="1334" w:type="dxa"/>
          </w:tcPr>
          <w:p w:rsidR="009E72EA" w:rsidRPr="00EF2D2B" w:rsidRDefault="009E72EA" w:rsidP="009E72EA">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9E72EA" w:rsidRPr="00EF2D2B" w:rsidTr="009E72EA">
        <w:tc>
          <w:tcPr>
            <w:tcW w:w="1978" w:type="dxa"/>
            <w:gridSpan w:val="2"/>
          </w:tcPr>
          <w:p w:rsidR="009E72EA" w:rsidRPr="00731F96" w:rsidRDefault="009E72EA" w:rsidP="009E72EA">
            <w:pPr>
              <w:pStyle w:val="TableParagraph"/>
              <w:tabs>
                <w:tab w:val="left" w:pos="0"/>
              </w:tabs>
              <w:spacing w:line="276" w:lineRule="auto"/>
              <w:ind w:left="107"/>
              <w:rPr>
                <w:sz w:val="20"/>
                <w:szCs w:val="20"/>
                <w:lang w:val="mn-MN"/>
              </w:rPr>
            </w:pPr>
            <w:r w:rsidRPr="00EF2D2B">
              <w:rPr>
                <w:sz w:val="20"/>
                <w:szCs w:val="20"/>
                <w:lang w:val="mn-MN"/>
              </w:rPr>
              <w:t>Хүчдэлийн уналтаар ачаалал хязгаарлах</w:t>
            </w:r>
          </w:p>
        </w:tc>
        <w:tc>
          <w:tcPr>
            <w:tcW w:w="1233" w:type="dxa"/>
          </w:tcPr>
          <w:p w:rsidR="009E72EA" w:rsidRPr="00EF2D2B" w:rsidRDefault="009E72EA" w:rsidP="009E72EA">
            <w:pPr>
              <w:pStyle w:val="TableParagraph"/>
              <w:tabs>
                <w:tab w:val="left" w:pos="0"/>
              </w:tabs>
              <w:spacing w:before="57" w:line="276" w:lineRule="auto"/>
              <w:ind w:left="107" w:right="285"/>
              <w:rPr>
                <w:sz w:val="20"/>
                <w:szCs w:val="20"/>
                <w:lang w:val="mn-MN"/>
              </w:rPr>
            </w:pPr>
            <w:r w:rsidRPr="00EF2D2B">
              <w:rPr>
                <w:sz w:val="20"/>
                <w:szCs w:val="20"/>
                <w:lang w:val="mn-MN"/>
              </w:rPr>
              <w:t>≥25/сбуюу 30/с</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t>100 мс</w:t>
            </w:r>
          </w:p>
        </w:tc>
        <w:tc>
          <w:tcPr>
            <w:tcW w:w="1314" w:type="dxa"/>
          </w:tcPr>
          <w:p w:rsidR="009E72EA" w:rsidRPr="00EF2D2B" w:rsidRDefault="009E72EA" w:rsidP="009E72EA">
            <w:pPr>
              <w:pStyle w:val="TableParagraph"/>
              <w:tabs>
                <w:tab w:val="left" w:pos="0"/>
              </w:tabs>
              <w:spacing w:before="57" w:line="276" w:lineRule="auto"/>
              <w:ind w:left="107"/>
              <w:rPr>
                <w:sz w:val="20"/>
                <w:szCs w:val="20"/>
                <w:lang w:val="mn-MN"/>
              </w:rPr>
            </w:pPr>
            <w:r w:rsidRPr="00EF2D2B">
              <w:rPr>
                <w:sz w:val="20"/>
                <w:szCs w:val="20"/>
                <w:lang w:val="mn-MN"/>
              </w:rPr>
              <w:t>50 мкс</w:t>
            </w:r>
          </w:p>
        </w:tc>
        <w:tc>
          <w:tcPr>
            <w:tcW w:w="1411" w:type="dxa"/>
          </w:tcPr>
          <w:p w:rsidR="009E72EA" w:rsidRPr="00EF2D2B" w:rsidRDefault="009E72EA" w:rsidP="009E72EA">
            <w:pPr>
              <w:pStyle w:val="TableParagraph"/>
              <w:tabs>
                <w:tab w:val="left" w:pos="0"/>
              </w:tabs>
              <w:spacing w:before="0" w:line="276" w:lineRule="auto"/>
              <w:ind w:left="106"/>
              <w:rPr>
                <w:sz w:val="20"/>
                <w:szCs w:val="20"/>
                <w:lang w:val="mn-MN"/>
              </w:rPr>
            </w:pPr>
            <w:r w:rsidRPr="00EF2D2B">
              <w:rPr>
                <w:sz w:val="20"/>
                <w:szCs w:val="20"/>
                <w:lang w:val="mn-MN"/>
              </w:rPr>
              <w:t xml:space="preserve">Бага </w:t>
            </w:r>
          </w:p>
        </w:tc>
        <w:tc>
          <w:tcPr>
            <w:tcW w:w="1178" w:type="dxa"/>
          </w:tcPr>
          <w:p w:rsidR="009E72EA" w:rsidRPr="00EF2D2B" w:rsidRDefault="009E72EA" w:rsidP="009E72EA">
            <w:pPr>
              <w:pStyle w:val="TableParagraph"/>
              <w:tabs>
                <w:tab w:val="left" w:pos="0"/>
              </w:tabs>
              <w:spacing w:line="276" w:lineRule="auto"/>
              <w:ind w:left="105"/>
              <w:rPr>
                <w:sz w:val="20"/>
                <w:szCs w:val="20"/>
                <w:lang w:val="mn-MN"/>
              </w:rPr>
            </w:pPr>
            <w:r w:rsidRPr="00EF2D2B">
              <w:rPr>
                <w:sz w:val="20"/>
                <w:szCs w:val="20"/>
                <w:lang w:val="mn-MN"/>
              </w:rPr>
              <w:t>Өндөр</w:t>
            </w:r>
          </w:p>
        </w:tc>
        <w:tc>
          <w:tcPr>
            <w:tcW w:w="1334" w:type="dxa"/>
          </w:tcPr>
          <w:p w:rsidR="009E72EA" w:rsidRPr="00EF2D2B" w:rsidRDefault="009E72EA" w:rsidP="009E72EA">
            <w:pPr>
              <w:pStyle w:val="TableParagraph"/>
              <w:tabs>
                <w:tab w:val="left" w:pos="0"/>
              </w:tabs>
              <w:spacing w:line="276" w:lineRule="auto"/>
              <w:ind w:left="102" w:right="86"/>
              <w:rPr>
                <w:sz w:val="20"/>
                <w:szCs w:val="20"/>
                <w:lang w:val="mn-MN"/>
              </w:rPr>
            </w:pPr>
            <w:r w:rsidRPr="00EF2D2B">
              <w:rPr>
                <w:sz w:val="20"/>
                <w:szCs w:val="20"/>
                <w:lang w:val="mn-MN"/>
              </w:rPr>
              <w:t>SV сервес</w:t>
            </w:r>
          </w:p>
        </w:tc>
      </w:tr>
      <w:tr w:rsidR="009E72EA" w:rsidRPr="00EF2D2B" w:rsidTr="009E72EA">
        <w:tc>
          <w:tcPr>
            <w:tcW w:w="1231" w:type="dxa"/>
            <w:vMerge w:val="restart"/>
          </w:tcPr>
          <w:p w:rsidR="009E72EA" w:rsidRPr="009E72EA" w:rsidRDefault="009E72EA" w:rsidP="009E72EA">
            <w:pPr>
              <w:pStyle w:val="TableParagraph"/>
              <w:tabs>
                <w:tab w:val="left" w:pos="0"/>
              </w:tabs>
              <w:spacing w:line="276" w:lineRule="auto"/>
              <w:ind w:left="107"/>
              <w:rPr>
                <w:sz w:val="20"/>
                <w:szCs w:val="20"/>
              </w:rPr>
            </w:pPr>
            <w:r>
              <w:rPr>
                <w:sz w:val="20"/>
                <w:szCs w:val="20"/>
              </w:rPr>
              <w:t>Phenorme</w:t>
            </w:r>
            <w:r>
              <w:rPr>
                <w:sz w:val="20"/>
                <w:szCs w:val="20"/>
              </w:rPr>
              <w:lastRenderedPageBreak/>
              <w:t>non assumption type WAMPAC</w:t>
            </w:r>
          </w:p>
        </w:tc>
        <w:tc>
          <w:tcPr>
            <w:tcW w:w="747" w:type="dxa"/>
          </w:tcPr>
          <w:p w:rsidR="009E72EA" w:rsidRPr="00CC195F" w:rsidRDefault="009E72EA" w:rsidP="009E72EA">
            <w:pPr>
              <w:pStyle w:val="TableParagraph"/>
              <w:tabs>
                <w:tab w:val="left" w:pos="0"/>
              </w:tabs>
              <w:spacing w:line="276" w:lineRule="auto"/>
              <w:ind w:left="107"/>
              <w:rPr>
                <w:sz w:val="20"/>
                <w:szCs w:val="20"/>
              </w:rPr>
            </w:pPr>
            <w:r w:rsidRPr="00CC195F">
              <w:rPr>
                <w:sz w:val="20"/>
                <w:szCs w:val="20"/>
              </w:rPr>
              <w:lastRenderedPageBreak/>
              <w:t>PM</w:t>
            </w:r>
            <w:r w:rsidRPr="00CC195F">
              <w:rPr>
                <w:sz w:val="20"/>
                <w:szCs w:val="20"/>
              </w:rPr>
              <w:lastRenderedPageBreak/>
              <w:t>U</w:t>
            </w:r>
          </w:p>
          <w:p w:rsidR="009E72EA" w:rsidRPr="00EF2D2B" w:rsidRDefault="009E72EA" w:rsidP="00CC195F">
            <w:pPr>
              <w:pStyle w:val="TableParagraph"/>
              <w:tabs>
                <w:tab w:val="left" w:pos="0"/>
              </w:tabs>
              <w:spacing w:line="276" w:lineRule="auto"/>
              <w:ind w:left="107"/>
              <w:rPr>
                <w:sz w:val="20"/>
                <w:szCs w:val="20"/>
                <w:lang w:val="mn-MN"/>
              </w:rPr>
            </w:pPr>
            <w:r w:rsidRPr="00CC195F">
              <w:rPr>
                <w:sz w:val="20"/>
                <w:szCs w:val="20"/>
              </w:rPr>
              <w:t>to PDC</w:t>
            </w:r>
          </w:p>
        </w:tc>
        <w:tc>
          <w:tcPr>
            <w:tcW w:w="1233" w:type="dxa"/>
          </w:tcPr>
          <w:p w:rsidR="009E72EA" w:rsidRPr="00EF2D2B" w:rsidRDefault="009E72EA" w:rsidP="009E72EA">
            <w:pPr>
              <w:pStyle w:val="TableParagraph"/>
              <w:tabs>
                <w:tab w:val="left" w:pos="0"/>
              </w:tabs>
              <w:spacing w:before="0" w:line="276" w:lineRule="auto"/>
              <w:ind w:left="107" w:right="383"/>
              <w:rPr>
                <w:sz w:val="20"/>
                <w:szCs w:val="20"/>
                <w:lang w:val="mn-MN"/>
              </w:rPr>
            </w:pPr>
            <w:r w:rsidRPr="00EF2D2B">
              <w:rPr>
                <w:sz w:val="20"/>
                <w:szCs w:val="20"/>
                <w:lang w:val="mn-MN"/>
              </w:rPr>
              <w:lastRenderedPageBreak/>
              <w:t xml:space="preserve">1/s to </w:t>
            </w:r>
            <w:r w:rsidRPr="00EF2D2B">
              <w:rPr>
                <w:sz w:val="20"/>
                <w:szCs w:val="20"/>
                <w:lang w:val="mn-MN"/>
              </w:rPr>
              <w:lastRenderedPageBreak/>
              <w:t>10/s</w:t>
            </w:r>
          </w:p>
        </w:tc>
        <w:tc>
          <w:tcPr>
            <w:tcW w:w="896" w:type="dxa"/>
          </w:tcPr>
          <w:p w:rsidR="009E72EA" w:rsidRPr="00EF2D2B" w:rsidRDefault="009E72EA" w:rsidP="009E72EA">
            <w:pPr>
              <w:pStyle w:val="TableParagraph"/>
              <w:tabs>
                <w:tab w:val="left" w:pos="0"/>
              </w:tabs>
              <w:spacing w:line="276" w:lineRule="auto"/>
              <w:ind w:left="107"/>
              <w:rPr>
                <w:sz w:val="20"/>
                <w:szCs w:val="20"/>
                <w:lang w:val="mn-MN"/>
              </w:rPr>
            </w:pPr>
            <w:r w:rsidRPr="00EF2D2B">
              <w:rPr>
                <w:sz w:val="20"/>
                <w:szCs w:val="20"/>
                <w:lang w:val="mn-MN"/>
              </w:rPr>
              <w:lastRenderedPageBreak/>
              <w:t>5 s</w:t>
            </w:r>
          </w:p>
        </w:tc>
        <w:tc>
          <w:tcPr>
            <w:tcW w:w="1314" w:type="dxa"/>
          </w:tcPr>
          <w:p w:rsidR="009E72EA" w:rsidRPr="00EF2D2B" w:rsidRDefault="009E72EA" w:rsidP="009E72EA">
            <w:pPr>
              <w:pStyle w:val="TableParagraph"/>
              <w:tabs>
                <w:tab w:val="left" w:pos="0"/>
              </w:tabs>
              <w:spacing w:before="57" w:line="276" w:lineRule="auto"/>
              <w:ind w:left="106"/>
              <w:rPr>
                <w:sz w:val="20"/>
                <w:szCs w:val="20"/>
                <w:lang w:val="mn-MN"/>
              </w:rPr>
            </w:pPr>
            <w:r w:rsidRPr="00EF2D2B">
              <w:rPr>
                <w:sz w:val="20"/>
                <w:szCs w:val="20"/>
                <w:lang w:val="mn-MN"/>
              </w:rPr>
              <w:t>50 μs</w:t>
            </w:r>
          </w:p>
        </w:tc>
        <w:tc>
          <w:tcPr>
            <w:tcW w:w="1411" w:type="dxa"/>
          </w:tcPr>
          <w:p w:rsidR="009E72EA" w:rsidRPr="00EF2D2B" w:rsidRDefault="009E72EA" w:rsidP="009E72EA">
            <w:pPr>
              <w:pStyle w:val="TableParagraph"/>
              <w:tabs>
                <w:tab w:val="left" w:pos="0"/>
              </w:tabs>
              <w:spacing w:before="0" w:line="276" w:lineRule="auto"/>
              <w:ind w:left="106" w:right="246"/>
              <w:rPr>
                <w:sz w:val="20"/>
                <w:szCs w:val="20"/>
                <w:lang w:val="mn-MN"/>
              </w:rPr>
            </w:pPr>
            <w:r w:rsidRPr="00EF2D2B">
              <w:rPr>
                <w:sz w:val="20"/>
                <w:szCs w:val="20"/>
                <w:lang w:val="mn-MN"/>
              </w:rPr>
              <w:t xml:space="preserve">Low to </w:t>
            </w:r>
            <w:r w:rsidRPr="00EF2D2B">
              <w:rPr>
                <w:sz w:val="20"/>
                <w:szCs w:val="20"/>
                <w:lang w:val="mn-MN"/>
              </w:rPr>
              <w:lastRenderedPageBreak/>
              <w:t>medium</w:t>
            </w:r>
          </w:p>
        </w:tc>
        <w:tc>
          <w:tcPr>
            <w:tcW w:w="1178" w:type="dxa"/>
          </w:tcPr>
          <w:p w:rsidR="009E72EA" w:rsidRPr="00EF2D2B" w:rsidRDefault="009E72EA" w:rsidP="009E72EA">
            <w:pPr>
              <w:pStyle w:val="TableParagraph"/>
              <w:tabs>
                <w:tab w:val="left" w:pos="0"/>
              </w:tabs>
              <w:spacing w:before="0" w:line="276" w:lineRule="auto"/>
              <w:ind w:left="105" w:right="113"/>
              <w:rPr>
                <w:sz w:val="20"/>
                <w:szCs w:val="20"/>
                <w:lang w:val="mn-MN"/>
              </w:rPr>
            </w:pPr>
            <w:r w:rsidRPr="00EF2D2B">
              <w:rPr>
                <w:sz w:val="20"/>
                <w:szCs w:val="20"/>
                <w:lang w:val="mn-MN"/>
              </w:rPr>
              <w:lastRenderedPageBreak/>
              <w:t xml:space="preserve">Low to </w:t>
            </w:r>
            <w:r w:rsidRPr="00EF2D2B">
              <w:rPr>
                <w:sz w:val="20"/>
                <w:szCs w:val="20"/>
                <w:lang w:val="mn-MN"/>
              </w:rPr>
              <w:lastRenderedPageBreak/>
              <w:t>Medium</w:t>
            </w:r>
          </w:p>
        </w:tc>
        <w:tc>
          <w:tcPr>
            <w:tcW w:w="1334" w:type="dxa"/>
          </w:tcPr>
          <w:p w:rsidR="009E72EA" w:rsidRPr="00EF2D2B" w:rsidRDefault="009E72EA" w:rsidP="009E72EA">
            <w:pPr>
              <w:pStyle w:val="TableParagraph"/>
              <w:tabs>
                <w:tab w:val="left" w:pos="0"/>
              </w:tabs>
              <w:spacing w:line="276" w:lineRule="auto"/>
              <w:ind w:left="107" w:right="30"/>
              <w:rPr>
                <w:sz w:val="20"/>
                <w:szCs w:val="20"/>
                <w:lang w:val="mn-MN"/>
              </w:rPr>
            </w:pPr>
            <w:r w:rsidRPr="00EF2D2B">
              <w:rPr>
                <w:sz w:val="20"/>
                <w:szCs w:val="20"/>
                <w:lang w:val="mn-MN"/>
              </w:rPr>
              <w:lastRenderedPageBreak/>
              <w:t>Phenomen</w:t>
            </w:r>
            <w:r w:rsidRPr="00EF2D2B">
              <w:rPr>
                <w:sz w:val="20"/>
                <w:szCs w:val="20"/>
                <w:lang w:val="mn-MN"/>
              </w:rPr>
              <w:lastRenderedPageBreak/>
              <w:t>on assumption type</w:t>
            </w:r>
          </w:p>
          <w:p w:rsidR="009E72EA" w:rsidRPr="00EF2D2B" w:rsidRDefault="009E72EA" w:rsidP="009E72EA">
            <w:pPr>
              <w:pStyle w:val="TableParagraph"/>
              <w:tabs>
                <w:tab w:val="left" w:pos="0"/>
              </w:tabs>
              <w:spacing w:before="0" w:line="276" w:lineRule="auto"/>
              <w:ind w:left="107"/>
              <w:rPr>
                <w:sz w:val="20"/>
                <w:szCs w:val="20"/>
                <w:lang w:val="mn-MN"/>
              </w:rPr>
            </w:pPr>
            <w:r w:rsidRPr="00EF2D2B">
              <w:rPr>
                <w:sz w:val="20"/>
                <w:szCs w:val="20"/>
                <w:lang w:val="mn-MN"/>
              </w:rPr>
              <w:t>WAMPAC</w:t>
            </w:r>
          </w:p>
        </w:tc>
      </w:tr>
      <w:tr w:rsidR="009E72EA" w:rsidRPr="00EF2D2B" w:rsidTr="009E72EA">
        <w:tc>
          <w:tcPr>
            <w:tcW w:w="1231" w:type="dxa"/>
            <w:vMerge/>
          </w:tcPr>
          <w:p w:rsidR="009E72EA" w:rsidRPr="00EF2D2B" w:rsidRDefault="009E72EA" w:rsidP="009E72EA">
            <w:pPr>
              <w:pStyle w:val="TableParagraph"/>
              <w:tabs>
                <w:tab w:val="left" w:pos="0"/>
              </w:tabs>
              <w:spacing w:line="276" w:lineRule="auto"/>
              <w:ind w:left="107"/>
              <w:rPr>
                <w:sz w:val="20"/>
                <w:szCs w:val="20"/>
                <w:lang w:val="mn-MN"/>
              </w:rPr>
            </w:pPr>
          </w:p>
        </w:tc>
        <w:tc>
          <w:tcPr>
            <w:tcW w:w="747" w:type="dxa"/>
          </w:tcPr>
          <w:p w:rsidR="009E72EA" w:rsidRPr="00EF2D2B" w:rsidRDefault="009E72EA" w:rsidP="009E72EA">
            <w:pPr>
              <w:tabs>
                <w:tab w:val="left" w:pos="0"/>
              </w:tabs>
              <w:ind w:left="107"/>
              <w:rPr>
                <w:sz w:val="20"/>
              </w:rPr>
            </w:pPr>
            <w:r w:rsidRPr="00EF2D2B">
              <w:rPr>
                <w:sz w:val="20"/>
              </w:rPr>
              <w:t>PMU</w:t>
            </w:r>
          </w:p>
          <w:p w:rsidR="009E72EA" w:rsidRPr="00EF2D2B" w:rsidRDefault="009E72EA" w:rsidP="009E72EA">
            <w:pPr>
              <w:pStyle w:val="TOC1"/>
              <w:tabs>
                <w:tab w:val="left" w:pos="0"/>
              </w:tabs>
              <w:spacing w:before="1" w:line="276" w:lineRule="auto"/>
              <w:ind w:left="107" w:right="155"/>
              <w:rPr>
                <w:lang w:val="mn-MN"/>
              </w:rPr>
            </w:pPr>
            <w:r w:rsidRPr="00EF2D2B">
              <w:rPr>
                <w:lang w:val="mn-MN"/>
              </w:rPr>
              <w:t>to IED</w:t>
            </w:r>
          </w:p>
        </w:tc>
        <w:tc>
          <w:tcPr>
            <w:tcW w:w="1233" w:type="dxa"/>
          </w:tcPr>
          <w:p w:rsidR="009E72EA" w:rsidRPr="00EF2D2B" w:rsidRDefault="009E72EA" w:rsidP="009E72EA">
            <w:pPr>
              <w:pStyle w:val="TOC1"/>
              <w:tabs>
                <w:tab w:val="left" w:pos="0"/>
              </w:tabs>
              <w:spacing w:before="0" w:line="276" w:lineRule="auto"/>
              <w:ind w:left="107" w:right="285"/>
              <w:rPr>
                <w:lang w:val="mn-MN"/>
              </w:rPr>
            </w:pPr>
            <w:r w:rsidRPr="00EF2D2B">
              <w:rPr>
                <w:lang w:val="mn-MN"/>
              </w:rPr>
              <w:t>50/s or 60/s</w:t>
            </w:r>
          </w:p>
        </w:tc>
        <w:tc>
          <w:tcPr>
            <w:tcW w:w="896" w:type="dxa"/>
          </w:tcPr>
          <w:p w:rsidR="009E72EA" w:rsidRPr="00EF2D2B" w:rsidRDefault="009E72EA" w:rsidP="009E72EA">
            <w:pPr>
              <w:pStyle w:val="TOC1"/>
              <w:tabs>
                <w:tab w:val="left" w:pos="0"/>
              </w:tabs>
              <w:spacing w:line="276" w:lineRule="auto"/>
              <w:ind w:left="107"/>
              <w:rPr>
                <w:lang w:val="mn-MN"/>
              </w:rPr>
            </w:pPr>
            <w:r w:rsidRPr="00EF2D2B">
              <w:rPr>
                <w:lang w:val="mn-MN"/>
              </w:rPr>
              <w:t>20 ms</w:t>
            </w:r>
          </w:p>
        </w:tc>
        <w:tc>
          <w:tcPr>
            <w:tcW w:w="1314" w:type="dxa"/>
          </w:tcPr>
          <w:p w:rsidR="009E72EA" w:rsidRPr="00EF2D2B" w:rsidRDefault="009E72EA" w:rsidP="009E72EA">
            <w:pPr>
              <w:pStyle w:val="TOC1"/>
              <w:tabs>
                <w:tab w:val="left" w:pos="0"/>
              </w:tabs>
              <w:spacing w:before="57" w:line="276" w:lineRule="auto"/>
              <w:ind w:left="107"/>
              <w:rPr>
                <w:lang w:val="mn-MN"/>
              </w:rPr>
            </w:pPr>
            <w:r w:rsidRPr="00EF2D2B">
              <w:rPr>
                <w:lang w:val="mn-MN"/>
              </w:rPr>
              <w:t>50 μs</w:t>
            </w:r>
          </w:p>
        </w:tc>
        <w:tc>
          <w:tcPr>
            <w:tcW w:w="1411" w:type="dxa"/>
          </w:tcPr>
          <w:p w:rsidR="009E72EA" w:rsidRPr="00EF2D2B" w:rsidRDefault="009E72EA" w:rsidP="009E72EA">
            <w:pPr>
              <w:pStyle w:val="TOC1"/>
              <w:tabs>
                <w:tab w:val="left" w:pos="0"/>
              </w:tabs>
              <w:spacing w:before="0" w:line="276" w:lineRule="auto"/>
              <w:ind w:left="106"/>
              <w:rPr>
                <w:lang w:val="mn-MN"/>
              </w:rPr>
            </w:pPr>
            <w:r w:rsidRPr="00EF2D2B">
              <w:rPr>
                <w:lang w:val="mn-MN"/>
              </w:rPr>
              <w:t>Medium</w:t>
            </w:r>
          </w:p>
        </w:tc>
        <w:tc>
          <w:tcPr>
            <w:tcW w:w="1178" w:type="dxa"/>
          </w:tcPr>
          <w:p w:rsidR="009E72EA" w:rsidRPr="00EF2D2B" w:rsidRDefault="009E72EA" w:rsidP="009E72EA">
            <w:pPr>
              <w:pStyle w:val="TOC1"/>
              <w:tabs>
                <w:tab w:val="left" w:pos="0"/>
              </w:tabs>
              <w:spacing w:before="0" w:line="276" w:lineRule="auto"/>
              <w:ind w:left="105"/>
              <w:rPr>
                <w:lang w:val="mn-MN"/>
              </w:rPr>
            </w:pPr>
            <w:r w:rsidRPr="00EF2D2B">
              <w:rPr>
                <w:lang w:val="mn-MN"/>
              </w:rPr>
              <w:t>High</w:t>
            </w:r>
          </w:p>
        </w:tc>
        <w:tc>
          <w:tcPr>
            <w:tcW w:w="1334" w:type="dxa"/>
          </w:tcPr>
          <w:p w:rsidR="009E72EA" w:rsidRPr="00EF2D2B" w:rsidRDefault="009E72EA" w:rsidP="009E72EA">
            <w:pPr>
              <w:tabs>
                <w:tab w:val="left" w:pos="0"/>
              </w:tabs>
              <w:rPr>
                <w:sz w:val="20"/>
              </w:rPr>
            </w:pPr>
          </w:p>
        </w:tc>
      </w:tr>
    </w:tbl>
    <w:p w:rsidR="009E72EA" w:rsidRDefault="009E72EA" w:rsidP="00811BEA">
      <w:pPr>
        <w:ind w:left="0" w:firstLine="0"/>
        <w:jc w:val="center"/>
        <w:rPr>
          <w:b/>
        </w:rPr>
      </w:pPr>
    </w:p>
    <w:p w:rsidR="009E72EA" w:rsidRDefault="009E72EA" w:rsidP="00811BEA">
      <w:pPr>
        <w:ind w:left="0" w:firstLine="0"/>
        <w:jc w:val="center"/>
        <w:rPr>
          <w:b/>
        </w:rPr>
      </w:pPr>
      <w:r>
        <w:rPr>
          <w:noProof/>
          <w:lang w:val="en-US"/>
        </w:rPr>
        <w:drawing>
          <wp:inline distT="0" distB="0" distL="0" distR="0" wp14:anchorId="40777414" wp14:editId="54875ED5">
            <wp:extent cx="5876925" cy="3667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76925" cy="3667125"/>
                    </a:xfrm>
                    <a:prstGeom prst="rect">
                      <a:avLst/>
                    </a:prstGeom>
                  </pic:spPr>
                </pic:pic>
              </a:graphicData>
            </a:graphic>
          </wp:inline>
        </w:drawing>
      </w:r>
    </w:p>
    <w:p w:rsidR="009E72EA" w:rsidRDefault="009E72EA" w:rsidP="00811BEA">
      <w:pPr>
        <w:ind w:left="0" w:firstLine="0"/>
        <w:jc w:val="center"/>
        <w:rPr>
          <w:b/>
        </w:rPr>
      </w:pPr>
      <w:r w:rsidRPr="009E72EA">
        <w:rPr>
          <w:b/>
        </w:rPr>
        <w:t>19</w:t>
      </w:r>
      <w:r>
        <w:rPr>
          <w:b/>
          <w:lang w:val="en-US"/>
        </w:rPr>
        <w:t>-</w:t>
      </w:r>
      <w:r>
        <w:rPr>
          <w:b/>
        </w:rPr>
        <w:t>р зураг</w:t>
      </w:r>
      <w:r w:rsidRPr="009E72EA">
        <w:rPr>
          <w:b/>
        </w:rPr>
        <w:t xml:space="preserve"> – Аппликешний байршил ба хугацааны масштаб</w:t>
      </w:r>
    </w:p>
    <w:p w:rsidR="009E72EA" w:rsidRDefault="009E72EA" w:rsidP="00811BEA">
      <w:pPr>
        <w:ind w:left="0" w:firstLine="0"/>
        <w:jc w:val="center"/>
        <w:rPr>
          <w:b/>
        </w:rPr>
      </w:pPr>
    </w:p>
    <w:p w:rsidR="009E72EA" w:rsidRDefault="009E72EA" w:rsidP="00811BEA">
      <w:pPr>
        <w:ind w:left="0" w:firstLine="0"/>
        <w:jc w:val="center"/>
        <w:rPr>
          <w:b/>
        </w:rPr>
      </w:pPr>
      <w:r w:rsidRPr="00EF2D2B">
        <w:rPr>
          <w:noProof/>
          <w:lang w:val="en-US"/>
        </w:rPr>
        <w:lastRenderedPageBreak/>
        <w:drawing>
          <wp:inline distT="0" distB="0" distL="0" distR="0" wp14:anchorId="70BB95BD" wp14:editId="676C719D">
            <wp:extent cx="5939790" cy="4101973"/>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4101973"/>
                    </a:xfrm>
                    <a:prstGeom prst="rect">
                      <a:avLst/>
                    </a:prstGeom>
                  </pic:spPr>
                </pic:pic>
              </a:graphicData>
            </a:graphic>
          </wp:inline>
        </w:drawing>
      </w:r>
    </w:p>
    <w:p w:rsidR="009E72EA" w:rsidRDefault="009E72EA" w:rsidP="00811BEA">
      <w:pPr>
        <w:ind w:left="0" w:firstLine="0"/>
        <w:jc w:val="center"/>
        <w:rPr>
          <w:b/>
        </w:rPr>
      </w:pPr>
      <w:r w:rsidRPr="009E72EA">
        <w:rPr>
          <w:b/>
        </w:rPr>
        <w:t>Figure 19 – Application locality and time scale</w:t>
      </w:r>
    </w:p>
    <w:p w:rsidR="009E72EA" w:rsidRDefault="009E72EA"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9E72EA" w:rsidTr="009E72EA">
        <w:tc>
          <w:tcPr>
            <w:tcW w:w="4672" w:type="dxa"/>
          </w:tcPr>
          <w:p w:rsidR="009E72EA" w:rsidRPr="009E72EA" w:rsidRDefault="009E72EA" w:rsidP="009E72EA">
            <w:pPr>
              <w:tabs>
                <w:tab w:val="left" w:pos="0"/>
              </w:tabs>
              <w:ind w:left="0" w:firstLine="0"/>
              <w:rPr>
                <w:rFonts w:eastAsia="Calibri"/>
                <w:b/>
                <w:bCs/>
                <w:szCs w:val="22"/>
              </w:rPr>
            </w:pPr>
            <w:r w:rsidRPr="009E72EA">
              <w:rPr>
                <w:rFonts w:eastAsia="Calibri"/>
                <w:b/>
                <w:bCs/>
                <w:szCs w:val="22"/>
              </w:rPr>
              <w:t>7.5 TCP ашиглах</w:t>
            </w:r>
          </w:p>
          <w:p w:rsidR="009E72EA" w:rsidRPr="009E72EA" w:rsidRDefault="009E72EA" w:rsidP="009E72EA">
            <w:pPr>
              <w:tabs>
                <w:tab w:val="left" w:pos="0"/>
              </w:tabs>
              <w:ind w:left="0" w:firstLine="0"/>
              <w:rPr>
                <w:rFonts w:eastAsia="Calibri"/>
                <w:bCs/>
                <w:szCs w:val="22"/>
              </w:rPr>
            </w:pPr>
            <w:r w:rsidRPr="009E72EA">
              <w:rPr>
                <w:rFonts w:eastAsia="Calibri"/>
                <w:bCs/>
                <w:szCs w:val="22"/>
              </w:rPr>
              <w:t>SV / R-SV сервис нь алдагдсан мессежийг сэргээхгүйгээр үечлэн илгээхэд суурилдаг. Энэ нь өндөр хурдны дамжуулалтын түвшинтэй ба ганц нэг түүврийн утга хаяа алдагдахыг тэсвэрлэх зориулалттай программ юм.</w:t>
            </w:r>
          </w:p>
          <w:p w:rsidR="009E72EA" w:rsidRPr="009E72EA" w:rsidRDefault="009E72EA" w:rsidP="009E72EA">
            <w:pPr>
              <w:tabs>
                <w:tab w:val="left" w:pos="0"/>
              </w:tabs>
              <w:ind w:left="0" w:firstLine="0"/>
              <w:rPr>
                <w:rFonts w:eastAsia="Calibri"/>
                <w:bCs/>
                <w:szCs w:val="22"/>
              </w:rPr>
            </w:pPr>
            <w:r w:rsidRPr="009E72EA">
              <w:rPr>
                <w:rFonts w:eastAsia="Calibri"/>
                <w:bCs/>
                <w:szCs w:val="22"/>
              </w:rPr>
              <w:t>Түүврийн утга алдагдах нь ноцтой нөлөөлөх хэрэглээний хувьд хариу өгөх хугацаа нь детерминистик бус байх ба энэ тохиолдолд IEC 61850-7-2 ба IEC 61850-8-1  заасан механизм хэрэглэж болно. Тодорхой үйл явдлын өндөр хурдтай хэмжилтийн түүврийн утгууд шаардагдах тохиолдолд зөрчлийг бүртгэх функцийг ашиглаж файлыг дараа нь шилжүүлэх эсвэл анхны багцыг дахин дамжуулах замаар шийдэж болно. (Хавсралт Н-ийг үзнэ үүас</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TCP дээр суурилсан сервис нь клиент ба серверүүдийн хоорондох цэгээс цэгт </w:t>
            </w:r>
            <w:r w:rsidRPr="009E72EA">
              <w:rPr>
                <w:rFonts w:eastAsia="Calibri"/>
                <w:bCs/>
                <w:szCs w:val="22"/>
              </w:rPr>
              <w:lastRenderedPageBreak/>
              <w:t>дамжуулах боломж л байдаг; Гэсэн хэдий ч аюулгүй байдлыг баталгаажуулах, шаардлагатай үед нууцлах боломжийг олгодог.</w:t>
            </w:r>
          </w:p>
          <w:p w:rsidR="009E72EA" w:rsidRPr="009E72EA" w:rsidRDefault="009E72EA" w:rsidP="009E72EA">
            <w:pPr>
              <w:tabs>
                <w:tab w:val="left" w:pos="0"/>
              </w:tabs>
              <w:ind w:left="0" w:firstLine="0"/>
              <w:rPr>
                <w:rFonts w:eastAsia="Calibri"/>
                <w:b/>
                <w:bCs/>
                <w:szCs w:val="22"/>
              </w:rPr>
            </w:pPr>
            <w:r w:rsidRPr="009E72EA">
              <w:rPr>
                <w:rFonts w:eastAsia="Calibri"/>
                <w:b/>
                <w:bCs/>
                <w:szCs w:val="22"/>
              </w:rPr>
              <w:t>8 Аюулгүй байдлын загвар</w:t>
            </w:r>
          </w:p>
          <w:p w:rsidR="009E72EA" w:rsidRPr="009E72EA" w:rsidRDefault="009E72EA" w:rsidP="009E72EA">
            <w:pPr>
              <w:tabs>
                <w:tab w:val="left" w:pos="0"/>
              </w:tabs>
              <w:ind w:left="0" w:firstLine="0"/>
              <w:rPr>
                <w:rFonts w:eastAsia="Calibri"/>
                <w:b/>
                <w:bCs/>
                <w:szCs w:val="22"/>
              </w:rPr>
            </w:pPr>
            <w:r w:rsidRPr="009E72EA">
              <w:rPr>
                <w:rFonts w:eastAsia="Calibri"/>
                <w:b/>
                <w:bCs/>
                <w:szCs w:val="22"/>
              </w:rPr>
              <w:t>8.1 Ерөнхий</w:t>
            </w:r>
            <w:r w:rsidR="00CC195F">
              <w:rPr>
                <w:rFonts w:eastAsia="Calibri"/>
                <w:b/>
                <w:bCs/>
                <w:szCs w:val="22"/>
              </w:rPr>
              <w:t xml:space="preserve"> зүйл</w:t>
            </w:r>
          </w:p>
          <w:p w:rsidR="009E72EA" w:rsidRPr="009E72EA" w:rsidRDefault="009E72EA" w:rsidP="009E72EA">
            <w:pPr>
              <w:tabs>
                <w:tab w:val="left" w:pos="0"/>
              </w:tabs>
              <w:ind w:left="0" w:firstLine="0"/>
              <w:rPr>
                <w:rFonts w:eastAsia="Calibri"/>
                <w:bCs/>
                <w:szCs w:val="22"/>
              </w:rPr>
            </w:pPr>
            <w:r w:rsidRPr="009E72EA">
              <w:rPr>
                <w:rFonts w:eastAsia="Calibri"/>
                <w:bCs/>
                <w:szCs w:val="22"/>
              </w:rPr>
              <w:t>IEC/TR 61850-90-5-ийн аюулгүй байдлын загвар нь IEC/TS 62351-1 ба IEC 62351-2-т аюулгүй байдлын аюул занал, аюулгүй байдлын функцүүдийг тусгагдсан.</w:t>
            </w:r>
          </w:p>
          <w:p w:rsidR="009E72EA" w:rsidRPr="009E72EA" w:rsidRDefault="009E72EA" w:rsidP="009E72EA">
            <w:pPr>
              <w:tabs>
                <w:tab w:val="left" w:pos="0"/>
              </w:tabs>
              <w:ind w:left="0" w:firstLine="0"/>
              <w:rPr>
                <w:rFonts w:eastAsia="Calibri"/>
                <w:bCs/>
                <w:szCs w:val="22"/>
              </w:rPr>
            </w:pPr>
            <w:r w:rsidRPr="009E72EA">
              <w:rPr>
                <w:rFonts w:eastAsia="Calibri"/>
                <w:bCs/>
                <w:szCs w:val="22"/>
              </w:rPr>
              <w:t>Энэхүү баримт бичигт аюулгүй байдлын хэд хэдэн асуудлыг дараах байдлаар төсөөлүүлэн авч үзэв:</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мэдээллийн баталгаажилт ба бүрэн бүтэн байдал (ж.нь: зөвшөөрөлгүй хандалтыг илрүүлэх чадвар) шаардлагатай;</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нууцлал нь сонголттой.</w:t>
            </w:r>
          </w:p>
          <w:p w:rsidR="009E72EA" w:rsidRPr="009E72EA" w:rsidRDefault="009E72EA" w:rsidP="009E72EA">
            <w:pPr>
              <w:tabs>
                <w:tab w:val="left" w:pos="0"/>
              </w:tabs>
              <w:ind w:left="0" w:firstLine="0"/>
              <w:rPr>
                <w:rFonts w:eastAsia="Calibri"/>
                <w:bCs/>
                <w:szCs w:val="22"/>
              </w:rPr>
            </w:pPr>
            <w:r w:rsidRPr="009E72EA">
              <w:rPr>
                <w:rFonts w:eastAsia="Calibri"/>
                <w:bCs/>
                <w:szCs w:val="22"/>
              </w:rPr>
              <w:t>Онолын хувьд мэдээллийн баталгаажилт ба бүрэн бүтэн байдлыг мэдээллийн шатлалаас үл хамааран төгсгөлөөс-төгсгөлд аргад л хамаатах ёстой. Энэхүү аюулгүй байдлын функцийг хангах энгийн арга бол зарим төрлийн мэдээлэл эсвэл мессеж баталгаажуулах кодыг ашиглах юм.</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IEC / TS 62351-6 нь тэгш бус криптограф ашиглан тоон гарын үсгийг ашиглах аргыг тодорхойлж өгсөн. Гэсэн хэдий ч энэхүү онцгой технологиос хамааран  өнөөгийн тоног төхөөрөмжүүд, PMU,реленүүд ба шинэ тоноглолуудын өртөг болон CPU-ных нь гүйцэтгэлд нөлөөлдөг нь илэрхий болсон. Түүврийн утгуудыг илгээх мессежний хурд нэмэгдэх тусам энэ асуудал улам хурцаар хөндөгдөх болно.Тиймээс аюулгүй байдлын загвар нь энэхүү баримт бичигт заасан профайлууд/технологиуд ашиглахад гүйцэтгэлийн асуудлыг харгалзан үзэх шаардлагатай. Энэхүү баримт бичигт тэгш бус хэмт ба тэгш хэмтэй </w:t>
            </w:r>
            <w:r w:rsidRPr="009E72EA">
              <w:rPr>
                <w:rFonts w:eastAsia="Calibri"/>
                <w:bCs/>
                <w:szCs w:val="22"/>
              </w:rPr>
              <w:lastRenderedPageBreak/>
              <w:t>түлхүүрийн баталгаажуулалт/MAC үүсгэлт, тэгш хэмт түлхүүрийн нууцлалын аль алиныг нь тодорхойлсон. Нэмэлт нууцлалтыг хангахын тулд түлхүүрлэлт ашиглах сонголт байдаг.</w:t>
            </w:r>
          </w:p>
          <w:p w:rsidR="009E72EA" w:rsidRPr="009E72EA" w:rsidRDefault="009E72EA" w:rsidP="009E72EA">
            <w:pPr>
              <w:tabs>
                <w:tab w:val="left" w:pos="0"/>
              </w:tabs>
              <w:ind w:left="0" w:firstLine="0"/>
              <w:rPr>
                <w:rFonts w:eastAsia="Calibri"/>
                <w:bCs/>
                <w:szCs w:val="22"/>
              </w:rPr>
            </w:pPr>
            <w:r w:rsidRPr="009E72EA">
              <w:rPr>
                <w:rFonts w:eastAsia="Calibri"/>
                <w:bCs/>
                <w:szCs w:val="22"/>
              </w:rPr>
              <w:t>Энэхүү баримт бичигт Түүврийн Утгын Аппликейшний Протоколын Өгөгдлийн Нэгж (APDU) зураглал хийхэд хоёр тодорхой хэрэглээ байдаг. APDU нь дор хаяж хоёр төрлийн мэдээллийг дамжуулахад ашиглагдах болно: IEC 61850-7-2-ийн CT/PT-ийн мэдээлэл ба IEEE C37.118.1-ийн синхрончлогдсон хэмжигдэхүүний утгууд.Энэ хоёр төрлийн өгөгдлийн мессежний хурд өөр өөр байна:</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CT/PT нь мэдээллийн мессеж илгээх хурд нь 50-256 мессеж/цикл хүрээнд ба ойролцоогоор 7,2-ээс 34,6 Мбит/сек буюу түүнээс дээш хурдтай, дотоод сүлжээний (LAN) холболт.</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Синхрончлогдсон хэмжсэн утгын мессежний хурд нь 1-ээс 240 мессеж/секунд хооронд байж болно.</w:t>
            </w:r>
          </w:p>
          <w:p w:rsidR="009E72EA" w:rsidRPr="009E72EA" w:rsidRDefault="009E72EA" w:rsidP="009E72EA">
            <w:pPr>
              <w:tabs>
                <w:tab w:val="left" w:pos="0"/>
              </w:tabs>
              <w:ind w:left="0" w:firstLine="0"/>
              <w:rPr>
                <w:rFonts w:eastAsia="Calibri"/>
                <w:bCs/>
                <w:szCs w:val="22"/>
              </w:rPr>
            </w:pPr>
            <w:r w:rsidRPr="009E72EA">
              <w:rPr>
                <w:rFonts w:eastAsia="Calibri"/>
                <w:bCs/>
                <w:szCs w:val="22"/>
              </w:rPr>
              <w:t>Тиймээс CT/PT нь мэдээлэл/харилцаа холбооны шаардлага нь синхрончлогдсон хэмжигдэхүүний утгуудаас даруй жар (60) дахин их байна. Энэ нь 50 Гц ба 60 Гц хэвийн системд.  Мессежний хурд, мэдээллийн төрлийг үндэслэн аюулгүй байдлын өөр шаардлага, дамжуулалтын ангиллыг боловсруулж болно.</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Интра-дэд станц (А ангилал): Энэ ангиллын траффик нь дэд станц дотор өндөр нарийвчлалтай долгионы хэлбэрийн өгөгдөл солилцох замаар тодорхойлогддог. Интра-дэд станцын урсгал нь CT / PT ба синхрон хэмжсэн утгыг хоёуланг нь дэмжих чадвартай байх ёстой. Энэ нь Баталгаажуулалт ба хөндлөнгийн илрүүлэлт хийх хялбархан механизм шаарддаг (жишээлбэл, CT / </w:t>
            </w:r>
            <w:r w:rsidRPr="009E72EA">
              <w:rPr>
                <w:rFonts w:eastAsia="Calibri"/>
                <w:bCs/>
                <w:szCs w:val="22"/>
              </w:rPr>
              <w:lastRenderedPageBreak/>
              <w:t>PT-ийн хамгийн их мессеж дамжуулах түвшинг дэмжих).</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 xml:space="preserve">Интер-дэд станц (В ангилал):  </w:t>
            </w:r>
          </w:p>
          <w:p w:rsidR="009E72EA" w:rsidRPr="009E72EA" w:rsidRDefault="009E72EA" w:rsidP="009E72EA">
            <w:pPr>
              <w:tabs>
                <w:tab w:val="left" w:pos="0"/>
              </w:tabs>
              <w:ind w:left="0" w:firstLine="0"/>
              <w:rPr>
                <w:rFonts w:eastAsia="Calibri"/>
                <w:bCs/>
                <w:szCs w:val="22"/>
              </w:rPr>
            </w:pPr>
            <w:r w:rsidRPr="009E72EA">
              <w:rPr>
                <w:rFonts w:eastAsia="Calibri"/>
                <w:bCs/>
                <w:szCs w:val="22"/>
              </w:rPr>
              <w:t>Энэ ангиллын мэдээлэл дамжуулах зам нь газарзүйн янз бүрийн байршлын хооронд дунд зэргийн нягтралтай долгионы хэлбэрийн өгөгдөл солилцох замаар тодорхойлогддог. Интер-дэд станц мэдээлэл дамжуулах зам нь өөр өөр төгсгөлийн цэгүүдийн хооронд синхрончлогдсон хэмжигдэхүүний мэдээллийг солилцох боломжийг олгодог. Ийм төгсгөлийн цэгүүдэд бусад дэд станцууд болон хяналтын төвүүдээр хязгаарлагдахгүй.</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Энэ төрлийн траффикийн нууцлалыг хангахын тулд Нотолгооны баталгаа, хуурамч хандалт илрүүлэлтээс гадна нэмэлт шифрлэлтийн функцийг тодорхойлсон болно.</w:t>
            </w:r>
          </w:p>
          <w:p w:rsidR="009E72EA" w:rsidRPr="009E72EA" w:rsidRDefault="009E72EA" w:rsidP="009E72EA">
            <w:pPr>
              <w:tabs>
                <w:tab w:val="left" w:pos="0"/>
              </w:tabs>
              <w:ind w:left="0" w:firstLine="0"/>
              <w:rPr>
                <w:rFonts w:eastAsia="Calibri"/>
                <w:bCs/>
                <w:szCs w:val="22"/>
              </w:rPr>
            </w:pPr>
            <w:r w:rsidRPr="009E72EA">
              <w:rPr>
                <w:rFonts w:eastAsia="Calibri"/>
                <w:bCs/>
                <w:szCs w:val="22"/>
              </w:rPr>
              <w:t>Дээрх аюулгүй байдлын шаардлагыг үндэслэн энэхүү техникийн тайлан нь мессежний чиглэлийг үл харгалзан мессежийг баталгаажуулах ба зөвшөөрөлгүй хандалтыг илрүүлэх хэрэгслийг тодорхойлдог.Энэ төрлийн аюулгүй байдлын функцийг хангахад ашигладаг суурь аюулгүй байдлын байгууламж нь сонгосон аюулгүй байдлын механизмуудын эцсийн төгсгөлд аргад үндэслэн бүрэн бүтэн байдлыг хангаж өгдөг.Энэхүү техникийн тайлангийн хүрээнд хэд хэдэн төрлийн төгсгөлийн цэгүүдийг тодорхойлсон болно:</w:t>
            </w:r>
          </w:p>
          <w:p w:rsidR="009E72EA" w:rsidRPr="009E72EA" w:rsidRDefault="009E72EA" w:rsidP="009E72EA">
            <w:pPr>
              <w:tabs>
                <w:tab w:val="left" w:pos="0"/>
              </w:tabs>
              <w:ind w:left="0" w:firstLine="0"/>
              <w:rPr>
                <w:rFonts w:eastAsia="Calibri"/>
                <w:bCs/>
                <w:szCs w:val="22"/>
              </w:rPr>
            </w:pP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 xml:space="preserve">IEC 61850-9-2 SV ба IEC 61850-8-1 хэвлэгч ба захиалагч:Эдгээр стандартад нийцсэн гэж үзсэн хэрэг нь Сүлжээний Давхаргын протоколоор хангаагүй протоколын профайлаар дамжуулж тодорхой мессежийг илгээдэг/хүлээн авдаг.Иймээс эдгээр </w:t>
            </w:r>
            <w:r w:rsidRPr="009E72EA">
              <w:rPr>
                <w:rFonts w:eastAsia="Calibri"/>
                <w:bCs/>
                <w:szCs w:val="22"/>
              </w:rPr>
              <w:lastRenderedPageBreak/>
              <w:t>протоколууд нь чиглүүлэгчгүй бөгөөд А ангиллын шилжүүлэлт (traffic) гэж тооцогддог.Гэсэн хэдий ч энэхүү техникийн тайланд эдгээр багцуудыг B ангиллын шилжүүлэлт (traffic)хэлбэрээр дамжуулах механизмыг тайлбарласан болно.Эдгээр протоколууд нь баталгаажуулах ба зөвшөөрөлгүй хандалтыг илрүүлэхэд шаардлагатай криптографийн бүрэн бүтэн байдлыг хангадаггүй.Гэсэн хэдий ч IEC/TS 62351-6: 2007 нь шаардлагатай механизмыг тодорхойлсон.IEC/TS 62351-6: 2007-д тодорхойлсон механизм нь сонголттой тул эдгээр протоколуудыг шаардлагатай криптографийн бүрэн бүтэн байдал хангагдсан эсвэл хангагдаагүйгээр ашиглах боломжтой юм.</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Энэхүү техникийн тайланд IEC 61850-9-2 SV ба IEC 61850-8-1 GOOSE багцуудыг B ангиллын шилжүүлэлт (traffic)хэлбэрээр дамжуулах замаар стандартчилагдсан механизмыг тодорхойлсон. Энэхүү тайланд шаардлагатай криптографийн бүрэн бүтэн байдлыг хангах зайлшгүй механизмыг тодорхойлсон. Иймд:</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IEC/TS 62351-6: 2007-ийг хэрэгжүүлэхгүй хэрэгжүүлэлтүүдийн хувьд анхны хэвлэгч ба захиалагч биш харин IEC/TR 61850-90-5 хэрэгжүүлэлтүүдийн хооронд криптографийн бүрэн бүтэн байдлыг хангаж өгдөг.</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 xml:space="preserve">IEC/TS 62351-6: 2007-ийг хэрэгжүүлдэг хэрэгжүүлэлтүүд бол криптографийн бүрэн бүтэн байдлын хоёр түвшин гардаг: нэг нь хэвлэгч ба захиалагчийн хооронд, нөгөө нь IEC/TR 61850-90-5 хоорондын хэрэгжүүлэлтүүд.Нэгдүгээр түвшний криптографийн бүрэн бүтэн байдлыг этернэт хэвлэгчид хангадаг (IEC/TS 62351-6: 2007 тутамд). Хоёрдох </w:t>
            </w:r>
            <w:r w:rsidRPr="009E72EA">
              <w:rPr>
                <w:rFonts w:eastAsia="Calibri"/>
                <w:bCs/>
                <w:szCs w:val="22"/>
              </w:rPr>
              <w:lastRenderedPageBreak/>
              <w:t>түвшний криптографийн бүрэн бүтэн байдлыг IEC/TR 61850-90-5-ээр хангаж өгдөг.</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Зураг 20-т ашигласан төрөл бүрийн криптографийн төгсгөлийн цэгүүд, протоколуудыг харуулав.Мөн зурагт төгсгөлийн цэгүүдийн хоорондох криптографийн бүрэн бүтэн байдлыг хангахад ашигласан техникийн үзүүлэлтүүдийг харуулав.</w:t>
            </w:r>
          </w:p>
          <w:p w:rsidR="009E72EA" w:rsidRPr="009E72EA" w:rsidRDefault="009E72EA" w:rsidP="009E72EA">
            <w:pPr>
              <w:tabs>
                <w:tab w:val="left" w:pos="0"/>
              </w:tabs>
              <w:ind w:left="0" w:firstLine="0"/>
              <w:rPr>
                <w:rFonts w:eastAsia="Calibri"/>
                <w:bCs/>
                <w:szCs w:val="22"/>
              </w:rPr>
            </w:pPr>
            <w:r w:rsidRPr="009E72EA">
              <w:rPr>
                <w:rFonts w:eastAsia="Calibri"/>
                <w:bCs/>
                <w:szCs w:val="22"/>
              </w:rPr>
              <w:t>Энэхүү цогц хандлага нь IEC/TR 61850-90-5-ийн төгсгөлөөс төгсгөлд криптографийн шууд хэрэгжүүлэлтүүдийг хангадаг.</w:t>
            </w:r>
          </w:p>
          <w:p w:rsidR="009E72EA" w:rsidRPr="009E72EA" w:rsidRDefault="009E72EA" w:rsidP="009E72EA">
            <w:pPr>
              <w:tabs>
                <w:tab w:val="left" w:pos="0"/>
              </w:tabs>
              <w:ind w:left="0" w:firstLine="0"/>
              <w:rPr>
                <w:rFonts w:eastAsia="Calibri"/>
                <w:bCs/>
                <w:szCs w:val="22"/>
              </w:rPr>
            </w:pPr>
            <w:r w:rsidRPr="009E72EA">
              <w:rPr>
                <w:rFonts w:eastAsia="Calibri"/>
                <w:bCs/>
                <w:szCs w:val="22"/>
              </w:rPr>
              <w:t>IEC/TR 61850-90-5-ийн төгсгөлөөс төгсгөлд шууд криптографийн ашиглах, багцуудыг Физик Аюулгүй Байдлын Периметрүүд (PSPs) болон олон тооны Цахим Аюулгүй Байдлын Периметрүүд (ESP) -ээр дамжуулж өгөх боломжийг олгодог. Бодит PSP буюу ESP-ийн бодит тодорхойлолтыг тодорхойлох хэрэгслийн удирдлага тодорхойлдог.Гэсэн хэдий ч ерөнхийд нь PSP ба ESP-ийн дараах жишээг харуулж болно.:</w:t>
            </w:r>
          </w:p>
          <w:p w:rsidR="009E72EA" w:rsidRPr="009E72EA" w:rsidRDefault="009E72EA" w:rsidP="009E72EA">
            <w:pPr>
              <w:tabs>
                <w:tab w:val="left" w:pos="0"/>
              </w:tabs>
              <w:ind w:left="0" w:firstLine="0"/>
              <w:rPr>
                <w:rFonts w:eastAsia="Calibri"/>
                <w:bCs/>
                <w:szCs w:val="22"/>
              </w:rPr>
            </w:pPr>
            <w:r w:rsidRPr="009E72EA">
              <w:rPr>
                <w:rFonts w:eastAsia="Calibri"/>
                <w:bCs/>
                <w:szCs w:val="22"/>
              </w:rPr>
              <w:t>Дэд станц: Энэ нь ихэвчлэн ESP буюу PSP гэж ангилагдахгүй, учир нь олон хэрэгслүүд PSP-д шаардлагатай хандалтыг удирдах/шалгах хэрэгслийг хангаж өгдөггүй (жишээ нь дэд станцын хүрээ нь PSP-г үүсгэдэггүй).Дэд станцын удирдлагын өрөөний гадна байрладаг дэд станцын төхөөрөмжүүдийг өөрсдийн PSP ба ESP гэж тооцож үзэх шаардлагатай байж болохыг анхаарна уу.</w:t>
            </w:r>
          </w:p>
          <w:p w:rsidR="009E72EA" w:rsidRPr="009E72EA" w:rsidRDefault="009E72EA" w:rsidP="009E72EA">
            <w:pPr>
              <w:tabs>
                <w:tab w:val="left" w:pos="0"/>
              </w:tabs>
              <w:ind w:left="0" w:firstLine="0"/>
              <w:rPr>
                <w:rFonts w:eastAsia="Calibri"/>
                <w:bCs/>
                <w:szCs w:val="22"/>
              </w:rPr>
            </w:pPr>
            <w:r w:rsidRPr="009E72EA">
              <w:rPr>
                <w:rFonts w:eastAsia="Calibri"/>
                <w:bCs/>
                <w:szCs w:val="22"/>
              </w:rPr>
              <w:t>Дэд станцын удирдлагын өрөө: Энэ нь ерөнхийдөө PSP ба ESP гэж тооцогддог.</w:t>
            </w:r>
          </w:p>
          <w:p w:rsidR="009E72EA" w:rsidRPr="009E72EA" w:rsidRDefault="009E72EA" w:rsidP="009E72EA">
            <w:pPr>
              <w:tabs>
                <w:tab w:val="left" w:pos="0"/>
              </w:tabs>
              <w:ind w:left="0" w:firstLine="0"/>
              <w:rPr>
                <w:rFonts w:eastAsia="Calibri"/>
                <w:bCs/>
                <w:szCs w:val="22"/>
              </w:rPr>
            </w:pPr>
            <w:r w:rsidRPr="009E72EA">
              <w:rPr>
                <w:rFonts w:eastAsia="Calibri"/>
                <w:bCs/>
                <w:szCs w:val="22"/>
              </w:rPr>
              <w:t>Удирдлагын өрөөнд байрладаггүй дэд станцын төхөөрөмжүүд: Тэдгээрийг ерөнхийдөө өөрсдийн PSP ба ESP гэж үзэх хэрэгтэй.</w:t>
            </w:r>
          </w:p>
          <w:p w:rsidR="009E72EA" w:rsidRPr="009E72EA" w:rsidRDefault="009E72EA" w:rsidP="009E72EA">
            <w:pPr>
              <w:tabs>
                <w:tab w:val="left" w:pos="0"/>
              </w:tabs>
              <w:ind w:left="0" w:firstLine="0"/>
              <w:rPr>
                <w:rFonts w:eastAsia="Calibri"/>
                <w:bCs/>
                <w:szCs w:val="22"/>
              </w:rPr>
            </w:pPr>
            <w:r w:rsidRPr="009E72EA">
              <w:rPr>
                <w:rFonts w:eastAsia="Calibri"/>
                <w:bCs/>
                <w:szCs w:val="22"/>
              </w:rPr>
              <w:lastRenderedPageBreak/>
              <w:t>Удирдлагын төв: Тэдгээрийг ерөнхийдөө өөрсдийн PSP ба ESP гэж үзэх хэрэгтэй.</w:t>
            </w:r>
          </w:p>
          <w:p w:rsidR="009E72EA" w:rsidRPr="009E72EA" w:rsidRDefault="009E72EA" w:rsidP="009E72EA">
            <w:pPr>
              <w:tabs>
                <w:tab w:val="left" w:pos="0"/>
              </w:tabs>
              <w:ind w:left="0" w:firstLine="0"/>
              <w:rPr>
                <w:rFonts w:eastAsia="Calibri"/>
                <w:bCs/>
                <w:szCs w:val="22"/>
              </w:rPr>
            </w:pPr>
            <w:r w:rsidRPr="009E72EA">
              <w:rPr>
                <w:rFonts w:eastAsia="Calibri"/>
                <w:bCs/>
                <w:szCs w:val="22"/>
              </w:rPr>
              <w:t>Аюулгүй байдлын үүднээс PSP/ESP-ийн хилийн дагуу солилцсон мессежнүүд нь эцсийн төгсгөлд криптографийн бүрэн бүтэн байдлыг шаарддаг.Гэсэн хэдий ч нууцлалын хэрэгцээ шаардлага нь ерөнхийдөө багц дамжуулах/хүргэх зам ба дамжуулж буй мэдээллийн мэдрэмжээр тодорхойлогддог.Хэрэв мэдээлэл нь өөр өөр түвшний итгэлцэл бүхий төгсгөлийн цэгүүдэд  хүрвэл мэдээллийн нууцлалыг мэдрэмж дээр үндэслэн тодорхойлох хэрэгтэй.</w:t>
            </w:r>
          </w:p>
          <w:p w:rsidR="009E72EA" w:rsidRPr="009E72EA" w:rsidRDefault="009E72EA" w:rsidP="009E72EA">
            <w:pPr>
              <w:tabs>
                <w:tab w:val="left" w:pos="0"/>
              </w:tabs>
              <w:ind w:left="0" w:firstLine="0"/>
              <w:rPr>
                <w:rFonts w:eastAsia="Calibri"/>
                <w:bCs/>
                <w:szCs w:val="22"/>
              </w:rPr>
            </w:pPr>
            <w:r w:rsidRPr="009E72EA">
              <w:rPr>
                <w:rFonts w:eastAsia="Calibri"/>
                <w:bCs/>
                <w:szCs w:val="22"/>
              </w:rPr>
              <w:t>Энэхүү стандарт нь харилцан холболттой төгсгөлийн системд (ж.нь, PMU-ууд, реленүүд, PDC-ууд гэх мэт) ба/буюу мэдээлэл дамжуулах завсрын системд (ж.нь чиглүүлэгчүүд) хэрэглэгдэх боломжтой нууцлалын технологийг ашиглахыг тодорхой заасан. Хэдийгээр энэхүү Техникийн тайланд төгсгөлийн системүүдэд нууцлалтыг тодорхой заасан нэмэлт механизмыг тусгасан боловч уг баримт бичиг нь завсрын системд мэдээлэл дамжуулах замыг сонгох боломжийг олгодог төдийгүй нууцлах боломжийг олгодог "зах" аюулгүй байдлын функцийг агуулдаг. Аюулгүй байдлын функцийг "зах" хангахын тулд:</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Энэхүү баримт бичиг нь завсрын систем (үүд) рүү шилжүүлэлтийг(traffic) баталгаажуулах механизмаар хангах.</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Төгсгөлийн системийн менежерийг найдвартай гэж үздэг</w:t>
            </w:r>
          </w:p>
          <w:p w:rsidR="009E72EA" w:rsidRPr="009E72EA" w:rsidRDefault="009E72EA" w:rsidP="009E72EA">
            <w:pPr>
              <w:tabs>
                <w:tab w:val="left" w:pos="0"/>
              </w:tabs>
              <w:ind w:left="0" w:firstLine="0"/>
              <w:rPr>
                <w:rFonts w:eastAsia="Calibri"/>
                <w:bCs/>
                <w:szCs w:val="22"/>
              </w:rPr>
            </w:pPr>
            <w:r w:rsidRPr="009E72EA">
              <w:rPr>
                <w:rFonts w:eastAsia="Calibri"/>
                <w:bCs/>
                <w:szCs w:val="22"/>
              </w:rPr>
              <w:t>Завсрын систем нь өгөгдсөн баталгаажуулалтын параметрүүд дээр үндэслэн шилжүүлэлт (traffic)(нууцлал, мэдээлэл дамжуулах замыг сонгох гэх мэт) дээр нэмэлт аюулгүй байдлын хамгаалалт нэмэх боломжтой.</w:t>
            </w:r>
          </w:p>
          <w:p w:rsidR="009E72EA" w:rsidRPr="009E72EA" w:rsidRDefault="009E72EA" w:rsidP="009E72EA">
            <w:pPr>
              <w:tabs>
                <w:tab w:val="left" w:pos="0"/>
              </w:tabs>
              <w:ind w:left="0" w:firstLine="0"/>
              <w:rPr>
                <w:rFonts w:eastAsia="Calibri"/>
                <w:bCs/>
                <w:szCs w:val="22"/>
              </w:rPr>
            </w:pPr>
            <w:r w:rsidRPr="009E72EA">
              <w:rPr>
                <w:rFonts w:eastAsia="Calibri"/>
                <w:bCs/>
                <w:szCs w:val="22"/>
              </w:rPr>
              <w:lastRenderedPageBreak/>
              <w:t>Аюулгүй байдлын нэмэлт функцийг хангаж байгаа завсрын системийг Захын Аюулгүй Байдлын Зангилаа (Edge Security Node)гэж нэрлэнэ.</w:t>
            </w:r>
          </w:p>
          <w:p w:rsidR="009E72EA" w:rsidRPr="009E72EA" w:rsidRDefault="009E72EA" w:rsidP="009E72EA">
            <w:pPr>
              <w:tabs>
                <w:tab w:val="left" w:pos="0"/>
              </w:tabs>
              <w:ind w:left="0" w:firstLine="0"/>
              <w:rPr>
                <w:rFonts w:eastAsia="Calibri"/>
                <w:bCs/>
                <w:szCs w:val="22"/>
              </w:rPr>
            </w:pPr>
            <w:r w:rsidRPr="009E72EA">
              <w:rPr>
                <w:rFonts w:eastAsia="Calibri"/>
                <w:bCs/>
                <w:szCs w:val="22"/>
              </w:rPr>
              <w:t>Захын Аюулгүй Байдлын Зангилааг (Edge Security Node)хангах өөр нэг нэмэлт аюулгүй байдлын хамгаалалт бол нууцлал юм. Энэ нь Захын Аюулгүй Байдлын Зангилааны (Edge Security Node)менежерээс хамаардаг боловч нууцлалыг хангах Захын Аюулгүй Байдлын Зангилааны (Edge Security Node)хүлээн зөвшөөрөгдсөн хоёр механизм байдаг:</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Edge Security Node нь шилжүүлэлтийг(traffic)нууцлах боломжийг олгодог.</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Аюулгүй байдлын загвар нь нууцлалын бодит механизмыг тодорхойлоогүй, харин Edge Security Node нь нууцлалын хэрэгцээг тодорхойлох боломжийг олгодог баталгаажуулалтын механизмыг тодорхойлдог.Ийнхүү шинэ технологи ашиглах боломжтой болоход тэдгээрийг ашиглах боломжтой болно.</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Edge Security Node нь өмнө ашиглаж байсан улаан бүс/ногоон бүсийн парадигмуудтай адил дамжуулалтын замыг сонгох/баталгаа өгөх боломжтой (жишээ нь, найдвартай мэдээлэл дамжуулах замыг сонгох).</w:t>
            </w:r>
          </w:p>
          <w:p w:rsidR="009E72EA" w:rsidRPr="009E72EA" w:rsidRDefault="009E72EA" w:rsidP="009E72EA">
            <w:pPr>
              <w:tabs>
                <w:tab w:val="left" w:pos="0"/>
              </w:tabs>
              <w:ind w:left="0" w:firstLine="0"/>
              <w:rPr>
                <w:rFonts w:eastAsia="Calibri"/>
                <w:bCs/>
                <w:szCs w:val="22"/>
              </w:rPr>
            </w:pP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Энэхүү баримт бичиг нь тоон гарын үсэг ашиглах замаар APDU-ийн баталгаажуулалт, бүрэн бүтэн байдлыг хангадаг.Хэдийгээр төгсгөлөөс төгсгөлд баталгаажуулалт ба шууд хамгаалалтаар хангах нь зүйтэй боловч хэд хэдэн APDU-ийг өөр нэг APDU-д багцуудыг дахин багцалсан тохиолдолд ийм хамгаалалтыг хангах боломжгүй.Ийм багцуудыг дахин багцлах нь ерөнхийдөө фазор </w:t>
            </w:r>
            <w:r w:rsidRPr="009E72EA">
              <w:rPr>
                <w:rFonts w:eastAsia="Calibri"/>
                <w:bCs/>
                <w:szCs w:val="22"/>
              </w:rPr>
              <w:lastRenderedPageBreak/>
              <w:t>өгөгдлийн хуримтлуулагч, Фазын гарц буюу өгөгдлийн хуримтлуулагчуудад тохиолдож болно.IEC/TS 62351-6: 2007-д суурилсан багцуудыг дахин багцлахдаа эдгээр багцад бүрэн бүтэн байдлын параметрүүдийг багцлах ёстой.</w:t>
            </w:r>
          </w:p>
          <w:p w:rsidR="009E72EA" w:rsidRPr="009E72EA" w:rsidRDefault="009E72EA" w:rsidP="009E72EA">
            <w:pPr>
              <w:tabs>
                <w:tab w:val="left" w:pos="0"/>
              </w:tabs>
              <w:ind w:left="0" w:firstLine="0"/>
              <w:rPr>
                <w:rFonts w:eastAsia="Calibri"/>
                <w:bCs/>
                <w:szCs w:val="22"/>
              </w:rPr>
            </w:pPr>
            <w:r w:rsidRPr="009E72EA">
              <w:rPr>
                <w:rFonts w:eastAsia="Calibri"/>
                <w:bCs/>
                <w:szCs w:val="22"/>
              </w:rPr>
              <w:t>Аюулгүй байдлын загвараас харахад завсрын системд (жишээ нь PDC гэх мэт) шалгалтыг дагаж мөрдөх үүрэгтэй ба багцуудыг дахин багцла хнайдвартай сүлжээ үүсдэг.</w:t>
            </w:r>
          </w:p>
        </w:tc>
        <w:tc>
          <w:tcPr>
            <w:tcW w:w="4672" w:type="dxa"/>
          </w:tcPr>
          <w:p w:rsidR="009E72EA" w:rsidRPr="009E72EA" w:rsidRDefault="009E72EA" w:rsidP="009E72EA">
            <w:pPr>
              <w:tabs>
                <w:tab w:val="left" w:pos="0"/>
              </w:tabs>
              <w:ind w:left="0" w:firstLine="0"/>
              <w:rPr>
                <w:rFonts w:eastAsia="Calibri"/>
                <w:b/>
                <w:bCs/>
                <w:szCs w:val="22"/>
              </w:rPr>
            </w:pPr>
            <w:r w:rsidRPr="009E72EA">
              <w:rPr>
                <w:rFonts w:eastAsia="Calibri"/>
                <w:b/>
                <w:bCs/>
                <w:szCs w:val="22"/>
              </w:rPr>
              <w:lastRenderedPageBreak/>
              <w:t>7.5 TCP use</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The SV/R-SV service is based on periodic sending without recovery of lost messages. It is designed for high throughput rates and applications tolerating infrequent losses of single samples. In case that a loss of samples is critical, but the response times need not be deterministic,  the  following  mechanisms  can   be   used:   the   reporting   mechanism   of IEC 61850-7-2 and IEC 61850-8-1 can be used; in the case of needed high sample rates  around a specific event, the disturbance recording feature with later file transfer, or a retransmission of the original packet (see Annex H) can be utilized. </w:t>
            </w:r>
          </w:p>
          <w:p w:rsidR="009E72EA" w:rsidRPr="009E72EA" w:rsidRDefault="009E72EA" w:rsidP="009E72EA">
            <w:pPr>
              <w:tabs>
                <w:tab w:val="left" w:pos="0"/>
              </w:tabs>
              <w:ind w:left="0" w:firstLine="0"/>
              <w:rPr>
                <w:rFonts w:eastAsia="Calibri"/>
                <w:bCs/>
                <w:szCs w:val="22"/>
              </w:rPr>
            </w:pP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TCP based services are restricted to point-to-point associations between client and servers; however, they allow security by </w:t>
            </w:r>
            <w:r w:rsidRPr="009E72EA">
              <w:rPr>
                <w:rFonts w:eastAsia="Calibri"/>
                <w:bCs/>
                <w:szCs w:val="22"/>
              </w:rPr>
              <w:lastRenderedPageBreak/>
              <w:t>authentication as well as by encryption with existing means as needed.</w:t>
            </w:r>
          </w:p>
          <w:p w:rsidR="009E72EA" w:rsidRPr="009E72EA" w:rsidRDefault="009E72EA" w:rsidP="009E72EA">
            <w:pPr>
              <w:tabs>
                <w:tab w:val="left" w:pos="0"/>
              </w:tabs>
              <w:ind w:left="0" w:firstLine="0"/>
              <w:rPr>
                <w:rFonts w:eastAsia="Calibri"/>
                <w:bCs/>
                <w:szCs w:val="22"/>
              </w:rPr>
            </w:pPr>
          </w:p>
          <w:p w:rsidR="009E72EA" w:rsidRPr="009E72EA" w:rsidRDefault="009E72EA" w:rsidP="009E72EA">
            <w:pPr>
              <w:tabs>
                <w:tab w:val="left" w:pos="0"/>
              </w:tabs>
              <w:ind w:left="0" w:firstLine="0"/>
              <w:rPr>
                <w:rFonts w:eastAsia="Calibri"/>
                <w:b/>
                <w:bCs/>
                <w:szCs w:val="22"/>
              </w:rPr>
            </w:pPr>
            <w:r w:rsidRPr="009E72EA">
              <w:rPr>
                <w:rFonts w:eastAsia="Calibri"/>
                <w:b/>
                <w:bCs/>
                <w:szCs w:val="22"/>
              </w:rPr>
              <w:t>8 Security model</w:t>
            </w:r>
          </w:p>
          <w:p w:rsidR="009E72EA" w:rsidRPr="009E72EA" w:rsidRDefault="009E72EA" w:rsidP="009E72EA">
            <w:pPr>
              <w:tabs>
                <w:tab w:val="left" w:pos="0"/>
              </w:tabs>
              <w:ind w:left="0" w:firstLine="0"/>
              <w:rPr>
                <w:rFonts w:eastAsia="Calibri"/>
                <w:b/>
                <w:bCs/>
                <w:szCs w:val="22"/>
              </w:rPr>
            </w:pPr>
            <w:r w:rsidRPr="009E72EA">
              <w:rPr>
                <w:rFonts w:eastAsia="Calibri"/>
                <w:b/>
                <w:bCs/>
                <w:szCs w:val="22"/>
              </w:rPr>
              <w:t>8.1 General</w:t>
            </w:r>
          </w:p>
          <w:p w:rsidR="009E72EA" w:rsidRPr="009E72EA" w:rsidRDefault="009E72EA" w:rsidP="009E72EA">
            <w:pPr>
              <w:tabs>
                <w:tab w:val="left" w:pos="0"/>
              </w:tabs>
              <w:ind w:left="0" w:firstLine="0"/>
              <w:rPr>
                <w:rFonts w:eastAsia="Calibri"/>
                <w:bCs/>
                <w:szCs w:val="22"/>
              </w:rPr>
            </w:pPr>
            <w:r w:rsidRPr="009E72EA">
              <w:rPr>
                <w:rFonts w:eastAsia="Calibri"/>
                <w:bCs/>
                <w:szCs w:val="22"/>
              </w:rPr>
              <w:t>The security model, for IEC/TR 61850-90-5, provides security functions based upon the security threats and security functions found in IEC/TS 62351-1 and IEC 62351-2.</w:t>
            </w:r>
          </w:p>
          <w:p w:rsidR="009E72EA" w:rsidRPr="009E72EA" w:rsidRDefault="009E72EA" w:rsidP="009E72EA">
            <w:pPr>
              <w:tabs>
                <w:tab w:val="left" w:pos="0"/>
              </w:tabs>
              <w:ind w:left="0" w:firstLine="0"/>
              <w:rPr>
                <w:rFonts w:eastAsia="Calibri"/>
                <w:bCs/>
                <w:szCs w:val="22"/>
              </w:rPr>
            </w:pPr>
            <w:r w:rsidRPr="009E72EA">
              <w:rPr>
                <w:rFonts w:eastAsia="Calibri"/>
                <w:bCs/>
                <w:szCs w:val="22"/>
              </w:rPr>
              <w:t>Several aspects of security are addressed within this document with the following basic assumptions:</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information authentication and integrity (e.g. the ability to provide tamper detection) is needed;</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confidentiality is optional.</w:t>
            </w:r>
          </w:p>
          <w:p w:rsidR="009E72EA" w:rsidRPr="009E72EA" w:rsidRDefault="009E72EA" w:rsidP="009E72EA">
            <w:pPr>
              <w:tabs>
                <w:tab w:val="left" w:pos="0"/>
              </w:tabs>
              <w:ind w:left="0" w:firstLine="0"/>
              <w:rPr>
                <w:rFonts w:eastAsia="Calibri"/>
                <w:bCs/>
                <w:szCs w:val="22"/>
              </w:rPr>
            </w:pPr>
            <w:r w:rsidRPr="009E72EA">
              <w:rPr>
                <w:rFonts w:eastAsia="Calibri"/>
                <w:bCs/>
                <w:szCs w:val="22"/>
              </w:rPr>
              <w:t>Theoretically, information authentication and integrity should be provided in an end-to-end method, regardless of information hierarchies. The typical method to provide this security function is through some type of information/message authentication code.</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IEC/TS 62351-6 specifies the use of digital signatures using  asymmetric cryptography. </w:t>
            </w:r>
          </w:p>
          <w:p w:rsidR="009E72EA" w:rsidRPr="009E72EA" w:rsidRDefault="009E72EA" w:rsidP="009E72EA">
            <w:pPr>
              <w:tabs>
                <w:tab w:val="left" w:pos="0"/>
              </w:tabs>
              <w:ind w:left="0" w:firstLine="0"/>
              <w:rPr>
                <w:rFonts w:eastAsia="Calibri"/>
                <w:bCs/>
                <w:szCs w:val="22"/>
              </w:rPr>
            </w:pPr>
            <w:r w:rsidRPr="009E72EA">
              <w:rPr>
                <w:rFonts w:eastAsia="Calibri"/>
                <w:bCs/>
                <w:szCs w:val="22"/>
              </w:rPr>
              <w:t>However, concerns about the impact of this specific technology in terms of cost and CPU performance given the current class of hardware found in PMUs, Relays and Merging Units today have been expressed. These concerns increase as the messaging rates for Sample Values increases. Therefore, the security model needs to take performance issues  into  account for use of the profiles/technologies specified within this document. This document provides specifications for both asymmetric  and  symmetric key authentication/MAC creation  as well as symmetric key encryption. The encryption is used to provide optional confidentiality.</w:t>
            </w:r>
          </w:p>
          <w:p w:rsidR="009E72EA" w:rsidRPr="009E72EA" w:rsidRDefault="009E72EA" w:rsidP="009E72EA">
            <w:pPr>
              <w:tabs>
                <w:tab w:val="left" w:pos="0"/>
              </w:tabs>
              <w:ind w:left="0" w:firstLine="0"/>
              <w:rPr>
                <w:rFonts w:eastAsia="Calibri"/>
                <w:bCs/>
                <w:szCs w:val="22"/>
              </w:rPr>
            </w:pPr>
            <w:r w:rsidRPr="009E72EA">
              <w:rPr>
                <w:rFonts w:eastAsia="Calibri"/>
                <w:bCs/>
                <w:szCs w:val="22"/>
              </w:rPr>
              <w:lastRenderedPageBreak/>
              <w:t>There are two explicit uses for the mapping of the SampledValues Application Protocol Data Unit (APDU) within this document. The APDU will be used to carry at least two types of information: CT/PT information per IEC 61850-7-2 and Synchronized Measured Values per IEEE C37.118.1. The messaging rates of these two types of data are different:</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CT/PT Information messaging rates can range from 50-256 messages/cycle and can consume approximately 7,2 to 34,6 Mbits/second, or more, of Local Area Network traffic.</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Synchronized Measured Values messaging rates  can  range from 1 to 240 messages/second.</w:t>
            </w:r>
          </w:p>
          <w:p w:rsidR="009E72EA" w:rsidRPr="009E72EA" w:rsidRDefault="009E72EA" w:rsidP="009E72EA">
            <w:pPr>
              <w:tabs>
                <w:tab w:val="left" w:pos="0"/>
              </w:tabs>
              <w:ind w:left="0" w:firstLine="0"/>
              <w:rPr>
                <w:rFonts w:eastAsia="Calibri"/>
                <w:bCs/>
                <w:szCs w:val="22"/>
              </w:rPr>
            </w:pPr>
            <w:r w:rsidRPr="009E72EA">
              <w:rPr>
                <w:rFonts w:eastAsia="Calibri"/>
                <w:bCs/>
                <w:szCs w:val="22"/>
              </w:rPr>
              <w:t>Thus CT/PT information/communication requirements are approximately sixty (60) times greater than those of Synchronized Measured Values. This presumes a 50 Hz or  60  Hz nominal system. Based upon the messaging rates and types of information, different security requirements and classes of traffic can be developed:</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Intra-substation (Class A): This class of traffic is characterized by the exchange of high resolution waveform data within a substation. Intra-substation traffic should be capable of supporting both the CT/PT and Synchronized Measured Values. This requires a  light- weight mechanism for Authentication and Tamper Detection (e.g. to support the CT/PT maximum messaging rates).</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 xml:space="preserve">Inter-substation (Class B): This class of traffic is characterized by the exchange of moderate resolution waveform  data between different  geographic locations. Inter- substation traffic allows Synchronized Measured Value information to be exchanged between different endpoints. Such </w:t>
            </w:r>
            <w:r w:rsidRPr="009E72EA">
              <w:rPr>
                <w:rFonts w:eastAsia="Calibri"/>
                <w:bCs/>
                <w:szCs w:val="22"/>
              </w:rPr>
              <w:lastRenderedPageBreak/>
              <w:t>endpoints include, but are not limited to, other substations and control centers.</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An optional encryption functionality is specified in order to provide confidentiality for this type of traffic, in addition to the Authentication and Tamper Detection.</w:t>
            </w:r>
          </w:p>
          <w:p w:rsidR="009E72EA" w:rsidRPr="009E72EA" w:rsidRDefault="009E72EA" w:rsidP="009E72EA">
            <w:pPr>
              <w:tabs>
                <w:tab w:val="left" w:pos="0"/>
              </w:tabs>
              <w:ind w:left="0" w:firstLine="0"/>
              <w:rPr>
                <w:rFonts w:eastAsia="Calibri"/>
                <w:bCs/>
                <w:szCs w:val="22"/>
              </w:rPr>
            </w:pPr>
            <w:r w:rsidRPr="009E72EA">
              <w:rPr>
                <w:rFonts w:eastAsia="Calibri"/>
                <w:bCs/>
                <w:szCs w:val="22"/>
              </w:rPr>
              <w:t>Based upon the security requirements defined above, this technical report defines a means of message Authentication and Tamper detection regardless of the route of the message. The base security construct used to provide these types of security functions also provides the integrity of the selected security mechanisms on an end-to-end basis. Within the context of  this technical report, several different types of endpoints have been identified:</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IEC 61850-9-2 SV and IEC 61850-8-1 publishers and subscribers: Implementations  claiming conformance to these standards send/receive the prescribed messages via protocol profiles that do not provide a Network Layer protocol. As such, these protocols do not inherently provide routing capability and would otherwise be considered ClassA traffic. However, this technical report specifies a mechanism to forward these packets as ClassB traffic. These  protocols  do not provide  the  cryptographic integrity required for Authentication or Tamper Detection. However, IEC/TS 62351-6:2007 does specify the required mechanism. As the mechanism specified in IEC/TS 62351-6:2007 is optional, it is possible to use these protocols with or without the needed cryptographic integrity.</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 xml:space="preserve">This technical report specifies a standardized mechanism to route IEC 61850-9-2 SV and IEC 61850-8-1 GOOSE packets by forwarding them as ClassB traffic. This report specifies  a mandatory </w:t>
            </w:r>
            <w:r w:rsidRPr="009E72EA">
              <w:rPr>
                <w:rFonts w:eastAsia="Calibri"/>
                <w:bCs/>
                <w:szCs w:val="22"/>
              </w:rPr>
              <w:lastRenderedPageBreak/>
              <w:t>mechanism to provide the needed cryptographic integrity. Therefore:</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For implementations that do not implement IEC/TS 62351-6:2007, cryptographic integrity is provided between the IEC/TR 61850-90-5 implementations and not the original publisher and subscriber.</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For implementations that implement IEC/TS 62351-6:2007, two levels of cryptographic integrity occur: one between the publisher and subscriber and another between the IEC/TR 61850-90-5 implementations. The first level of cryptographic integrity is provided by Ethernet publishers (per IEC/TS 62351-6:2007). The second level of cryptographic integrity is provided by IEC/TR 61850-90-5.</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Figure 20 shows the various cryptographic endpoints, protocols used. Additionally, the figure shows the specifications used to provide the cryptographic integrity between the endpoints.</w:t>
            </w:r>
          </w:p>
          <w:p w:rsidR="009E72EA" w:rsidRPr="009E72EA" w:rsidRDefault="009E72EA" w:rsidP="009E72EA">
            <w:pPr>
              <w:tabs>
                <w:tab w:val="left" w:pos="0"/>
              </w:tabs>
              <w:ind w:left="0" w:firstLine="0"/>
              <w:rPr>
                <w:rFonts w:eastAsia="Calibri"/>
                <w:bCs/>
                <w:szCs w:val="22"/>
              </w:rPr>
            </w:pPr>
            <w:r w:rsidRPr="009E72EA">
              <w:rPr>
                <w:rFonts w:eastAsia="Calibri"/>
                <w:bCs/>
                <w:szCs w:val="22"/>
              </w:rPr>
              <w:t>This enveloping approach provides implementations of IEC/TR 61850-90-5 inherent end-to-  end cryptographic integrity.</w:t>
            </w:r>
          </w:p>
          <w:p w:rsidR="009E72EA" w:rsidRPr="009E72EA" w:rsidRDefault="009E72EA" w:rsidP="009E72EA">
            <w:pPr>
              <w:tabs>
                <w:tab w:val="left" w:pos="0"/>
              </w:tabs>
              <w:ind w:left="0" w:firstLine="0"/>
              <w:rPr>
                <w:rFonts w:eastAsia="Calibri"/>
                <w:bCs/>
                <w:szCs w:val="22"/>
              </w:rPr>
            </w:pPr>
            <w:r w:rsidRPr="009E72EA">
              <w:rPr>
                <w:rFonts w:eastAsia="Calibri"/>
                <w:bCs/>
                <w:szCs w:val="22"/>
              </w:rPr>
              <w:t>The use of end-to-end cryptographic integrity, within IEC/TR 61850-90-5, allows packets to be sent across multiple Physical Security Perimeters (PSPs) and multiple Electronic Security Perimeters (ESPs). The actual definition of an actual PSP or ESP is established by the governance of the defining utility. However, in general, the following examples of PSPs and ESPs can be shown:</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Substation: This would typically not be classified as an ESP or a  PSP due  to the fact that many utilities do not provide adequate access control/audit facilities </w:t>
            </w:r>
            <w:r w:rsidRPr="009E72EA">
              <w:rPr>
                <w:rFonts w:eastAsia="Calibri"/>
                <w:bCs/>
                <w:szCs w:val="22"/>
              </w:rPr>
              <w:lastRenderedPageBreak/>
              <w:t>that are typically required for a PSP (e.g. a Substation fence does not inherently create a PSP). Note that substation devices located outside the substation control house may need to be  considered their  own PSP and ESP.</w:t>
            </w:r>
          </w:p>
          <w:p w:rsidR="009E72EA" w:rsidRPr="009E72EA" w:rsidRDefault="009E72EA" w:rsidP="009E72EA">
            <w:pPr>
              <w:tabs>
                <w:tab w:val="left" w:pos="0"/>
              </w:tabs>
              <w:ind w:left="0" w:firstLine="0"/>
              <w:rPr>
                <w:rFonts w:eastAsia="Calibri"/>
                <w:bCs/>
                <w:szCs w:val="22"/>
              </w:rPr>
            </w:pPr>
            <w:r w:rsidRPr="009E72EA">
              <w:rPr>
                <w:rFonts w:eastAsia="Calibri"/>
                <w:bCs/>
                <w:szCs w:val="22"/>
              </w:rPr>
              <w:t>Substation Control House: This would typically be considered a PSP and ESP.</w:t>
            </w:r>
          </w:p>
          <w:p w:rsidR="009E72EA" w:rsidRPr="009E72EA" w:rsidRDefault="009E72EA" w:rsidP="009E72EA">
            <w:pPr>
              <w:tabs>
                <w:tab w:val="left" w:pos="0"/>
              </w:tabs>
              <w:ind w:left="0" w:firstLine="0"/>
              <w:rPr>
                <w:rFonts w:eastAsia="Calibri"/>
                <w:bCs/>
                <w:szCs w:val="22"/>
              </w:rPr>
            </w:pPr>
            <w:r w:rsidRPr="009E72EA">
              <w:rPr>
                <w:rFonts w:eastAsia="Calibri"/>
                <w:bCs/>
                <w:szCs w:val="22"/>
              </w:rPr>
              <w:t>Substation Devices not within the control house: These would typically need to be considered their own PSP and ESP.</w:t>
            </w:r>
          </w:p>
          <w:p w:rsidR="009E72EA" w:rsidRPr="009E72EA" w:rsidRDefault="009E72EA" w:rsidP="009E72EA">
            <w:pPr>
              <w:tabs>
                <w:tab w:val="left" w:pos="0"/>
              </w:tabs>
              <w:ind w:left="0" w:firstLine="0"/>
              <w:rPr>
                <w:rFonts w:eastAsia="Calibri"/>
                <w:bCs/>
                <w:szCs w:val="22"/>
              </w:rPr>
            </w:pPr>
            <w:r w:rsidRPr="009E72EA">
              <w:rPr>
                <w:rFonts w:eastAsia="Calibri"/>
                <w:bCs/>
                <w:szCs w:val="22"/>
              </w:rPr>
              <w:t>Control Center: These would typically need to be considered their own PSP and ESP.</w:t>
            </w:r>
          </w:p>
          <w:p w:rsidR="009E72EA" w:rsidRPr="009E72EA" w:rsidRDefault="009E72EA" w:rsidP="009E72EA">
            <w:pPr>
              <w:tabs>
                <w:tab w:val="left" w:pos="0"/>
              </w:tabs>
              <w:ind w:left="0" w:firstLine="0"/>
              <w:rPr>
                <w:rFonts w:eastAsia="Calibri"/>
                <w:bCs/>
                <w:szCs w:val="22"/>
              </w:rPr>
            </w:pPr>
            <w:r w:rsidRPr="009E72EA">
              <w:rPr>
                <w:rFonts w:eastAsia="Calibri"/>
                <w:bCs/>
                <w:szCs w:val="22"/>
              </w:rPr>
              <w:t>From a security perspective, messages exchanged across PSP/ESP boundaries require end- to-end cryptographic integrity. However, the need for confidentiality is typically determined by the path of the packet transmission/delivery and the sensitivity of the information being conveyed. If the information is accessible at endpoints that have varying levels of trust, the need for confidentiality would be determined based upon the sensitivity of the information.</w:t>
            </w:r>
          </w:p>
          <w:p w:rsidR="009E72EA" w:rsidRPr="009E72EA" w:rsidRDefault="009E72EA" w:rsidP="009E72EA">
            <w:pPr>
              <w:tabs>
                <w:tab w:val="left" w:pos="0"/>
              </w:tabs>
              <w:ind w:left="0" w:firstLine="0"/>
              <w:rPr>
                <w:rFonts w:eastAsia="Calibri"/>
                <w:bCs/>
                <w:szCs w:val="22"/>
              </w:rPr>
            </w:pPr>
            <w:r w:rsidRPr="009E72EA">
              <w:rPr>
                <w:rFonts w:eastAsia="Calibri"/>
                <w:bCs/>
                <w:szCs w:val="22"/>
              </w:rPr>
              <w:t>This standard specifies the use of encryption technology that can be applied within the communicating end systems (e.g. PMUs, relays, PDCs, etc.) and/or between communication intermediate systems (e.g. routers). Although this Technical Report specifies an optional mechanism to provide encryption within the end systems, this document also implements the concept of “edge” security functions that allow intermediate systems  to  provide communication path selection, but also encryption capability. In order to provide “edge” security functionality:</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This document will provide a mechanism to authenticate traffic to the intermediate system(s).</w:t>
            </w:r>
          </w:p>
          <w:p w:rsidR="009E72EA" w:rsidRPr="009E72EA" w:rsidRDefault="009E72EA" w:rsidP="009E72EA">
            <w:pPr>
              <w:tabs>
                <w:tab w:val="left" w:pos="0"/>
              </w:tabs>
              <w:ind w:left="0" w:firstLine="0"/>
              <w:rPr>
                <w:rFonts w:eastAsia="Calibri"/>
                <w:bCs/>
                <w:szCs w:val="22"/>
              </w:rPr>
            </w:pPr>
            <w:r w:rsidRPr="009E72EA">
              <w:rPr>
                <w:rFonts w:eastAsia="Calibri"/>
                <w:bCs/>
                <w:szCs w:val="22"/>
              </w:rPr>
              <w:lastRenderedPageBreak/>
              <w:t>•</w:t>
            </w:r>
            <w:r w:rsidRPr="009E72EA">
              <w:rPr>
                <w:rFonts w:eastAsia="Calibri"/>
                <w:bCs/>
                <w:szCs w:val="22"/>
              </w:rPr>
              <w:tab/>
              <w:t>The manager of the intermediate system is assumed to be trusted.</w:t>
            </w:r>
          </w:p>
          <w:p w:rsidR="009E72EA" w:rsidRPr="009E72EA" w:rsidRDefault="009E72EA" w:rsidP="009E72EA">
            <w:pPr>
              <w:tabs>
                <w:tab w:val="left" w:pos="0"/>
              </w:tabs>
              <w:ind w:left="0" w:firstLine="0"/>
              <w:rPr>
                <w:rFonts w:eastAsia="Calibri"/>
                <w:bCs/>
                <w:szCs w:val="22"/>
              </w:rPr>
            </w:pPr>
            <w:r w:rsidRPr="009E72EA">
              <w:rPr>
                <w:rFonts w:eastAsia="Calibri"/>
                <w:bCs/>
                <w:szCs w:val="22"/>
              </w:rPr>
              <w:t>The intermediate system is capable of adding additional security protection to the traffic (e.g. confidentiality, communication path selection, etc.) based upon the authentication parameters provided.</w:t>
            </w:r>
          </w:p>
          <w:p w:rsidR="009E72EA" w:rsidRPr="009E72EA" w:rsidRDefault="009E72EA" w:rsidP="009E72EA">
            <w:pPr>
              <w:tabs>
                <w:tab w:val="left" w:pos="0"/>
              </w:tabs>
              <w:ind w:left="0" w:firstLine="0"/>
              <w:rPr>
                <w:rFonts w:eastAsia="Calibri"/>
                <w:bCs/>
                <w:szCs w:val="22"/>
              </w:rPr>
            </w:pPr>
            <w:r w:rsidRPr="009E72EA">
              <w:rPr>
                <w:rFonts w:eastAsia="Calibri"/>
                <w:bCs/>
                <w:szCs w:val="22"/>
              </w:rPr>
              <w:t>An intermediate system that provides this  additional security functionality will  be referred to as an Edge Security Node.</w:t>
            </w:r>
          </w:p>
          <w:p w:rsidR="009E72EA" w:rsidRPr="009E72EA" w:rsidRDefault="009E72EA" w:rsidP="009E72EA">
            <w:pPr>
              <w:tabs>
                <w:tab w:val="left" w:pos="0"/>
              </w:tabs>
              <w:ind w:left="0" w:firstLine="0"/>
              <w:rPr>
                <w:rFonts w:eastAsia="Calibri"/>
                <w:bCs/>
                <w:szCs w:val="22"/>
              </w:rPr>
            </w:pPr>
            <w:r w:rsidRPr="009E72EA">
              <w:rPr>
                <w:rFonts w:eastAsia="Calibri"/>
                <w:bCs/>
                <w:szCs w:val="22"/>
              </w:rPr>
              <w:t>One additional security protection an Edge Security Node might provide is confidentiality. Although it is up to the manager of the Edge Security Node, there are two recognized mechanisms for an Edge Security Node to provide confidentiality:</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The Edge Security Node can provide encryption of the traffic.</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The security model does not specify the actual mechanism for encryption, rather an authentication mechanism that would allow the Edge Security Node to identify the need for encryption. Thus, as new technologies become available, they can be deployed.</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The Edge Security Node can provide transmission path selection/assurance similar to the red-zone/green-zone paradigms used in the  past (e.g.  selection of a trusted communication path).</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This document provides for APDU authentication and integrity through the use of a digital signature. Although it is desirable to provide end-to-end authentication and integrity protection, such protection cannot be assured if the contents of multiple APDUs are repackaged into another APDU. Such repackaging may occur within Phasor Data Concentrators, Phasor Gateway, or data concentrators, in general. The repackaging of IEC/TS 62351-6:2007 </w:t>
            </w:r>
            <w:r w:rsidRPr="009E72EA">
              <w:rPr>
                <w:rFonts w:eastAsia="Calibri"/>
                <w:bCs/>
                <w:szCs w:val="22"/>
              </w:rPr>
              <w:lastRenderedPageBreak/>
              <w:t>based packets should include the integrity parameters in those packets.</w:t>
            </w:r>
          </w:p>
          <w:p w:rsidR="009E72EA" w:rsidRPr="009E72EA" w:rsidRDefault="009E72EA" w:rsidP="009E72EA">
            <w:pPr>
              <w:tabs>
                <w:tab w:val="left" w:pos="0"/>
              </w:tabs>
              <w:ind w:left="0" w:firstLine="0"/>
              <w:rPr>
                <w:rFonts w:eastAsia="Calibri"/>
                <w:bCs/>
                <w:szCs w:val="22"/>
              </w:rPr>
            </w:pPr>
            <w:r w:rsidRPr="009E72EA">
              <w:rPr>
                <w:rFonts w:eastAsia="Calibri"/>
                <w:bCs/>
                <w:szCs w:val="22"/>
              </w:rPr>
              <w:t>From a security model perspective, it becomes incumbent upon the intermediate systems (e.g. PDC, etc.) to provide an audit trail and chain of trust capability should repackaging occur.</w:t>
            </w:r>
          </w:p>
        </w:tc>
      </w:tr>
    </w:tbl>
    <w:p w:rsidR="009E72EA" w:rsidRDefault="009E72EA" w:rsidP="00811BEA">
      <w:pPr>
        <w:ind w:left="0" w:firstLine="0"/>
        <w:jc w:val="center"/>
        <w:rPr>
          <w:b/>
        </w:rPr>
      </w:pPr>
    </w:p>
    <w:p w:rsidR="009E72EA" w:rsidRDefault="009E72EA" w:rsidP="00811BEA">
      <w:pPr>
        <w:ind w:left="0" w:firstLine="0"/>
        <w:jc w:val="center"/>
        <w:rPr>
          <w:b/>
        </w:rPr>
      </w:pPr>
      <w:r>
        <w:rPr>
          <w:noProof/>
          <w:lang w:val="en-US"/>
        </w:rPr>
        <w:drawing>
          <wp:inline distT="0" distB="0" distL="0" distR="0" wp14:anchorId="0D8B0DC3" wp14:editId="2314B463">
            <wp:extent cx="5248275" cy="103822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48275" cy="1038225"/>
                    </a:xfrm>
                    <a:prstGeom prst="rect">
                      <a:avLst/>
                    </a:prstGeom>
                  </pic:spPr>
                </pic:pic>
              </a:graphicData>
            </a:graphic>
          </wp:inline>
        </w:drawing>
      </w:r>
    </w:p>
    <w:p w:rsidR="009E72EA" w:rsidRDefault="009E72EA" w:rsidP="00811BEA">
      <w:pPr>
        <w:ind w:left="0" w:firstLine="0"/>
        <w:jc w:val="center"/>
        <w:rPr>
          <w:b/>
        </w:rPr>
      </w:pPr>
      <w:r w:rsidRPr="009E72EA">
        <w:rPr>
          <w:b/>
        </w:rPr>
        <w:t>20</w:t>
      </w:r>
      <w:r>
        <w:rPr>
          <w:b/>
        </w:rPr>
        <w:t>-р зураг</w:t>
      </w:r>
      <w:r w:rsidRPr="009E72EA">
        <w:rPr>
          <w:b/>
        </w:rPr>
        <w:t xml:space="preserve"> – IEC 61850-9-2-ийн төгсгөлөөс төгсгөлд криптографийн шууд хэрэгжүүлэлт</w:t>
      </w:r>
    </w:p>
    <w:p w:rsidR="009E72EA" w:rsidRDefault="009E72EA" w:rsidP="00811BEA">
      <w:pPr>
        <w:ind w:left="0" w:firstLine="0"/>
        <w:jc w:val="center"/>
        <w:rPr>
          <w:b/>
        </w:rPr>
      </w:pPr>
      <w:r w:rsidRPr="009E72EA">
        <w:rPr>
          <w:b/>
        </w:rPr>
        <w:t>Figure 20 – End-to-end cryptographic integrity for IEC 61850-9-2 implementations</w:t>
      </w:r>
    </w:p>
    <w:tbl>
      <w:tblPr>
        <w:tblStyle w:val="TableGrid"/>
        <w:tblW w:w="0" w:type="auto"/>
        <w:tblLook w:val="04A0" w:firstRow="1" w:lastRow="0" w:firstColumn="1" w:lastColumn="0" w:noHBand="0" w:noVBand="1"/>
      </w:tblPr>
      <w:tblGrid>
        <w:gridCol w:w="4672"/>
        <w:gridCol w:w="4672"/>
      </w:tblGrid>
      <w:tr w:rsidR="009E72EA" w:rsidTr="009E72EA">
        <w:tc>
          <w:tcPr>
            <w:tcW w:w="4672" w:type="dxa"/>
          </w:tcPr>
          <w:p w:rsidR="009E72EA" w:rsidRPr="009E72EA" w:rsidRDefault="009E72EA" w:rsidP="009E72EA">
            <w:pPr>
              <w:tabs>
                <w:tab w:val="left" w:pos="0"/>
              </w:tabs>
              <w:ind w:left="0" w:firstLine="0"/>
              <w:rPr>
                <w:rFonts w:eastAsia="Calibri"/>
                <w:b/>
                <w:bCs/>
                <w:szCs w:val="22"/>
              </w:rPr>
            </w:pPr>
            <w:r w:rsidRPr="009E72EA">
              <w:rPr>
                <w:rFonts w:eastAsia="Calibri"/>
                <w:b/>
                <w:bCs/>
                <w:szCs w:val="22"/>
              </w:rPr>
              <w:t xml:space="preserve">8.2 Түлхүүр менежмент ба криптографийн дэмжлэг </w:t>
            </w:r>
          </w:p>
          <w:p w:rsidR="009E72EA" w:rsidRPr="009E72EA" w:rsidRDefault="009E72EA" w:rsidP="009E72EA">
            <w:pPr>
              <w:tabs>
                <w:tab w:val="left" w:pos="0"/>
              </w:tabs>
              <w:ind w:left="0" w:firstLine="0"/>
              <w:rPr>
                <w:rFonts w:eastAsia="Calibri"/>
                <w:bCs/>
                <w:szCs w:val="22"/>
              </w:rPr>
            </w:pPr>
            <w:r w:rsidRPr="009E72EA">
              <w:rPr>
                <w:rFonts w:eastAsia="Calibri"/>
                <w:bCs/>
                <w:szCs w:val="22"/>
              </w:rPr>
              <w:t>Түлхүүр менежмент ба криптографийн дэмжлэгийг дараах үйл ажиллагааг хангахын тулд загварчлах хэрэгтэй:</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Синхрофазорын мэдээллийг тасралтгүй солилцох боломжтой байх хэрэгтэй. Нууцлалт ба түлхүүр тэмдгүүдэд ашиглагддаг тоон түлхүүрүүд өөрчлөгдсөн байсан ч гэсэн энэхүү тасралтгүй дамжуулалтыг дэмжих хэрэгтэй.</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Синхрофазорын мэдээлэл нь холболтгүй сервис/протокол ашиглан, ерөнхийдөө multicast орчинд дамжуулагддаг.</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Тэгш хэмт бус ба тэгш хэмтэй криптографийн дэмжлэг хоёулаа шаардлагатай.</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Тэгш хэмтэй түлхүүрүүдийг дэмжих хэрэгцээтэй хосолсон multicast ашиглах нь Түлхүүр Түгээлтийн Төв (KDC) гэж нэрлэгддэг зүйлийг ашиглахыг </w:t>
            </w:r>
            <w:r w:rsidRPr="009E72EA">
              <w:rPr>
                <w:rFonts w:eastAsia="Calibri"/>
                <w:bCs/>
                <w:szCs w:val="22"/>
              </w:rPr>
              <w:lastRenderedPageBreak/>
              <w:t>шаарддаг.Энэ нь хэвлэгч ба захиалагчдын хооронд тэгш хэмтэй түлхүүр зохицуулалтыг хангадаг KDC юм.Хэрэгжүүлэх энгийн практик нь KDC нь олон хэвлэгч ба захиалагчдын зохицуулалтыг удирдах тусдаа бие даасан зангилаа болгон байрлуулна.Гэсэн хэдий ч ийм бие даасан нэгж хэсэг нь цомхотгох талаар санаа зовдог.Үүнээс гадна тусдаа KDC-ийг ашиглах нь мэдээллийг тасралтгүй хүргэхэд бэрхшээл учруулж болзошгүй юм.</w:t>
            </w:r>
          </w:p>
          <w:p w:rsidR="009E72EA" w:rsidRPr="009E72EA" w:rsidRDefault="009E72EA" w:rsidP="009E72EA">
            <w:pPr>
              <w:tabs>
                <w:tab w:val="left" w:pos="0"/>
              </w:tabs>
              <w:ind w:left="0" w:firstLine="0"/>
              <w:rPr>
                <w:rFonts w:eastAsia="Calibri"/>
                <w:bCs/>
                <w:szCs w:val="22"/>
              </w:rPr>
            </w:pPr>
            <w:r w:rsidRPr="009E72EA">
              <w:rPr>
                <w:rFonts w:eastAsia="Calibri"/>
                <w:bCs/>
                <w:szCs w:val="22"/>
              </w:rPr>
              <w:t>Тиймээс IEC/TR 61850-90-5-ийн хувьд KDC функц нь хэвлэгч IED буюу түүнтэй ижилхэн өөрийн KDC ба гадаад KDC функцийг ашиглахыг зөвшөөрнө. Энэ төхөөрөмж нь дараагийн түлхүүрээ хэзээ хэрэглэхээ тодорхойлж чаддаг тул IED өөрийн KDC функцийг хангаж буй нь ач холбогдолтой юм. Энэхүү ухаалаг байдлыг ашиглан хүлээгдэж буй түлхүүрийн өөрчлөлтийн талаар захиалагчдад мэдээлэх механизм нь захиалагчдад шинэ түлхүүрийг олж авахад хангалттай хугацаа өгөх бөгөөд ингэснээр түлхүүр өөрчлөлт хийхэд бэлэн болж, улмаар тасралтгүй мэдээлэл солилцох боломжийг олгодог. Үүнийг хэрэгжүүлэхийн тулд IEC/TR 61850-90-5 протоколд дараах зүйлийг шаарддаг:</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Хүлээгдэж буй түлхүүр өөрчлөлтүүдийн талаар захиалагчдад мэдээлэх механизмаар хангадаг.</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 xml:space="preserve">Энэ механизмыг TimetoNextKeyгоримын </w:t>
            </w:r>
            <w:r w:rsidRPr="009E72EA">
              <w:rPr>
                <w:rFonts w:eastAsia="Calibri" w:hint="eastAsia"/>
                <w:bCs/>
                <w:szCs w:val="22"/>
              </w:rPr>
              <w:t>сейшн</w:t>
            </w:r>
            <w:r w:rsidRPr="009E72EA">
              <w:rPr>
                <w:rFonts w:eastAsia="Calibri"/>
                <w:bCs/>
                <w:szCs w:val="22"/>
              </w:rPr>
              <w:t xml:space="preserve">  атрибутаар хангадаг (75-р хуудсыг үзнэ үү)</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Түлхүүр өөрчлөлт гарсан тухай захиалагчдад мэдэгдэх механизмаар хангадаг.</w:t>
            </w:r>
          </w:p>
          <w:p w:rsidR="009E72EA" w:rsidRPr="009E72EA" w:rsidRDefault="009E72EA" w:rsidP="009E72EA">
            <w:pPr>
              <w:tabs>
                <w:tab w:val="left" w:pos="0"/>
              </w:tabs>
              <w:ind w:left="0" w:firstLine="0"/>
              <w:rPr>
                <w:rFonts w:eastAsia="Calibri"/>
                <w:bCs/>
                <w:szCs w:val="22"/>
              </w:rPr>
            </w:pPr>
            <w:r w:rsidRPr="009E72EA">
              <w:rPr>
                <w:rFonts w:eastAsia="Calibri"/>
                <w:bCs/>
                <w:szCs w:val="22"/>
              </w:rPr>
              <w:lastRenderedPageBreak/>
              <w:t>•</w:t>
            </w:r>
            <w:r w:rsidRPr="009E72EA">
              <w:rPr>
                <w:rFonts w:eastAsia="Calibri"/>
                <w:bCs/>
                <w:szCs w:val="22"/>
              </w:rPr>
              <w:tab/>
              <w:t xml:space="preserve">Энэ механизмыг TimeofCurrentKey </w:t>
            </w:r>
            <w:r w:rsidRPr="009E72EA">
              <w:rPr>
                <w:rFonts w:eastAsia="Calibri" w:hint="eastAsia"/>
                <w:bCs/>
                <w:szCs w:val="22"/>
              </w:rPr>
              <w:t>сейшн</w:t>
            </w:r>
            <w:r w:rsidRPr="009E72EA">
              <w:rPr>
                <w:rFonts w:eastAsia="Calibri"/>
                <w:bCs/>
                <w:szCs w:val="22"/>
              </w:rPr>
              <w:t xml:space="preserve">  сейшн атрибутаар дамжуулан хангадаг (75-р хуудсыг үзнэ үү).</w:t>
            </w:r>
          </w:p>
          <w:p w:rsidR="009E72EA" w:rsidRPr="009E72EA" w:rsidRDefault="009E72EA" w:rsidP="009E72EA">
            <w:pPr>
              <w:tabs>
                <w:tab w:val="left" w:pos="0"/>
              </w:tabs>
              <w:ind w:left="0" w:firstLine="0"/>
              <w:rPr>
                <w:rFonts w:eastAsia="Calibri"/>
                <w:bCs/>
                <w:szCs w:val="22"/>
              </w:rPr>
            </w:pPr>
            <w:r w:rsidRPr="009E72EA">
              <w:rPr>
                <w:rFonts w:eastAsia="Calibri"/>
                <w:bCs/>
                <w:szCs w:val="22"/>
              </w:rPr>
              <w:t>Тэгш хэмт ба тэгш хэмт бус технологийг дэмжих ба ирээдүйд шинэ механизм ашиглах шаардлагыг хангахын тулд нууцлалт ба баталгаажуулах алгоритмуудыг дамжуулах механизмаар хангах хэрэгтэй. Энэ механизмийг нь SecurityAlgorithms сейшн   атрибут хангаж өгдөг. (75-р хуудсыг үзнэ үү).</w:t>
            </w:r>
          </w:p>
          <w:p w:rsidR="009E72EA" w:rsidRPr="009E72EA" w:rsidRDefault="009E72EA" w:rsidP="009E72EA">
            <w:pPr>
              <w:tabs>
                <w:tab w:val="left" w:pos="0"/>
              </w:tabs>
              <w:ind w:left="0" w:firstLine="0"/>
              <w:rPr>
                <w:rFonts w:eastAsia="Calibri"/>
                <w:bCs/>
                <w:szCs w:val="22"/>
              </w:rPr>
            </w:pPr>
            <w:r w:rsidRPr="009E72EA">
              <w:rPr>
                <w:rFonts w:eastAsia="Calibri"/>
                <w:bCs/>
                <w:szCs w:val="22"/>
              </w:rPr>
              <w:t>Хэвлэгч нь баталгаажуулах ба  нэмэлт нууцлалд ашигласан тэгш хэмт түлхүүрүүдийг тогтмол хугацаанд өөрчилж байхаар тохируулагдсан байх ёстой.Тэгш хэмтэй түлхүүрүүдийг дор хаяж дөчин найман (48) цаг тутамд өөрчлөхийг зөвлөж байна.Мөн тохиргоо нь TimetoNextKey-ийн хамгийн их ба хамгийн бага утгыг тодорхойлох боломжтой.Түлхүүрүүдийг тогтмол шинэчлэхэд хамгийн их утгыг ашиглана. Хамгийн бага утгыг түлхүүрүүдийг одоогийн түлхүүр алдагдсан тохиолдолд шинэчлэхэд ашиглана.Хэрэв ямар нэгэн тохиргоо хийгдэхгүй бол анхдагч утгууд нь дараах утгууд болно.:</w:t>
            </w:r>
          </w:p>
          <w:p w:rsidR="009E72EA" w:rsidRPr="009E72EA" w:rsidRDefault="009E72EA" w:rsidP="009E72EA">
            <w:pPr>
              <w:tabs>
                <w:tab w:val="left" w:pos="0"/>
              </w:tabs>
              <w:ind w:left="0" w:firstLine="0"/>
              <w:rPr>
                <w:rFonts w:eastAsia="Calibri"/>
                <w:bCs/>
                <w:szCs w:val="22"/>
              </w:rPr>
            </w:pPr>
            <w:r w:rsidRPr="009E72EA">
              <w:rPr>
                <w:rFonts w:eastAsia="Calibri"/>
                <w:bCs/>
                <w:szCs w:val="22"/>
              </w:rPr>
              <w:t>Хамгийн их утга:</w:t>
            </w:r>
            <w:r w:rsidRPr="009E72EA">
              <w:rPr>
                <w:rFonts w:eastAsia="Calibri"/>
                <w:bCs/>
                <w:szCs w:val="22"/>
              </w:rPr>
              <w:tab/>
              <w:t>48 ц (ж.нь. 2 880мин)</w:t>
            </w:r>
          </w:p>
          <w:p w:rsidR="009E72EA" w:rsidRPr="009E72EA" w:rsidRDefault="009E72EA" w:rsidP="009E72EA">
            <w:pPr>
              <w:tabs>
                <w:tab w:val="left" w:pos="0"/>
              </w:tabs>
              <w:ind w:left="0" w:firstLine="0"/>
              <w:rPr>
                <w:rFonts w:eastAsia="Calibri"/>
                <w:bCs/>
                <w:szCs w:val="22"/>
              </w:rPr>
            </w:pPr>
            <w:r w:rsidRPr="009E72EA">
              <w:rPr>
                <w:rFonts w:eastAsia="Calibri"/>
                <w:bCs/>
                <w:szCs w:val="22"/>
              </w:rPr>
              <w:t>Хамгийнбага утга:</w:t>
            </w:r>
            <w:r w:rsidRPr="009E72EA">
              <w:rPr>
                <w:rFonts w:eastAsia="Calibri"/>
                <w:bCs/>
                <w:szCs w:val="22"/>
              </w:rPr>
              <w:tab/>
              <w:t>30мин</w:t>
            </w:r>
          </w:p>
          <w:p w:rsidR="009E72EA" w:rsidRPr="009E72EA" w:rsidRDefault="009E72EA" w:rsidP="009E72EA">
            <w:pPr>
              <w:tabs>
                <w:tab w:val="left" w:pos="0"/>
              </w:tabs>
              <w:ind w:left="0" w:firstLine="0"/>
              <w:rPr>
                <w:rFonts w:eastAsia="Calibri"/>
                <w:bCs/>
                <w:szCs w:val="22"/>
              </w:rPr>
            </w:pPr>
            <w:r w:rsidRPr="009E72EA">
              <w:rPr>
                <w:rFonts w:eastAsia="Calibri"/>
                <w:bCs/>
                <w:szCs w:val="22"/>
              </w:rPr>
              <w:t>Утгыг минутад тодорхойлсон.</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Зураг 21-т түлхүүрийн хэрэглээтэй холбоотой хэвлэгч ба захиалагчдын харилцан үйлчлэлийг харуулав. Хэвлэгч нь шинэчлэх процессыг (T1) эхлүүлэхэд KDC функцэд шинэ түлхүүрийн эрхийг шилжүүлдэг. Хэвлэгч нь TimeToNextKey атрибутын утгыг тохируулдаг. Минутад нэг удаа хэвлэгч нь TimeToNextKey тэг (0) утгатай болсон эсэхийг шалгана.Хэрэв үгүй бол утга буурна. Хэрэв утга тэг бол шинэ </w:t>
            </w:r>
            <w:r w:rsidRPr="009E72EA">
              <w:rPr>
                <w:rFonts w:eastAsia="Calibri"/>
                <w:bCs/>
                <w:szCs w:val="22"/>
              </w:rPr>
              <w:lastRenderedPageBreak/>
              <w:t>түлхүүрийг одоогийн түлхүүр болгон ашиглаж эхлэх ба TimeOfCurrentKey нь одоогийн хугацааны тэмдэгттэй шинэчлэгдэнэ.</w:t>
            </w:r>
          </w:p>
          <w:p w:rsidR="009E72EA" w:rsidRPr="009E72EA" w:rsidRDefault="009E72EA" w:rsidP="009E72EA">
            <w:pPr>
              <w:tabs>
                <w:tab w:val="left" w:pos="0"/>
              </w:tabs>
              <w:ind w:left="0" w:firstLine="0"/>
              <w:rPr>
                <w:rFonts w:eastAsia="Calibri"/>
                <w:bCs/>
                <w:szCs w:val="22"/>
              </w:rPr>
            </w:pPr>
            <w:r w:rsidRPr="009E72EA">
              <w:rPr>
                <w:rFonts w:eastAsia="Calibri"/>
                <w:bCs/>
                <w:szCs w:val="22"/>
              </w:rPr>
              <w:t>Захиалагч эерэг TimeToNextKey утгыг илрүүлэх ба захиалагч нь KDC-тэй харилцан үйлчлэлцэж дараагийн түлхүүрийг авна.Захиалагч дараа нь TimeOfordamentKey утга өөрчлөгдөх хүртэл хүлээнэ.Өөрчлөгдсөн утгатай PDU нь өмнөх түлхүүрээ одоогийн түлхүүр болгон ашигласан анхны PDU байх ёстой.</w:t>
            </w:r>
          </w:p>
        </w:tc>
        <w:tc>
          <w:tcPr>
            <w:tcW w:w="4672" w:type="dxa"/>
          </w:tcPr>
          <w:p w:rsidR="009E72EA" w:rsidRPr="009E72EA" w:rsidRDefault="009E72EA" w:rsidP="009E72EA">
            <w:pPr>
              <w:tabs>
                <w:tab w:val="left" w:pos="0"/>
              </w:tabs>
              <w:ind w:left="0" w:firstLine="0"/>
              <w:rPr>
                <w:rFonts w:eastAsia="Calibri"/>
                <w:b/>
                <w:bCs/>
                <w:szCs w:val="22"/>
              </w:rPr>
            </w:pPr>
            <w:r w:rsidRPr="009E72EA">
              <w:rPr>
                <w:rFonts w:eastAsia="Calibri"/>
                <w:b/>
                <w:bCs/>
                <w:szCs w:val="22"/>
              </w:rPr>
              <w:lastRenderedPageBreak/>
              <w:t>8.2 Key management and cryptographic support</w:t>
            </w:r>
          </w:p>
          <w:p w:rsidR="009E72EA" w:rsidRPr="009E72EA" w:rsidRDefault="009E72EA" w:rsidP="009E72EA">
            <w:pPr>
              <w:tabs>
                <w:tab w:val="left" w:pos="0"/>
              </w:tabs>
              <w:ind w:left="0" w:firstLine="0"/>
              <w:rPr>
                <w:rFonts w:eastAsia="Calibri"/>
                <w:bCs/>
                <w:szCs w:val="22"/>
              </w:rPr>
            </w:pPr>
            <w:r w:rsidRPr="009E72EA">
              <w:rPr>
                <w:rFonts w:eastAsia="Calibri"/>
                <w:bCs/>
                <w:szCs w:val="22"/>
              </w:rPr>
              <w:t>Key management and cryptographic support needs to be designed to provide the following functionality:</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Synchrophasor information needs to be able to be exchanged in an uninterrupted fashion. This continuous delivery needs to be supported even if the digital keys,  used  for  encryption and signatures, are changed.</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Synchrophasor information is delivered using connectionless services/protocols and typically in a multicast environment.</w:t>
            </w:r>
          </w:p>
          <w:p w:rsidR="009E72EA" w:rsidRPr="009E72EA" w:rsidRDefault="009E72EA" w:rsidP="009E72EA">
            <w:pPr>
              <w:tabs>
                <w:tab w:val="left" w:pos="0"/>
              </w:tabs>
              <w:ind w:left="0" w:firstLine="0"/>
              <w:rPr>
                <w:rFonts w:eastAsia="Calibri"/>
                <w:bCs/>
                <w:szCs w:val="22"/>
              </w:rPr>
            </w:pPr>
            <w:r w:rsidRPr="009E72EA">
              <w:rPr>
                <w:rFonts w:eastAsia="Calibri"/>
                <w:bCs/>
                <w:szCs w:val="22"/>
              </w:rPr>
              <w:t>•</w:t>
            </w:r>
            <w:r w:rsidRPr="009E72EA">
              <w:rPr>
                <w:rFonts w:eastAsia="Calibri"/>
                <w:bCs/>
                <w:szCs w:val="22"/>
              </w:rPr>
              <w:tab/>
              <w:t>Both asymmetric and symmetric cryptographic support is desired.</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The use of multicast, coupled with the need to support symmetric keys, requires the use of  what is known as a Key Distribution Center (KDC). It is the KDC that  provides the symmetric key coordination between the publisher and </w:t>
            </w:r>
            <w:r w:rsidRPr="009E72EA">
              <w:rPr>
                <w:rFonts w:eastAsia="Calibri"/>
                <w:bCs/>
                <w:szCs w:val="22"/>
              </w:rPr>
              <w:lastRenderedPageBreak/>
              <w:t>subscribers. Normal implementation  practice would have the KDC deployed as a  separate standalone node that manages the coordination for multiple publishers and subscribers. However, such a standalone entity raises concerns regarding redundancy. Additionally, the use of separate KDCs can cause issues in providing the un-interrupted delivery of information</w:t>
            </w:r>
          </w:p>
          <w:p w:rsidR="009E72EA" w:rsidRPr="009E72EA" w:rsidRDefault="009E72EA" w:rsidP="009E72EA">
            <w:pPr>
              <w:tabs>
                <w:tab w:val="left" w:pos="0"/>
              </w:tabs>
              <w:ind w:left="0" w:firstLine="0"/>
              <w:rPr>
                <w:rFonts w:eastAsia="Calibri"/>
                <w:bCs/>
                <w:szCs w:val="22"/>
              </w:rPr>
            </w:pPr>
            <w:r w:rsidRPr="009E72EA">
              <w:rPr>
                <w:rFonts w:eastAsia="Calibri"/>
                <w:bCs/>
                <w:szCs w:val="22"/>
              </w:rPr>
              <w:t>Therefore, the KDC function, for IEC/TR 61850-90-5, shall allow the publishing IED, or equivalent, to be its own KDC or to use an external KDC function. There is a benefit in having the IED providing its own KDC function in  that the device can determine when to  apply the  next key. Given this intelligence, a mechanism for informing the subscribers of an impending key change can allow the subscribers enough time to acquire the new key thereby being prepared for the key change and thus allowing continuous information exchange. In order to accomplish this, the IEC/TR 61850-90-5 protocol needs to:</w:t>
            </w:r>
          </w:p>
          <w:p w:rsidR="009E72EA" w:rsidRPr="009E72EA" w:rsidRDefault="009E72EA" w:rsidP="00472036">
            <w:pPr>
              <w:pStyle w:val="ListParagraph"/>
              <w:numPr>
                <w:ilvl w:val="0"/>
                <w:numId w:val="14"/>
              </w:numPr>
              <w:tabs>
                <w:tab w:val="left" w:pos="0"/>
              </w:tabs>
              <w:spacing w:after="0"/>
              <w:ind w:left="0" w:firstLine="0"/>
              <w:rPr>
                <w:rFonts w:eastAsia="Calibri"/>
                <w:bCs/>
                <w:szCs w:val="22"/>
              </w:rPr>
            </w:pPr>
            <w:r w:rsidRPr="009E72EA">
              <w:rPr>
                <w:rFonts w:eastAsia="Calibri"/>
                <w:bCs/>
                <w:szCs w:val="22"/>
              </w:rPr>
              <w:t>Provide a mechanism to inform the subscribers of an impending key change.</w:t>
            </w:r>
          </w:p>
          <w:p w:rsidR="009E72EA" w:rsidRPr="009E72EA" w:rsidRDefault="009E72EA" w:rsidP="00472036">
            <w:pPr>
              <w:pStyle w:val="ListParagraph"/>
              <w:numPr>
                <w:ilvl w:val="0"/>
                <w:numId w:val="14"/>
              </w:numPr>
              <w:tabs>
                <w:tab w:val="left" w:pos="0"/>
              </w:tabs>
              <w:spacing w:after="0"/>
              <w:ind w:left="0" w:firstLine="0"/>
              <w:rPr>
                <w:rFonts w:eastAsia="Calibri"/>
                <w:bCs/>
                <w:szCs w:val="22"/>
              </w:rPr>
            </w:pPr>
            <w:r w:rsidRPr="009E72EA">
              <w:rPr>
                <w:rFonts w:eastAsia="Calibri"/>
                <w:bCs/>
                <w:szCs w:val="22"/>
              </w:rPr>
              <w:t xml:space="preserve">This mechanism is provideАdлбtаhнrхoэuрэgгhцээthндe: attribute (see page </w:t>
            </w:r>
            <w:hyperlink w:anchor="_bookmark45" w:history="1">
              <w:r w:rsidRPr="009E72EA">
                <w:rPr>
                  <w:rFonts w:eastAsia="Calibri"/>
                  <w:bCs/>
                  <w:szCs w:val="22"/>
                </w:rPr>
                <w:t>75</w:t>
              </w:r>
            </w:hyperlink>
          </w:p>
          <w:p w:rsidR="009E72EA" w:rsidRPr="009E72EA" w:rsidRDefault="009E72EA" w:rsidP="00472036">
            <w:pPr>
              <w:pStyle w:val="ListParagraph"/>
              <w:numPr>
                <w:ilvl w:val="0"/>
                <w:numId w:val="14"/>
              </w:numPr>
              <w:tabs>
                <w:tab w:val="left" w:pos="0"/>
              </w:tabs>
              <w:spacing w:after="0"/>
              <w:ind w:left="0" w:firstLine="0"/>
              <w:rPr>
                <w:rFonts w:eastAsia="Calibri"/>
                <w:bCs/>
                <w:szCs w:val="22"/>
              </w:rPr>
            </w:pPr>
            <w:r w:rsidRPr="009E72EA">
              <w:rPr>
                <w:rFonts w:eastAsia="Calibri"/>
                <w:bCs/>
                <w:szCs w:val="22"/>
              </w:rPr>
              <w:t>Provide a mechanism to inform the subscribers that a key change has occurred.</w:t>
            </w:r>
          </w:p>
          <w:p w:rsidR="009E72EA" w:rsidRPr="009E72EA" w:rsidRDefault="009E72EA" w:rsidP="00472036">
            <w:pPr>
              <w:pStyle w:val="ListParagraph"/>
              <w:numPr>
                <w:ilvl w:val="0"/>
                <w:numId w:val="14"/>
              </w:numPr>
              <w:tabs>
                <w:tab w:val="left" w:pos="0"/>
              </w:tabs>
              <w:spacing w:after="0"/>
              <w:ind w:left="0" w:firstLine="0"/>
              <w:rPr>
                <w:rFonts w:eastAsia="Calibri"/>
                <w:bCs/>
                <w:szCs w:val="22"/>
              </w:rPr>
            </w:pPr>
            <w:r w:rsidRPr="009E72EA">
              <w:rPr>
                <w:rFonts w:eastAsia="Calibri"/>
                <w:bCs/>
                <w:szCs w:val="22"/>
              </w:rPr>
              <w:t xml:space="preserve">This mechanism is provided through the TimeofCurrentKey session attribute (see page </w:t>
            </w:r>
            <w:hyperlink w:anchor="_bookmark45" w:history="1">
              <w:r w:rsidRPr="009E72EA">
                <w:rPr>
                  <w:rFonts w:eastAsia="Calibri"/>
                  <w:bCs/>
                  <w:szCs w:val="22"/>
                </w:rPr>
                <w:t>75</w:t>
              </w:r>
            </w:hyperlink>
            <w:r w:rsidRPr="009E72EA">
              <w:rPr>
                <w:rFonts w:eastAsia="Calibri"/>
                <w:bCs/>
                <w:szCs w:val="22"/>
              </w:rPr>
              <w:t>).</w:t>
            </w:r>
          </w:p>
          <w:p w:rsidR="009E72EA" w:rsidRPr="009E72EA" w:rsidRDefault="009E72EA" w:rsidP="009E72EA">
            <w:pPr>
              <w:tabs>
                <w:tab w:val="left" w:pos="0"/>
              </w:tabs>
              <w:ind w:left="0" w:firstLine="0"/>
              <w:rPr>
                <w:rFonts w:eastAsia="Calibri"/>
                <w:bCs/>
                <w:szCs w:val="22"/>
              </w:rPr>
            </w:pPr>
            <w:r w:rsidRPr="009E72EA">
              <w:rPr>
                <w:rFonts w:eastAsia="Calibri"/>
                <w:bCs/>
                <w:szCs w:val="22"/>
              </w:rPr>
              <w:t xml:space="preserve">In order to accommodate the requirement to support symmetric and asymmetric technologies and to allow new mechanisms to be used in the future, a mechanism to convey the encryption and signature algorithms needs to be provided. This mechanism is provided through the </w:t>
            </w:r>
            <w:r w:rsidRPr="009E72EA">
              <w:rPr>
                <w:rFonts w:eastAsia="Calibri"/>
                <w:bCs/>
                <w:szCs w:val="22"/>
              </w:rPr>
              <w:lastRenderedPageBreak/>
              <w:t>SecurityAlgorithms session attribute (see page 75).</w:t>
            </w:r>
          </w:p>
          <w:p w:rsidR="009E72EA" w:rsidRPr="009E72EA" w:rsidRDefault="009E72EA" w:rsidP="009E72EA">
            <w:pPr>
              <w:tabs>
                <w:tab w:val="left" w:pos="0"/>
              </w:tabs>
              <w:ind w:left="0" w:firstLine="0"/>
              <w:rPr>
                <w:rFonts w:eastAsia="Calibri"/>
                <w:bCs/>
                <w:szCs w:val="22"/>
              </w:rPr>
            </w:pPr>
            <w:r w:rsidRPr="009E72EA">
              <w:rPr>
                <w:rFonts w:eastAsia="Calibri"/>
                <w:bCs/>
                <w:szCs w:val="22"/>
              </w:rPr>
              <w:t>Maximum value:</w:t>
            </w:r>
            <w:r w:rsidRPr="009E72EA">
              <w:rPr>
                <w:rFonts w:eastAsia="Calibri"/>
                <w:bCs/>
                <w:szCs w:val="22"/>
              </w:rPr>
              <w:tab/>
              <w:t>48 h (e.g. 2 880 min)</w:t>
            </w:r>
          </w:p>
          <w:p w:rsidR="009E72EA" w:rsidRPr="009E72EA" w:rsidRDefault="009E72EA" w:rsidP="009E72EA">
            <w:pPr>
              <w:tabs>
                <w:tab w:val="left" w:pos="0"/>
              </w:tabs>
              <w:ind w:left="0" w:firstLine="0"/>
              <w:rPr>
                <w:rFonts w:eastAsia="Calibri"/>
                <w:bCs/>
                <w:szCs w:val="22"/>
              </w:rPr>
            </w:pPr>
            <w:r w:rsidRPr="009E72EA">
              <w:rPr>
                <w:rFonts w:eastAsia="Calibri"/>
                <w:bCs/>
                <w:szCs w:val="22"/>
              </w:rPr>
              <w:t>Minimum value:</w:t>
            </w:r>
            <w:r w:rsidRPr="009E72EA">
              <w:rPr>
                <w:rFonts w:eastAsia="Calibri"/>
                <w:bCs/>
                <w:szCs w:val="22"/>
              </w:rPr>
              <w:tab/>
              <w:t>30 min</w:t>
            </w:r>
          </w:p>
          <w:p w:rsidR="009E72EA" w:rsidRPr="009E72EA" w:rsidRDefault="009E72EA" w:rsidP="009E72EA">
            <w:pPr>
              <w:tabs>
                <w:tab w:val="left" w:pos="0"/>
              </w:tabs>
              <w:ind w:left="0" w:firstLine="0"/>
              <w:rPr>
                <w:rFonts w:eastAsia="Calibri"/>
                <w:bCs/>
                <w:szCs w:val="22"/>
              </w:rPr>
            </w:pPr>
            <w:r w:rsidRPr="009E72EA">
              <w:rPr>
                <w:rFonts w:eastAsia="Calibri"/>
                <w:bCs/>
                <w:szCs w:val="22"/>
              </w:rPr>
              <w:t>The values shall be specified in minutes.</w:t>
            </w:r>
          </w:p>
          <w:p w:rsidR="009E72EA" w:rsidRPr="009E72EA" w:rsidRDefault="009E72EA" w:rsidP="009E72EA">
            <w:pPr>
              <w:tabs>
                <w:tab w:val="left" w:pos="0"/>
              </w:tabs>
              <w:ind w:left="0" w:firstLine="0"/>
              <w:rPr>
                <w:rFonts w:eastAsia="Calibri"/>
                <w:bCs/>
                <w:szCs w:val="22"/>
              </w:rPr>
            </w:pPr>
            <w:r w:rsidRPr="009E72EA">
              <w:rPr>
                <w:rFonts w:eastAsia="Calibri"/>
                <w:bCs/>
                <w:szCs w:val="22"/>
              </w:rPr>
              <w:t>Figure 21 shows the interaction between the publisher and subscribers regarding key usage. When the publisher starts the update process (T1), a new key is assigned within the KDC function. The publisher sets the TimeToNextKey attribute value. Once a minutw, the publisher chekcs to determine if the the TimeToNextkey reached value of zero (0). If not, the value is  . If not, the value is zero, the new key starts being used as the current key and the TimeOfCurrentKey is updated with the current timestamp.</w:t>
            </w:r>
          </w:p>
          <w:p w:rsidR="009E72EA" w:rsidRPr="009E72EA" w:rsidRDefault="009E72EA" w:rsidP="009E72EA">
            <w:pPr>
              <w:tabs>
                <w:tab w:val="left" w:pos="0"/>
              </w:tabs>
              <w:ind w:left="0" w:firstLine="0"/>
              <w:rPr>
                <w:rFonts w:eastAsia="Calibri"/>
                <w:bCs/>
                <w:szCs w:val="22"/>
              </w:rPr>
            </w:pPr>
            <w:r w:rsidRPr="009E72EA">
              <w:rPr>
                <w:rFonts w:eastAsia="Calibri"/>
                <w:bCs/>
                <w:szCs w:val="22"/>
              </w:rPr>
              <w:t>When a subscriber detects a positive TimeToNextKey value, the subscriber interacts with the KDC to obtain the next key. The subscriber then waits until the TimeOfCurrentKey value changes. The PDU that has the changed value shall be the first PDU to use formerly next key  as the current key.</w:t>
            </w:r>
          </w:p>
          <w:p w:rsidR="009E72EA" w:rsidRPr="009E72EA" w:rsidRDefault="009E72EA" w:rsidP="009E72EA">
            <w:pPr>
              <w:pStyle w:val="ListParagraph"/>
              <w:tabs>
                <w:tab w:val="left" w:pos="0"/>
              </w:tabs>
              <w:spacing w:after="0"/>
              <w:ind w:left="0" w:firstLine="0"/>
              <w:rPr>
                <w:rFonts w:eastAsia="Calibri"/>
                <w:bCs/>
                <w:szCs w:val="22"/>
              </w:rPr>
            </w:pPr>
          </w:p>
          <w:p w:rsidR="009E72EA" w:rsidRPr="009E72EA" w:rsidRDefault="009E72EA" w:rsidP="009E72EA">
            <w:pPr>
              <w:tabs>
                <w:tab w:val="left" w:pos="0"/>
              </w:tabs>
              <w:ind w:left="0" w:firstLine="0"/>
              <w:rPr>
                <w:rFonts w:eastAsia="Calibri"/>
                <w:bCs/>
                <w:szCs w:val="22"/>
              </w:rPr>
            </w:pPr>
          </w:p>
          <w:p w:rsidR="009E72EA" w:rsidRPr="009E72EA" w:rsidRDefault="009E72EA" w:rsidP="009E72EA">
            <w:pPr>
              <w:tabs>
                <w:tab w:val="left" w:pos="0"/>
              </w:tabs>
              <w:ind w:left="0" w:firstLine="0"/>
              <w:rPr>
                <w:rFonts w:eastAsia="Calibri"/>
                <w:bCs/>
                <w:szCs w:val="22"/>
              </w:rPr>
            </w:pPr>
          </w:p>
        </w:tc>
      </w:tr>
    </w:tbl>
    <w:p w:rsidR="009E72EA" w:rsidRDefault="009E72EA" w:rsidP="00811BEA">
      <w:pPr>
        <w:ind w:left="0" w:firstLine="0"/>
        <w:jc w:val="center"/>
        <w:rPr>
          <w:b/>
        </w:rPr>
      </w:pPr>
    </w:p>
    <w:p w:rsidR="005B65AA" w:rsidRDefault="005B65AA" w:rsidP="00811BEA">
      <w:pPr>
        <w:ind w:left="0" w:firstLine="0"/>
        <w:jc w:val="center"/>
      </w:pPr>
      <w:r w:rsidRPr="00731F96">
        <w:object w:dxaOrig="4919" w:dyaOrig="6841">
          <v:shape id="_x0000_i1071" type="#_x0000_t75" style="width:273.75pt;height:381.75pt" o:ole="">
            <v:imagedata r:id="rId60" o:title=""/>
          </v:shape>
          <o:OLEObject Type="Embed" ProgID="Visio.Drawing.11" ShapeID="_x0000_i1071" DrawAspect="Content" ObjectID="_1701177461" r:id="rId61"/>
        </w:object>
      </w:r>
    </w:p>
    <w:p w:rsidR="005B65AA" w:rsidRDefault="005B65AA" w:rsidP="00811BEA">
      <w:pPr>
        <w:ind w:left="0" w:firstLine="0"/>
        <w:jc w:val="center"/>
        <w:rPr>
          <w:b/>
        </w:rPr>
      </w:pPr>
      <w:r w:rsidRPr="005B65AA">
        <w:rPr>
          <w:b/>
        </w:rPr>
        <w:t>21</w:t>
      </w:r>
      <w:r>
        <w:rPr>
          <w:b/>
        </w:rPr>
        <w:t>-р зураг</w:t>
      </w:r>
      <w:r w:rsidRPr="005B65AA">
        <w:rPr>
          <w:b/>
        </w:rPr>
        <w:t xml:space="preserve"> – Түлхүүр ашиглалтын төлөв шилжилт</w:t>
      </w:r>
    </w:p>
    <w:p w:rsidR="005B65AA" w:rsidRDefault="005B65AA" w:rsidP="00811BEA">
      <w:pPr>
        <w:ind w:left="0" w:firstLine="0"/>
        <w:jc w:val="center"/>
      </w:pPr>
      <w:r w:rsidRPr="00EF2D2B">
        <w:rPr>
          <w:noProof/>
          <w:lang w:val="en-US"/>
        </w:rPr>
        <w:lastRenderedPageBreak/>
        <w:drawing>
          <wp:inline distT="0" distB="0" distL="0" distR="0" wp14:anchorId="769D35F4" wp14:editId="082BBC31">
            <wp:extent cx="4095750" cy="5305425"/>
            <wp:effectExtent l="0" t="0" r="0"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95750" cy="5305425"/>
                    </a:xfrm>
                    <a:prstGeom prst="rect">
                      <a:avLst/>
                    </a:prstGeom>
                  </pic:spPr>
                </pic:pic>
              </a:graphicData>
            </a:graphic>
          </wp:inline>
        </w:drawing>
      </w:r>
    </w:p>
    <w:p w:rsidR="005B65AA" w:rsidRDefault="005B65AA" w:rsidP="00811BEA">
      <w:pPr>
        <w:ind w:left="0" w:firstLine="0"/>
        <w:jc w:val="center"/>
        <w:rPr>
          <w:b/>
        </w:rPr>
      </w:pPr>
      <w:r w:rsidRPr="005B65AA">
        <w:rPr>
          <w:b/>
        </w:rPr>
        <w:t>Figure 21 – State transitions for key usage</w:t>
      </w:r>
    </w:p>
    <w:p w:rsidR="005B65AA" w:rsidRDefault="005B65AA"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5B65AA" w:rsidTr="005B65AA">
        <w:tc>
          <w:tcPr>
            <w:tcW w:w="4672" w:type="dxa"/>
          </w:tcPr>
          <w:p w:rsidR="005B65AA" w:rsidRPr="005B65AA" w:rsidRDefault="005B65AA" w:rsidP="005B65AA">
            <w:pPr>
              <w:tabs>
                <w:tab w:val="left" w:pos="0"/>
              </w:tabs>
              <w:ind w:left="0" w:firstLine="0"/>
              <w:rPr>
                <w:rFonts w:eastAsia="Calibri"/>
                <w:b/>
                <w:bCs/>
                <w:szCs w:val="22"/>
              </w:rPr>
            </w:pPr>
            <w:r w:rsidRPr="005B65AA">
              <w:rPr>
                <w:rFonts w:eastAsia="Calibri"/>
                <w:b/>
                <w:bCs/>
                <w:szCs w:val="22"/>
              </w:rPr>
              <w:t>8.3 Түлхүүр түгээлтийн төв (KDC)</w:t>
            </w:r>
          </w:p>
          <w:p w:rsidR="005B65AA" w:rsidRPr="005B65AA" w:rsidRDefault="005B65AA" w:rsidP="005B65AA">
            <w:pPr>
              <w:tabs>
                <w:tab w:val="left" w:pos="0"/>
              </w:tabs>
              <w:ind w:left="0" w:firstLine="0"/>
              <w:rPr>
                <w:rFonts w:eastAsia="Calibri"/>
                <w:bCs/>
                <w:szCs w:val="22"/>
              </w:rPr>
            </w:pPr>
            <w:r w:rsidRPr="005B65AA">
              <w:rPr>
                <w:rFonts w:eastAsia="Calibri"/>
                <w:bCs/>
                <w:szCs w:val="22"/>
              </w:rPr>
              <w:t>IEC/TR 61850-90-5 KDC сервер функцэд шаардлагатай үйл ажиллагааны хэд хэдэн зүйл байдаг. Эдгээр нь дараах байдалтай байна.</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KDC нь мэдээллийн урсгалын дагуу KDC клиентүүдийгбаталгаажуулах чадвартай байх ёстой.</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IEC 61850 домэйнд хэд хэдэн төрлийн мэдээллийн урсгал байдаг. Эдгээр нь:</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Этернэт multicastGOOSE,</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Этернэт multicastSV,</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UDP GOOSE (ж.нь. IEC/TR61850-90-5),</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lastRenderedPageBreak/>
              <w:t>UDP SV (ж.нь.IEC/TR61850-90-5),</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IEC/TR 61850-90-5 Tunnel,</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IEC61850-8-1-ын Клиент/Серверпрофайл.</w:t>
            </w:r>
          </w:p>
          <w:p w:rsidR="005B65AA" w:rsidRPr="005B65AA" w:rsidRDefault="005B65AA" w:rsidP="005B65AA">
            <w:pPr>
              <w:tabs>
                <w:tab w:val="left" w:pos="0"/>
              </w:tabs>
              <w:ind w:left="0" w:firstLine="0"/>
              <w:rPr>
                <w:rFonts w:eastAsia="Calibri"/>
                <w:bCs/>
                <w:szCs w:val="22"/>
              </w:rPr>
            </w:pPr>
            <w:r w:rsidRPr="005B65AA">
              <w:rPr>
                <w:rFonts w:eastAsia="Calibri"/>
                <w:bCs/>
                <w:szCs w:val="22"/>
              </w:rPr>
              <w:t>Мэдээллийн урсгалын төрөл бүрийг илүү нарийн төвөгтэй баталгаажуулалт/түлхүүр солилцох боломжийг олгохын тулд нэмэлт хязгаарлалт хийх шаардлагатай.Жишээлбэл, хоёр (2) хэвлэгчээс (жишээ нь IED1 ба IED2) хоёр (2) өөр өөр зориулалттай олон хаягтай (жишээ нь DMAC1 ба DMAC2) байж болно.Захиалагч зөвхөн DMAC1-ийн бүлгийн түлхүүр гишүүнээр зөвшөөрөгдсөн бүлэгт хязгаарлагдах шаардлагатай болж магадгүй ба DMAC2-д биш.Тиймээс KDC нь хүлээн авагч Этернэт буюу IP хаяг дээр үндэслэн түлхүүр бүлгийн менежментийг зөвшөөрөх ёстой.</w:t>
            </w:r>
          </w:p>
          <w:p w:rsidR="005B65AA" w:rsidRPr="005B65AA" w:rsidRDefault="005B65AA" w:rsidP="005B65AA">
            <w:pPr>
              <w:tabs>
                <w:tab w:val="left" w:pos="0"/>
              </w:tabs>
              <w:ind w:left="0" w:firstLine="0"/>
              <w:rPr>
                <w:rFonts w:eastAsia="Calibri"/>
                <w:bCs/>
                <w:szCs w:val="22"/>
              </w:rPr>
            </w:pPr>
            <w:r w:rsidRPr="005B65AA">
              <w:rPr>
                <w:rFonts w:eastAsia="Calibri"/>
                <w:bCs/>
                <w:szCs w:val="22"/>
              </w:rPr>
              <w:t>Гэхдээ хүрэх газар руу илгээсэн агуулга дээр үндэслэн хамгаалалт/нууцлалд нэмэлт хязгаарлалт хийх шаардлагатай. Нэг газар руу очих хаягийг хоёр өөр хэвлэгч ашиглах боломжтой байж болох ч тус тусад нь хамгаалах шаардлагатай.GOOSE/SV-ийн хувьд агуулгын хязгаарлалт/тодорхойлолт нь DataSet-ийг хэвлэхтэй холбоотой байна.</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KDC нь түлхүүрийн хүсэлт гаргасан клиентийг тогтсон бүлгийн түлхүүрийг хэвлэхээс гадна дэмжих болно. Түлхүүр бүлгүүдийн түлхүүрийг хэвлэх чадвар нь энэхүү Техникийн тайлангийн хүрээнд багтаагүй болно.</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KDC нь түлхүүрийг хүсэлт гаргасан клиентийг таних ба баталгаажуулах зорилгоор тэгш бус криптографийг ашиглахыг зөвшөөрнө.</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 xml:space="preserve">KDC байрлуулалтын архитектур нь IEC/TR 61850-90-5-ийг хэвлэж буй IED/Server-ийн хувьд дотоод эсвэл </w:t>
            </w:r>
            <w:r w:rsidRPr="005B65AA">
              <w:rPr>
                <w:rFonts w:eastAsia="Calibri"/>
                <w:bCs/>
                <w:szCs w:val="22"/>
              </w:rPr>
              <w:lastRenderedPageBreak/>
              <w:t>гадаад функцууд бүхий KDC функцийг дэмжинэ.</w:t>
            </w:r>
          </w:p>
          <w:p w:rsidR="005B65AA" w:rsidRPr="005B65AA" w:rsidRDefault="005B65AA" w:rsidP="005B65AA">
            <w:pPr>
              <w:tabs>
                <w:tab w:val="left" w:pos="0"/>
              </w:tabs>
              <w:ind w:left="0" w:firstLine="0"/>
              <w:rPr>
                <w:rFonts w:eastAsia="Calibri"/>
                <w:b/>
                <w:bCs/>
                <w:szCs w:val="22"/>
              </w:rPr>
            </w:pPr>
            <w:r w:rsidRPr="005B65AA">
              <w:rPr>
                <w:rFonts w:eastAsia="Calibri"/>
                <w:b/>
                <w:bCs/>
                <w:szCs w:val="22"/>
              </w:rPr>
              <w:t>9 Сервисүүд</w:t>
            </w:r>
          </w:p>
          <w:p w:rsidR="005B65AA" w:rsidRPr="005B65AA" w:rsidRDefault="005B65AA" w:rsidP="00472036">
            <w:pPr>
              <w:pStyle w:val="ListParagraph"/>
              <w:numPr>
                <w:ilvl w:val="1"/>
                <w:numId w:val="19"/>
              </w:numPr>
              <w:tabs>
                <w:tab w:val="left" w:pos="0"/>
              </w:tabs>
              <w:spacing w:after="0"/>
              <w:ind w:left="0" w:firstLine="0"/>
              <w:rPr>
                <w:rFonts w:eastAsia="Calibri"/>
                <w:b/>
                <w:bCs/>
                <w:szCs w:val="22"/>
              </w:rPr>
            </w:pPr>
            <w:r w:rsidRPr="005B65AA">
              <w:rPr>
                <w:rFonts w:eastAsia="Calibri"/>
                <w:b/>
                <w:bCs/>
                <w:szCs w:val="22"/>
              </w:rPr>
              <w:t>Ерөнхий</w:t>
            </w:r>
            <w:r w:rsidR="00CC195F">
              <w:rPr>
                <w:rFonts w:eastAsia="Calibri"/>
                <w:b/>
                <w:bCs/>
                <w:szCs w:val="22"/>
              </w:rPr>
              <w:t xml:space="preserve"> зүйл</w:t>
            </w:r>
          </w:p>
          <w:p w:rsidR="005B65AA" w:rsidRPr="005B65AA" w:rsidRDefault="005B65AA" w:rsidP="005B65AA">
            <w:pPr>
              <w:tabs>
                <w:tab w:val="left" w:pos="0"/>
              </w:tabs>
              <w:ind w:left="0" w:firstLine="0"/>
              <w:rPr>
                <w:rFonts w:eastAsia="Calibri"/>
                <w:bCs/>
                <w:szCs w:val="22"/>
              </w:rPr>
            </w:pPr>
            <w:r w:rsidRPr="005B65AA">
              <w:rPr>
                <w:rFonts w:eastAsia="Calibri"/>
                <w:bCs/>
                <w:szCs w:val="22"/>
              </w:rPr>
              <w:t>IEEE C37.118.2-т " сервисүүд" -ийг тодорхой тусгаагүй.Үүний оронд энэ нь 6-р бүлэгт синхрофасорын мессежний форматыг тодорхой заасан байна.Энэ нь мессежний дөрвөн төрлийг (хүрээний төрлүүд) тодорхойлдог:</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Өгөгдлийн хүрээ (IEEEC37.118.2-ийн 6.3-ийг үзнэ үү),</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Тохиргооны хүрээ (IEEEC37.118.2-ийн 6.4-ийг үзнэ үү),</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Гарчгийн хүрээ (IEEEC37.118.2-ийн 6.5-г үзнэ үү),</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Коммандын хүрээ (IEEEC37.118.2-ийн 6.6-г үзнэ үү).</w:t>
            </w:r>
          </w:p>
          <w:p w:rsidR="005B65AA" w:rsidRPr="005B65AA" w:rsidRDefault="005B65AA" w:rsidP="005B65AA">
            <w:pPr>
              <w:tabs>
                <w:tab w:val="left" w:pos="0"/>
              </w:tabs>
              <w:ind w:left="0" w:firstLine="0"/>
              <w:rPr>
                <w:rFonts w:eastAsia="Calibri"/>
                <w:bCs/>
                <w:szCs w:val="22"/>
              </w:rPr>
            </w:pPr>
            <w:r w:rsidRPr="005B65AA">
              <w:rPr>
                <w:rFonts w:eastAsia="Calibri"/>
                <w:bCs/>
                <w:szCs w:val="22"/>
              </w:rPr>
              <w:t>IEEE C37.118.2-аас өөр өөр хүрээг солилцох замаар гүйцэтгэсэн функцүүдийг IEC 61850 сервист дүрсэлсэн байх ёстой.</w:t>
            </w:r>
          </w:p>
          <w:p w:rsidR="005B65AA" w:rsidRPr="005B65AA" w:rsidRDefault="005B65AA" w:rsidP="005B65AA">
            <w:pPr>
              <w:tabs>
                <w:tab w:val="left" w:pos="0"/>
              </w:tabs>
              <w:ind w:left="0" w:firstLine="0"/>
              <w:rPr>
                <w:rFonts w:eastAsia="Calibri"/>
                <w:b/>
                <w:bCs/>
                <w:szCs w:val="22"/>
              </w:rPr>
            </w:pPr>
            <w:r w:rsidRPr="005B65AA">
              <w:rPr>
                <w:rFonts w:eastAsia="Calibri"/>
                <w:b/>
                <w:bCs/>
                <w:szCs w:val="22"/>
              </w:rPr>
              <w:t>9.2 Сервисүүд</w:t>
            </w:r>
          </w:p>
          <w:p w:rsidR="005B65AA" w:rsidRPr="005B65AA" w:rsidRDefault="005B65AA" w:rsidP="005B65AA">
            <w:pPr>
              <w:tabs>
                <w:tab w:val="left" w:pos="0"/>
              </w:tabs>
              <w:ind w:left="0" w:firstLine="0"/>
              <w:rPr>
                <w:rFonts w:eastAsia="Calibri"/>
                <w:b/>
                <w:bCs/>
                <w:szCs w:val="22"/>
              </w:rPr>
            </w:pPr>
            <w:r w:rsidRPr="005B65AA">
              <w:rPr>
                <w:rFonts w:eastAsia="Calibri"/>
                <w:b/>
                <w:bCs/>
                <w:szCs w:val="22"/>
              </w:rPr>
              <w:t>9.2.1 Ерөнхий</w:t>
            </w:r>
            <w:r w:rsidR="00CC195F">
              <w:rPr>
                <w:rFonts w:eastAsia="Calibri"/>
                <w:b/>
                <w:bCs/>
                <w:szCs w:val="22"/>
              </w:rPr>
              <w:t xml:space="preserve"> зүйл</w:t>
            </w:r>
          </w:p>
          <w:p w:rsidR="005B65AA" w:rsidRPr="005B65AA" w:rsidRDefault="005B65AA" w:rsidP="005B65AA">
            <w:pPr>
              <w:tabs>
                <w:tab w:val="left" w:pos="0"/>
              </w:tabs>
              <w:ind w:left="0" w:firstLine="0"/>
              <w:rPr>
                <w:rFonts w:eastAsia="Calibri"/>
                <w:bCs/>
                <w:szCs w:val="22"/>
              </w:rPr>
            </w:pPr>
            <w:r w:rsidRPr="005B65AA">
              <w:rPr>
                <w:rFonts w:eastAsia="Calibri"/>
                <w:bCs/>
                <w:szCs w:val="22"/>
              </w:rPr>
              <w:t>Энэ нь командын хүрээний гүйцэтгэсэн функцтэй ижил байх ёстой.</w:t>
            </w:r>
          </w:p>
          <w:p w:rsidR="005B65AA" w:rsidRPr="005B65AA" w:rsidRDefault="005B65AA" w:rsidP="005B65AA">
            <w:pPr>
              <w:tabs>
                <w:tab w:val="left" w:pos="0"/>
              </w:tabs>
              <w:ind w:left="0" w:firstLine="0"/>
              <w:rPr>
                <w:rFonts w:eastAsia="Calibri"/>
                <w:bCs/>
                <w:szCs w:val="22"/>
              </w:rPr>
            </w:pPr>
            <w:r w:rsidRPr="005B65AA">
              <w:rPr>
                <w:rFonts w:eastAsia="Calibri"/>
                <w:bCs/>
                <w:szCs w:val="22"/>
              </w:rPr>
              <w:t>IEEE C37.118.2-д командын үгэнд заасны дагуу өөр өөр үүргийг 1-р хүснэгтэд заасны дагуу IEC 61850-тэй ижил үйл ажиллагаа буюу сервисээр гүйцэтгэж болно:</w:t>
            </w:r>
          </w:p>
        </w:tc>
        <w:tc>
          <w:tcPr>
            <w:tcW w:w="4672" w:type="dxa"/>
          </w:tcPr>
          <w:p w:rsidR="005B65AA" w:rsidRPr="005B65AA" w:rsidRDefault="005B65AA" w:rsidP="005B65AA">
            <w:pPr>
              <w:tabs>
                <w:tab w:val="left" w:pos="0"/>
              </w:tabs>
              <w:ind w:left="0" w:firstLine="0"/>
              <w:rPr>
                <w:rFonts w:eastAsia="Calibri"/>
                <w:b/>
                <w:bCs/>
                <w:szCs w:val="22"/>
              </w:rPr>
            </w:pPr>
            <w:r w:rsidRPr="005B65AA">
              <w:rPr>
                <w:rFonts w:eastAsia="Calibri"/>
                <w:b/>
                <w:bCs/>
                <w:szCs w:val="22"/>
              </w:rPr>
              <w:lastRenderedPageBreak/>
              <w:t>8.3 Key Distribution Center (KDC)</w:t>
            </w:r>
          </w:p>
          <w:p w:rsidR="005B65AA" w:rsidRPr="005B65AA" w:rsidRDefault="005B65AA" w:rsidP="005B65AA">
            <w:pPr>
              <w:tabs>
                <w:tab w:val="left" w:pos="0"/>
              </w:tabs>
              <w:ind w:left="0" w:firstLine="0"/>
              <w:rPr>
                <w:rFonts w:eastAsia="Calibri"/>
                <w:bCs/>
                <w:szCs w:val="22"/>
              </w:rPr>
            </w:pPr>
            <w:r w:rsidRPr="005B65AA">
              <w:rPr>
                <w:rFonts w:eastAsia="Calibri"/>
                <w:bCs/>
                <w:szCs w:val="22"/>
              </w:rPr>
              <w:t>There are several aspects to the functionality required by an IEC/TR 61850-90-5 KDC server function. These are the following.</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The KDC must be capable of authenticating KDC clients on a per information stream basis.</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There are several types of information streams within the IEC 61850 domain. These are:</w:t>
            </w:r>
          </w:p>
          <w:p w:rsidR="005B65AA" w:rsidRPr="005B65AA" w:rsidRDefault="005B65AA" w:rsidP="00472036">
            <w:pPr>
              <w:pStyle w:val="ListParagraph"/>
              <w:numPr>
                <w:ilvl w:val="0"/>
                <w:numId w:val="18"/>
              </w:numPr>
              <w:tabs>
                <w:tab w:val="left" w:pos="0"/>
              </w:tabs>
              <w:spacing w:after="0"/>
              <w:ind w:left="0" w:firstLine="0"/>
              <w:rPr>
                <w:rFonts w:eastAsia="Calibri"/>
                <w:bCs/>
                <w:szCs w:val="22"/>
              </w:rPr>
            </w:pPr>
            <w:r w:rsidRPr="005B65AA">
              <w:rPr>
                <w:rFonts w:eastAsia="Calibri"/>
                <w:bCs/>
                <w:szCs w:val="22"/>
              </w:rPr>
              <w:t>Ethernet multicast GOOSE,</w:t>
            </w:r>
          </w:p>
          <w:p w:rsidR="005B65AA" w:rsidRPr="005B65AA" w:rsidRDefault="005B65AA" w:rsidP="00472036">
            <w:pPr>
              <w:pStyle w:val="ListParagraph"/>
              <w:numPr>
                <w:ilvl w:val="0"/>
                <w:numId w:val="18"/>
              </w:numPr>
              <w:tabs>
                <w:tab w:val="left" w:pos="0"/>
              </w:tabs>
              <w:spacing w:after="0"/>
              <w:ind w:left="0" w:firstLine="0"/>
              <w:rPr>
                <w:rFonts w:eastAsia="Calibri"/>
                <w:bCs/>
                <w:szCs w:val="22"/>
              </w:rPr>
            </w:pPr>
            <w:r w:rsidRPr="005B65AA">
              <w:rPr>
                <w:rFonts w:eastAsia="Calibri"/>
                <w:bCs/>
                <w:szCs w:val="22"/>
              </w:rPr>
              <w:t>Ethernet multicast SV,</w:t>
            </w:r>
          </w:p>
          <w:p w:rsidR="005B65AA" w:rsidRPr="005B65AA" w:rsidRDefault="005B65AA" w:rsidP="00472036">
            <w:pPr>
              <w:pStyle w:val="ListParagraph"/>
              <w:numPr>
                <w:ilvl w:val="0"/>
                <w:numId w:val="18"/>
              </w:numPr>
              <w:tabs>
                <w:tab w:val="left" w:pos="0"/>
              </w:tabs>
              <w:spacing w:after="0"/>
              <w:ind w:left="0" w:firstLine="0"/>
              <w:rPr>
                <w:rFonts w:eastAsia="Calibri"/>
                <w:bCs/>
                <w:szCs w:val="22"/>
              </w:rPr>
            </w:pPr>
          </w:p>
          <w:p w:rsidR="005B65AA" w:rsidRPr="005B65AA" w:rsidRDefault="005B65AA" w:rsidP="00472036">
            <w:pPr>
              <w:pStyle w:val="ListParagraph"/>
              <w:numPr>
                <w:ilvl w:val="0"/>
                <w:numId w:val="18"/>
              </w:numPr>
              <w:tabs>
                <w:tab w:val="left" w:pos="0"/>
              </w:tabs>
              <w:spacing w:after="0"/>
              <w:ind w:left="0" w:firstLine="0"/>
              <w:rPr>
                <w:rFonts w:eastAsia="Calibri"/>
                <w:bCs/>
                <w:szCs w:val="22"/>
              </w:rPr>
            </w:pPr>
            <w:r w:rsidRPr="005B65AA">
              <w:rPr>
                <w:rFonts w:eastAsia="Calibri"/>
                <w:bCs/>
                <w:szCs w:val="22"/>
              </w:rPr>
              <w:t>UDP GOOSE (e.g. IEC/TR 61850-90-5),</w:t>
            </w:r>
          </w:p>
          <w:p w:rsidR="005B65AA" w:rsidRPr="005B65AA" w:rsidRDefault="005B65AA" w:rsidP="00472036">
            <w:pPr>
              <w:pStyle w:val="ListParagraph"/>
              <w:numPr>
                <w:ilvl w:val="0"/>
                <w:numId w:val="18"/>
              </w:numPr>
              <w:tabs>
                <w:tab w:val="left" w:pos="0"/>
              </w:tabs>
              <w:spacing w:after="0"/>
              <w:ind w:left="0" w:firstLine="0"/>
              <w:rPr>
                <w:rFonts w:eastAsia="Calibri"/>
                <w:bCs/>
                <w:szCs w:val="22"/>
              </w:rPr>
            </w:pPr>
            <w:r w:rsidRPr="005B65AA">
              <w:rPr>
                <w:rFonts w:eastAsia="Calibri"/>
                <w:bCs/>
                <w:szCs w:val="22"/>
              </w:rPr>
              <w:lastRenderedPageBreak/>
              <w:t>UDP SV (e.g. IEC/TR 61850-90-5),</w:t>
            </w:r>
          </w:p>
          <w:p w:rsidR="005B65AA" w:rsidRPr="005B65AA" w:rsidRDefault="005B65AA" w:rsidP="00472036">
            <w:pPr>
              <w:pStyle w:val="ListParagraph"/>
              <w:numPr>
                <w:ilvl w:val="0"/>
                <w:numId w:val="18"/>
              </w:numPr>
              <w:tabs>
                <w:tab w:val="left" w:pos="0"/>
              </w:tabs>
              <w:spacing w:after="0"/>
              <w:ind w:left="0" w:firstLine="0"/>
              <w:rPr>
                <w:rFonts w:eastAsia="Calibri"/>
                <w:bCs/>
                <w:szCs w:val="22"/>
              </w:rPr>
            </w:pPr>
            <w:r w:rsidRPr="005B65AA">
              <w:rPr>
                <w:rFonts w:eastAsia="Calibri"/>
                <w:bCs/>
                <w:szCs w:val="22"/>
              </w:rPr>
              <w:t>IEC/TR 61850 -90-5 Tunnel,</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The Client/Server profile of IEC 61850-8-1.</w:t>
            </w:r>
          </w:p>
          <w:p w:rsidR="005B65AA" w:rsidRPr="005B65AA" w:rsidRDefault="005B65AA" w:rsidP="005B65AA">
            <w:pPr>
              <w:tabs>
                <w:tab w:val="left" w:pos="0"/>
              </w:tabs>
              <w:ind w:left="0" w:firstLine="0"/>
              <w:rPr>
                <w:rFonts w:eastAsia="Calibri"/>
                <w:bCs/>
                <w:szCs w:val="22"/>
              </w:rPr>
            </w:pPr>
            <w:r w:rsidRPr="005B65AA">
              <w:rPr>
                <w:rFonts w:eastAsia="Calibri"/>
                <w:bCs/>
                <w:szCs w:val="22"/>
              </w:rPr>
              <w:t>Each information stream type needs to be further constrained in order to allow a more granular authentication/key exchange. As an example, there may be two  (2)  publishers (e.g. IED1 and IED2) to two (2) different destination multicast addresses (e.g. DMAC1 and DMAC2).  A subscriber may be need to be restricted to a  group that is only allowed to   be  a group key member for DMAC1 and not DMAC2. Therefore, the KDC  must allow key  group management based upon either the destination Ethernet or IP address.</w:t>
            </w:r>
          </w:p>
          <w:p w:rsidR="005B65AA" w:rsidRPr="005B65AA" w:rsidRDefault="005B65AA" w:rsidP="005B65AA">
            <w:pPr>
              <w:tabs>
                <w:tab w:val="left" w:pos="0"/>
              </w:tabs>
              <w:ind w:left="0" w:firstLine="0"/>
              <w:rPr>
                <w:rFonts w:eastAsia="Calibri"/>
                <w:bCs/>
                <w:szCs w:val="22"/>
              </w:rPr>
            </w:pPr>
            <w:r w:rsidRPr="005B65AA">
              <w:rPr>
                <w:rFonts w:eastAsia="Calibri"/>
                <w:bCs/>
                <w:szCs w:val="22"/>
              </w:rPr>
              <w:t>However, a further restriction is also needed in protection/encryption based upon the contents that are being sent to the destination. It is possible that the same destination address is being used by two different publishers, but protection is needed on both separately. In the case of GOOSE/SV, the content constraint/definition is in relationship to the DataSet being published.</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The KDC shall support clients requesting keys as opposed to publishing keys to an established group. The ability to publish the keys to a key group is out of the scope of this Technical Report.</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The KDC shall allow asymmetric cryptography to be used for identity establishment and authentication of a client requesting a key.</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The KDC deployment architecture shall support KDC functions that are internal or external functions to an IED/Server that is publishing IEC/TR 61850-90-5.</w:t>
            </w:r>
          </w:p>
          <w:p w:rsidR="005B65AA" w:rsidRPr="005B65AA" w:rsidRDefault="005B65AA" w:rsidP="005B65AA">
            <w:pPr>
              <w:tabs>
                <w:tab w:val="left" w:pos="0"/>
              </w:tabs>
              <w:ind w:left="0" w:firstLine="0"/>
              <w:rPr>
                <w:rFonts w:eastAsia="Calibri"/>
                <w:bCs/>
                <w:szCs w:val="22"/>
              </w:rPr>
            </w:pPr>
          </w:p>
          <w:p w:rsidR="005B65AA" w:rsidRPr="005B65AA" w:rsidRDefault="005B65AA" w:rsidP="005B65AA">
            <w:pPr>
              <w:tabs>
                <w:tab w:val="left" w:pos="0"/>
              </w:tabs>
              <w:ind w:left="0" w:firstLine="0"/>
              <w:rPr>
                <w:rFonts w:eastAsia="Calibri"/>
                <w:b/>
                <w:bCs/>
                <w:szCs w:val="22"/>
              </w:rPr>
            </w:pPr>
            <w:bookmarkStart w:id="15" w:name="9_Services"/>
            <w:bookmarkEnd w:id="15"/>
            <w:r w:rsidRPr="005B65AA">
              <w:rPr>
                <w:rFonts w:eastAsia="Calibri"/>
                <w:b/>
                <w:bCs/>
                <w:szCs w:val="22"/>
              </w:rPr>
              <w:t>9 Services</w:t>
            </w:r>
          </w:p>
          <w:p w:rsidR="005B65AA" w:rsidRPr="005B65AA" w:rsidRDefault="005B65AA" w:rsidP="00472036">
            <w:pPr>
              <w:pStyle w:val="ListParagraph"/>
              <w:numPr>
                <w:ilvl w:val="1"/>
                <w:numId w:val="20"/>
              </w:numPr>
              <w:tabs>
                <w:tab w:val="left" w:pos="0"/>
              </w:tabs>
              <w:spacing w:after="0"/>
              <w:ind w:left="0" w:firstLine="0"/>
              <w:rPr>
                <w:rFonts w:eastAsia="Calibri"/>
                <w:b/>
                <w:bCs/>
                <w:szCs w:val="22"/>
              </w:rPr>
            </w:pPr>
            <w:bookmarkStart w:id="16" w:name="9.1_General"/>
            <w:bookmarkEnd w:id="16"/>
            <w:r w:rsidRPr="005B65AA">
              <w:rPr>
                <w:rFonts w:eastAsia="Calibri"/>
                <w:b/>
                <w:bCs/>
                <w:szCs w:val="22"/>
              </w:rPr>
              <w:t>General</w:t>
            </w:r>
          </w:p>
          <w:p w:rsidR="005B65AA" w:rsidRPr="005B65AA" w:rsidRDefault="005B65AA" w:rsidP="005B65AA">
            <w:pPr>
              <w:tabs>
                <w:tab w:val="left" w:pos="0"/>
              </w:tabs>
              <w:ind w:left="0" w:firstLine="0"/>
              <w:rPr>
                <w:rFonts w:eastAsia="Calibri"/>
                <w:bCs/>
                <w:szCs w:val="22"/>
              </w:rPr>
            </w:pPr>
            <w:r w:rsidRPr="005B65AA">
              <w:rPr>
                <w:rFonts w:eastAsia="Calibri"/>
                <w:bCs/>
                <w:szCs w:val="22"/>
              </w:rPr>
              <w:lastRenderedPageBreak/>
              <w:t>IEEE C37.118.2 does not explicitly talk of "services". Instead, it specifies the synchrophasor message format in Chapter 6. It describes four message types (frames types):</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Data frame (see 6.3 of IEEE C37.118.2),</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Configuration frame (see 6.4 of IEEE C37.118.2),</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Header frame (see 6.5 of IEEE C37.118.2),</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Command frame (see 6.6 of IEEE C37.118.2).</w:t>
            </w:r>
          </w:p>
          <w:p w:rsidR="005B65AA" w:rsidRPr="005B65AA" w:rsidRDefault="005B65AA" w:rsidP="005B65AA">
            <w:pPr>
              <w:tabs>
                <w:tab w:val="left" w:pos="0"/>
              </w:tabs>
              <w:ind w:left="0" w:firstLine="0"/>
              <w:rPr>
                <w:rFonts w:eastAsia="Calibri"/>
                <w:bCs/>
                <w:szCs w:val="22"/>
              </w:rPr>
            </w:pPr>
            <w:r w:rsidRPr="005B65AA">
              <w:rPr>
                <w:rFonts w:eastAsia="Calibri"/>
                <w:bCs/>
                <w:szCs w:val="22"/>
              </w:rPr>
              <w:t>The  functions  performed  by  exchanging the different frame types from IEEE C37.118.2 have to be mapped to service of IEC 61850</w:t>
            </w:r>
          </w:p>
          <w:p w:rsidR="005B65AA" w:rsidRPr="005B65AA" w:rsidRDefault="005B65AA" w:rsidP="005B65AA">
            <w:pPr>
              <w:tabs>
                <w:tab w:val="left" w:pos="0"/>
              </w:tabs>
              <w:ind w:left="0" w:firstLine="0"/>
              <w:rPr>
                <w:rFonts w:eastAsia="Calibri"/>
                <w:b/>
                <w:bCs/>
                <w:szCs w:val="22"/>
              </w:rPr>
            </w:pPr>
            <w:r w:rsidRPr="005B65AA">
              <w:rPr>
                <w:rFonts w:eastAsia="Calibri"/>
                <w:b/>
                <w:bCs/>
                <w:szCs w:val="22"/>
              </w:rPr>
              <w:t xml:space="preserve">9.2 Command service </w:t>
            </w:r>
          </w:p>
          <w:p w:rsidR="005B65AA" w:rsidRPr="005B65AA" w:rsidRDefault="005B65AA" w:rsidP="005B65AA">
            <w:pPr>
              <w:tabs>
                <w:tab w:val="left" w:pos="0"/>
              </w:tabs>
              <w:ind w:left="0" w:firstLine="0"/>
              <w:rPr>
                <w:rFonts w:eastAsia="Calibri"/>
                <w:b/>
                <w:bCs/>
                <w:szCs w:val="22"/>
              </w:rPr>
            </w:pPr>
            <w:bookmarkStart w:id="17" w:name="_TOC_250046"/>
            <w:r w:rsidRPr="005B65AA">
              <w:rPr>
                <w:rFonts w:eastAsia="Calibri"/>
                <w:b/>
                <w:bCs/>
                <w:szCs w:val="22"/>
              </w:rPr>
              <w:t>9.2.1 G</w:t>
            </w:r>
            <w:bookmarkEnd w:id="17"/>
            <w:r w:rsidRPr="005B65AA">
              <w:rPr>
                <w:rFonts w:eastAsia="Calibri"/>
                <w:b/>
                <w:bCs/>
                <w:szCs w:val="22"/>
              </w:rPr>
              <w:t>eneral</w:t>
            </w:r>
          </w:p>
          <w:p w:rsidR="005B65AA" w:rsidRPr="005B65AA" w:rsidRDefault="005B65AA" w:rsidP="005B65AA">
            <w:pPr>
              <w:tabs>
                <w:tab w:val="left" w:pos="0"/>
              </w:tabs>
              <w:ind w:left="0" w:firstLine="0"/>
              <w:rPr>
                <w:rFonts w:eastAsia="Calibri"/>
                <w:bCs/>
                <w:szCs w:val="22"/>
              </w:rPr>
            </w:pPr>
            <w:r w:rsidRPr="005B65AA">
              <w:rPr>
                <w:rFonts w:eastAsia="Calibri"/>
                <w:bCs/>
                <w:szCs w:val="22"/>
              </w:rPr>
              <w:t>This shall be the equivalent to the function performed by the command frame.</w:t>
            </w:r>
          </w:p>
          <w:p w:rsidR="005B65AA" w:rsidRPr="005B65AA" w:rsidRDefault="005B65AA" w:rsidP="005B65AA">
            <w:pPr>
              <w:tabs>
                <w:tab w:val="left" w:pos="0"/>
              </w:tabs>
              <w:ind w:left="0" w:firstLine="0"/>
              <w:rPr>
                <w:rFonts w:eastAsia="Calibri"/>
                <w:bCs/>
                <w:szCs w:val="22"/>
              </w:rPr>
            </w:pPr>
            <w:r w:rsidRPr="005B65AA">
              <w:rPr>
                <w:rFonts w:eastAsia="Calibri"/>
                <w:bCs/>
                <w:szCs w:val="22"/>
              </w:rPr>
              <w:t xml:space="preserve">The different functions as specified by the command word in IEEE C37.118.2 can be  performed by equivalent IEC 61850 actions or services as specified in </w:t>
            </w:r>
            <w:hyperlink w:anchor="_bookmark27" w:history="1">
              <w:r w:rsidRPr="005B65AA">
                <w:rPr>
                  <w:rFonts w:eastAsia="Calibri"/>
                  <w:bCs/>
                  <w:szCs w:val="22"/>
                </w:rPr>
                <w:t>Table 1:</w:t>
              </w:r>
            </w:hyperlink>
          </w:p>
          <w:p w:rsidR="005B65AA" w:rsidRPr="005B65AA" w:rsidRDefault="005B65AA" w:rsidP="005B65AA">
            <w:pPr>
              <w:tabs>
                <w:tab w:val="left" w:pos="0"/>
              </w:tabs>
              <w:ind w:left="0" w:firstLine="0"/>
              <w:rPr>
                <w:rFonts w:eastAsia="Calibri"/>
                <w:bCs/>
                <w:szCs w:val="22"/>
              </w:rPr>
            </w:pPr>
          </w:p>
          <w:p w:rsidR="005B65AA" w:rsidRPr="005B65AA" w:rsidRDefault="005B65AA" w:rsidP="005B65AA">
            <w:pPr>
              <w:tabs>
                <w:tab w:val="left" w:pos="0"/>
              </w:tabs>
              <w:ind w:left="0" w:firstLine="0"/>
              <w:rPr>
                <w:rFonts w:eastAsia="Calibri"/>
                <w:bCs/>
                <w:szCs w:val="22"/>
              </w:rPr>
            </w:pPr>
          </w:p>
        </w:tc>
      </w:tr>
    </w:tbl>
    <w:p w:rsidR="005B65AA" w:rsidRDefault="005B65AA" w:rsidP="00811BEA">
      <w:pPr>
        <w:ind w:left="0" w:firstLine="0"/>
        <w:jc w:val="center"/>
        <w:rPr>
          <w:b/>
        </w:rPr>
      </w:pPr>
    </w:p>
    <w:p w:rsidR="005B65AA" w:rsidRDefault="005B65AA" w:rsidP="00811BEA">
      <w:pPr>
        <w:ind w:left="0" w:firstLine="0"/>
        <w:jc w:val="center"/>
        <w:rPr>
          <w:b/>
        </w:rPr>
      </w:pPr>
      <w:r w:rsidRPr="005B65AA">
        <w:rPr>
          <w:b/>
        </w:rPr>
        <w:t>1</w:t>
      </w:r>
      <w:r>
        <w:rPr>
          <w:b/>
        </w:rPr>
        <w:t>-р хүснэгт</w:t>
      </w:r>
      <w:r w:rsidRPr="005B65AA">
        <w:rPr>
          <w:b/>
        </w:rPr>
        <w:t xml:space="preserve"> – Эквивалент командууд</w:t>
      </w:r>
    </w:p>
    <w:tbl>
      <w:tblPr>
        <w:tblStyle w:val="TableGrid"/>
        <w:tblW w:w="0" w:type="auto"/>
        <w:tblLook w:val="04A0" w:firstRow="1" w:lastRow="0" w:firstColumn="1" w:lastColumn="0" w:noHBand="0" w:noVBand="1"/>
      </w:tblPr>
      <w:tblGrid>
        <w:gridCol w:w="2055"/>
        <w:gridCol w:w="3707"/>
        <w:gridCol w:w="3582"/>
      </w:tblGrid>
      <w:tr w:rsidR="005B65AA" w:rsidTr="005B65AA">
        <w:tc>
          <w:tcPr>
            <w:tcW w:w="2055" w:type="dxa"/>
          </w:tcPr>
          <w:p w:rsidR="005B65AA" w:rsidRPr="00EF2D2B" w:rsidRDefault="005B65AA" w:rsidP="005B65AA">
            <w:pPr>
              <w:pStyle w:val="TableParagraph"/>
              <w:tabs>
                <w:tab w:val="left" w:pos="0"/>
              </w:tabs>
              <w:spacing w:before="53" w:line="276" w:lineRule="auto"/>
              <w:ind w:left="357" w:hanging="212"/>
              <w:jc w:val="center"/>
              <w:rPr>
                <w:b/>
                <w:sz w:val="20"/>
                <w:szCs w:val="20"/>
                <w:lang w:val="mn-MN"/>
              </w:rPr>
            </w:pPr>
            <w:r w:rsidRPr="00EF2D2B">
              <w:rPr>
                <w:b/>
                <w:sz w:val="20"/>
                <w:szCs w:val="20"/>
                <w:lang w:val="mn-MN"/>
              </w:rPr>
              <w:t>Команд үг</w:t>
            </w:r>
          </w:p>
        </w:tc>
        <w:tc>
          <w:tcPr>
            <w:tcW w:w="3707" w:type="dxa"/>
          </w:tcPr>
          <w:p w:rsidR="005B65AA" w:rsidRPr="00EF2D2B" w:rsidRDefault="005B65AA" w:rsidP="005B65AA">
            <w:pPr>
              <w:pStyle w:val="TableParagraph"/>
              <w:tabs>
                <w:tab w:val="left" w:pos="0"/>
              </w:tabs>
              <w:spacing w:before="145" w:line="276" w:lineRule="auto"/>
              <w:ind w:left="854"/>
              <w:jc w:val="center"/>
              <w:rPr>
                <w:b/>
                <w:sz w:val="20"/>
                <w:szCs w:val="20"/>
                <w:lang w:val="mn-MN"/>
              </w:rPr>
            </w:pPr>
            <w:r w:rsidRPr="00EF2D2B">
              <w:rPr>
                <w:b/>
                <w:sz w:val="20"/>
                <w:szCs w:val="20"/>
                <w:lang w:val="mn-MN"/>
              </w:rPr>
              <w:t>Тодорхойлолт (IEEE C37.118.2)</w:t>
            </w:r>
          </w:p>
        </w:tc>
        <w:tc>
          <w:tcPr>
            <w:tcW w:w="3582" w:type="dxa"/>
          </w:tcPr>
          <w:p w:rsidR="005B65AA" w:rsidRPr="00EF2D2B" w:rsidRDefault="005B65AA" w:rsidP="005B65AA">
            <w:pPr>
              <w:pStyle w:val="TableParagraph"/>
              <w:tabs>
                <w:tab w:val="left" w:pos="0"/>
              </w:tabs>
              <w:spacing w:before="145" w:line="276" w:lineRule="auto"/>
              <w:ind w:left="458"/>
              <w:jc w:val="center"/>
              <w:rPr>
                <w:b/>
                <w:sz w:val="20"/>
                <w:szCs w:val="20"/>
                <w:lang w:val="mn-MN"/>
              </w:rPr>
            </w:pPr>
            <w:r w:rsidRPr="00EF2D2B">
              <w:rPr>
                <w:b/>
                <w:sz w:val="20"/>
                <w:szCs w:val="20"/>
                <w:lang w:val="mn-MN"/>
              </w:rPr>
              <w:t xml:space="preserve">Ижил IEC 61850 </w:t>
            </w:r>
            <w:r w:rsidRPr="00EF2D2B">
              <w:rPr>
                <w:b/>
                <w:spacing w:val="5"/>
                <w:sz w:val="20"/>
                <w:szCs w:val="20"/>
                <w:lang w:val="mn-MN"/>
              </w:rPr>
              <w:t>үйл ажиллагаа</w:t>
            </w:r>
            <w:r w:rsidRPr="00EF2D2B">
              <w:rPr>
                <w:b/>
                <w:sz w:val="20"/>
                <w:szCs w:val="20"/>
                <w:lang w:val="mn-MN"/>
              </w:rPr>
              <w:t>/сервис</w:t>
            </w:r>
          </w:p>
        </w:tc>
      </w:tr>
      <w:tr w:rsid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1</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Хүрээний дамжуулалтыг унтраа</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SVCB-ийг идэвхгүй болгох (SVCB-д SvEna-г буруу гэж тохируулах)</w:t>
            </w:r>
          </w:p>
        </w:tc>
      </w:tr>
      <w:tr w:rsid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2</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Хүрээний дамжуулалтыг асаа</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SVCB-г идэвхжүүлэх (SVCB-д SvEna-г зөв гэж тохируулах)</w:t>
            </w:r>
          </w:p>
        </w:tc>
      </w:tr>
      <w:tr w:rsid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3</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Гарчиг илгээх</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FC “DC” -ийн мэдээллийг унших ба SvCB-г унших (9.4-ийг үзнэ үү)</w:t>
            </w:r>
          </w:p>
        </w:tc>
      </w:tr>
      <w:tr w:rsid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4</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CFG-1 мэдээлэл илгээх</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 xml:space="preserve">Төхөөрөмжийн бусад бүх LN-уудтай адил PMU-тэй холбоотой функцүүдийн (жишээ нь логик төхөөрөмж PMU буюу PMU </w:t>
            </w:r>
            <w:r w:rsidRPr="005B65AA">
              <w:rPr>
                <w:rFonts w:eastAsia="Calibri"/>
                <w:bCs/>
                <w:sz w:val="20"/>
                <w:szCs w:val="20"/>
              </w:rPr>
              <w:lastRenderedPageBreak/>
              <w:t>функцийг төлөөлдөг LN) өгөгдлийн загварыг олж авах.</w:t>
            </w:r>
          </w:p>
        </w:tc>
      </w:tr>
      <w:tr w:rsid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lastRenderedPageBreak/>
              <w:t>5</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CFG-2 мэдээлэл илгээх</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Өгөгдлийн загвараас бодит хэмжилтийг унших (MMXU гэх мэт).</w:t>
            </w:r>
          </w:p>
        </w:tc>
      </w:tr>
      <w:tr w:rsid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8</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Өргөтгөсөн хүрээ</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Хамрах хүрээ</w:t>
            </w:r>
          </w:p>
        </w:tc>
      </w:tr>
    </w:tbl>
    <w:p w:rsidR="005B65AA" w:rsidRDefault="005B65AA" w:rsidP="00811BEA">
      <w:pPr>
        <w:ind w:left="0" w:firstLine="0"/>
        <w:jc w:val="center"/>
        <w:rPr>
          <w:b/>
        </w:rPr>
      </w:pPr>
    </w:p>
    <w:p w:rsidR="005B65AA" w:rsidRDefault="005B65AA" w:rsidP="00811BEA">
      <w:pPr>
        <w:ind w:left="0" w:firstLine="0"/>
        <w:jc w:val="center"/>
        <w:rPr>
          <w:b/>
        </w:rPr>
      </w:pPr>
      <w:r w:rsidRPr="005B65AA">
        <w:rPr>
          <w:b/>
        </w:rPr>
        <w:t>Table 1 – Equivalent commands</w:t>
      </w:r>
    </w:p>
    <w:tbl>
      <w:tblPr>
        <w:tblStyle w:val="TableGrid"/>
        <w:tblW w:w="0" w:type="auto"/>
        <w:tblLook w:val="04A0" w:firstRow="1" w:lastRow="0" w:firstColumn="1" w:lastColumn="0" w:noHBand="0" w:noVBand="1"/>
      </w:tblPr>
      <w:tblGrid>
        <w:gridCol w:w="2055"/>
        <w:gridCol w:w="3707"/>
        <w:gridCol w:w="3582"/>
      </w:tblGrid>
      <w:tr w:rsidR="005B65AA" w:rsidRPr="00EF2D2B" w:rsidTr="005B65AA">
        <w:tc>
          <w:tcPr>
            <w:tcW w:w="2055" w:type="dxa"/>
          </w:tcPr>
          <w:p w:rsidR="005B65AA" w:rsidRPr="00EF2D2B" w:rsidRDefault="005B65AA" w:rsidP="005B65AA">
            <w:pPr>
              <w:pStyle w:val="TableParagraph"/>
              <w:tabs>
                <w:tab w:val="left" w:pos="0"/>
              </w:tabs>
              <w:spacing w:before="53" w:line="276" w:lineRule="auto"/>
              <w:ind w:left="357" w:hanging="212"/>
              <w:rPr>
                <w:b/>
                <w:sz w:val="20"/>
                <w:szCs w:val="20"/>
                <w:lang w:val="mn-MN"/>
              </w:rPr>
            </w:pPr>
            <w:r w:rsidRPr="00EF2D2B">
              <w:rPr>
                <w:b/>
                <w:sz w:val="20"/>
                <w:szCs w:val="20"/>
                <w:lang w:val="mn-MN"/>
              </w:rPr>
              <w:t>Command word</w:t>
            </w:r>
          </w:p>
        </w:tc>
        <w:tc>
          <w:tcPr>
            <w:tcW w:w="3707" w:type="dxa"/>
          </w:tcPr>
          <w:p w:rsidR="005B65AA" w:rsidRPr="00EF2D2B" w:rsidRDefault="005B65AA" w:rsidP="005B65AA">
            <w:pPr>
              <w:pStyle w:val="TableParagraph"/>
              <w:tabs>
                <w:tab w:val="left" w:pos="0"/>
              </w:tabs>
              <w:spacing w:before="145" w:line="276" w:lineRule="auto"/>
              <w:ind w:left="854"/>
              <w:rPr>
                <w:b/>
                <w:sz w:val="20"/>
                <w:szCs w:val="20"/>
                <w:lang w:val="mn-MN"/>
              </w:rPr>
            </w:pPr>
            <w:r w:rsidRPr="00EF2D2B">
              <w:rPr>
                <w:b/>
                <w:sz w:val="20"/>
                <w:szCs w:val="20"/>
                <w:lang w:val="mn-MN"/>
              </w:rPr>
              <w:t>Definition (IEEE C37.118.2)</w:t>
            </w:r>
          </w:p>
        </w:tc>
        <w:tc>
          <w:tcPr>
            <w:tcW w:w="3582" w:type="dxa"/>
          </w:tcPr>
          <w:p w:rsidR="005B65AA" w:rsidRPr="00EF2D2B" w:rsidRDefault="005B65AA" w:rsidP="005B65AA">
            <w:pPr>
              <w:pStyle w:val="TableParagraph"/>
              <w:tabs>
                <w:tab w:val="left" w:pos="0"/>
              </w:tabs>
              <w:spacing w:before="145" w:line="276" w:lineRule="auto"/>
              <w:ind w:left="458"/>
              <w:rPr>
                <w:b/>
                <w:sz w:val="20"/>
                <w:szCs w:val="20"/>
                <w:lang w:val="mn-MN"/>
              </w:rPr>
            </w:pPr>
            <w:r w:rsidRPr="00EF2D2B">
              <w:rPr>
                <w:b/>
                <w:sz w:val="20"/>
                <w:szCs w:val="20"/>
                <w:lang w:val="mn-MN"/>
              </w:rPr>
              <w:t>Equivalent IEC 61850 action /service</w:t>
            </w:r>
          </w:p>
        </w:tc>
      </w:tr>
      <w:tr w:rsidR="005B65AA" w:rsidRP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1</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Turn off transmission of frames</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Disable SVCB (set SvEna in SVCB to False)</w:t>
            </w:r>
          </w:p>
        </w:tc>
      </w:tr>
      <w:tr w:rsidR="005B65AA" w:rsidRP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2</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Turn on transmission of frames</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Enable SVCB (set SvEna in SVCB to True)</w:t>
            </w:r>
          </w:p>
        </w:tc>
      </w:tr>
      <w:tr w:rsidR="005B65AA" w:rsidRP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3</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Send header</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 xml:space="preserve">Read information for FC “DC” and read SvCB (see </w:t>
            </w:r>
            <w:hyperlink w:anchor="_bookmark34" w:history="1">
              <w:r w:rsidRPr="005B65AA">
                <w:rPr>
                  <w:rFonts w:eastAsia="Calibri"/>
                  <w:bCs/>
                  <w:sz w:val="20"/>
                  <w:szCs w:val="20"/>
                </w:rPr>
                <w:t>9.4)</w:t>
              </w:r>
            </w:hyperlink>
          </w:p>
        </w:tc>
      </w:tr>
      <w:tr w:rsidR="005B65AA" w:rsidRP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4</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Send CFG-1 information</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Obtain data model of PMU related functions (e.g. logical device PMU or LNs representing PMU functions) as well as all other LNs in the device.</w:t>
            </w:r>
          </w:p>
        </w:tc>
      </w:tr>
      <w:tr w:rsidR="005B65AA" w:rsidRP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5</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Send CFG-2 information</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Read actual measurements from data model (MMXU, etc.)</w:t>
            </w:r>
          </w:p>
        </w:tc>
      </w:tr>
      <w:tr w:rsidR="005B65AA" w:rsidRPr="005B65AA" w:rsidTr="005B65AA">
        <w:tc>
          <w:tcPr>
            <w:tcW w:w="205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8</w:t>
            </w:r>
          </w:p>
        </w:tc>
        <w:tc>
          <w:tcPr>
            <w:tcW w:w="370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Extended frame</w:t>
            </w:r>
          </w:p>
        </w:tc>
        <w:tc>
          <w:tcPr>
            <w:tcW w:w="3582"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Out-of-scope</w:t>
            </w:r>
          </w:p>
        </w:tc>
      </w:tr>
    </w:tbl>
    <w:p w:rsidR="005B65AA" w:rsidRDefault="005B65AA" w:rsidP="00811BEA">
      <w:pPr>
        <w:ind w:left="0" w:firstLine="0"/>
        <w:jc w:val="center"/>
        <w:rPr>
          <w:b/>
        </w:rPr>
      </w:pPr>
    </w:p>
    <w:tbl>
      <w:tblPr>
        <w:tblStyle w:val="TableGrid"/>
        <w:tblW w:w="0" w:type="auto"/>
        <w:tblLook w:val="04A0" w:firstRow="1" w:lastRow="0" w:firstColumn="1" w:lastColumn="0" w:noHBand="0" w:noVBand="1"/>
      </w:tblPr>
      <w:tblGrid>
        <w:gridCol w:w="4672"/>
        <w:gridCol w:w="4672"/>
      </w:tblGrid>
      <w:tr w:rsidR="005B65AA" w:rsidTr="005B65AA">
        <w:tc>
          <w:tcPr>
            <w:tcW w:w="4672" w:type="dxa"/>
          </w:tcPr>
          <w:p w:rsidR="005B65AA" w:rsidRPr="005B65AA" w:rsidRDefault="005B65AA" w:rsidP="005B65AA">
            <w:pPr>
              <w:tabs>
                <w:tab w:val="left" w:pos="0"/>
              </w:tabs>
              <w:ind w:left="0" w:firstLine="0"/>
              <w:rPr>
                <w:rFonts w:eastAsia="Calibri"/>
                <w:b/>
                <w:bCs/>
                <w:szCs w:val="22"/>
              </w:rPr>
            </w:pPr>
            <w:r w:rsidRPr="005B65AA">
              <w:rPr>
                <w:rFonts w:eastAsia="Calibri"/>
                <w:b/>
                <w:bCs/>
                <w:szCs w:val="22"/>
              </w:rPr>
              <w:t>9.2.2 Удирдлагын блокууд</w:t>
            </w:r>
          </w:p>
          <w:p w:rsidR="005B65AA" w:rsidRPr="005B65AA" w:rsidRDefault="005B65AA" w:rsidP="005B65AA">
            <w:pPr>
              <w:tabs>
                <w:tab w:val="left" w:pos="0"/>
              </w:tabs>
              <w:ind w:left="0" w:firstLine="0"/>
              <w:rPr>
                <w:rFonts w:eastAsia="Calibri"/>
                <w:b/>
                <w:bCs/>
                <w:szCs w:val="22"/>
              </w:rPr>
            </w:pPr>
            <w:r w:rsidRPr="005B65AA">
              <w:rPr>
                <w:rFonts w:eastAsia="Calibri"/>
                <w:b/>
                <w:bCs/>
                <w:szCs w:val="22"/>
              </w:rPr>
              <w:t xml:space="preserve">9.2.2.1 Ерөнхий </w:t>
            </w:r>
            <w:r w:rsidR="00CC195F">
              <w:rPr>
                <w:rFonts w:eastAsia="Calibri"/>
                <w:b/>
                <w:bCs/>
                <w:szCs w:val="22"/>
              </w:rPr>
              <w:t>зүйл</w:t>
            </w:r>
          </w:p>
          <w:p w:rsidR="005B65AA" w:rsidRPr="005B65AA" w:rsidRDefault="005B65AA" w:rsidP="005B65AA">
            <w:pPr>
              <w:tabs>
                <w:tab w:val="left" w:pos="0"/>
              </w:tabs>
              <w:ind w:left="0" w:firstLine="0"/>
              <w:rPr>
                <w:rFonts w:eastAsia="Calibri"/>
                <w:bCs/>
                <w:szCs w:val="22"/>
              </w:rPr>
            </w:pPr>
            <w:r w:rsidRPr="005B65AA">
              <w:rPr>
                <w:rFonts w:eastAsia="Calibri"/>
                <w:bCs/>
                <w:szCs w:val="22"/>
              </w:rPr>
              <w:t>Тодорхойлох шаардлагатай хоёр (2) удирдлагын блок байдаг.Эдгээр удирдлагын функцүүд нь:</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Урсгалын мэдээллийг (ж.нь: түүвэрлэсэн утгууд) илгээх,</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Үйл явцад суурилсан мэдээллийг(e.g. GOOSE) илгээх.</w:t>
            </w:r>
          </w:p>
          <w:p w:rsidR="005B65AA" w:rsidRPr="005B65AA" w:rsidRDefault="005B65AA" w:rsidP="005B65AA">
            <w:pPr>
              <w:tabs>
                <w:tab w:val="left" w:pos="0"/>
              </w:tabs>
              <w:ind w:left="0" w:firstLine="0"/>
              <w:rPr>
                <w:rFonts w:eastAsia="Calibri"/>
                <w:bCs/>
                <w:szCs w:val="22"/>
              </w:rPr>
            </w:pPr>
            <w:r w:rsidRPr="005B65AA">
              <w:rPr>
                <w:rFonts w:eastAsia="Calibri"/>
                <w:bCs/>
                <w:szCs w:val="22"/>
              </w:rPr>
              <w:t>Эргээд нийцэл ээ хангахын тулд одоогийн тодорхойлсон IEC 61850-8-1 GOOSE ба SV удирдлагын блокууд өөрчлөгдөхгүй хэвээр байна.Тиймээс LN0-т нэмэлт хоёр шинэ функциональ хязгаарлалт байна:</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RS - Энэхүү баримт бичигт тодорхойлсон профайл дээр үндэслэн чиглүүлэгддэг SV багцуудын функциональ хязгаарлалтыг заана. Энэхүү хязгаарлалттай удирдлагын блокуудыг ROUTABLE-MULTICAST-SAMPLED-VALUE-CONTROL-BLOCK (R-MSVCB) гэж тодорхойлсон.</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lastRenderedPageBreak/>
              <w:t>RG - Энэхүү баримт бичигт тодорхойлсон профайл дээр үндэслэн чиглүүлэгддэг GOOSE багцуудын функциональ хязгаарлалтыг заана. Энэхүү хязгаарлалттай удирдлагынблокуудыг ROUTABLE-GOOSE-CONTROL-BLOCK (R-GoCB) гэж тодорхойлсон.</w:t>
            </w:r>
          </w:p>
          <w:p w:rsidR="005B65AA" w:rsidRPr="005B65AA" w:rsidRDefault="005B65AA" w:rsidP="005B65AA">
            <w:pPr>
              <w:tabs>
                <w:tab w:val="left" w:pos="0"/>
              </w:tabs>
              <w:ind w:left="0" w:firstLine="0"/>
              <w:rPr>
                <w:rFonts w:eastAsia="Calibri"/>
                <w:bCs/>
                <w:szCs w:val="22"/>
              </w:rPr>
            </w:pPr>
            <w:r w:rsidRPr="005B65AA">
              <w:rPr>
                <w:rFonts w:eastAsia="Calibri"/>
                <w:bCs/>
                <w:szCs w:val="22"/>
              </w:rPr>
              <w:t>Удирдлагын блокуудын шинэчлэл нь IEC 61850 стандартын хэд хэдэн хэсгүүдэд өөрчлөлт оруулсан. Өөрчлөгдсөн хэсгүүд нь:</w:t>
            </w:r>
          </w:p>
          <w:p w:rsidR="005B65AA" w:rsidRPr="005B65AA" w:rsidRDefault="005B65AA" w:rsidP="00472036">
            <w:pPr>
              <w:pStyle w:val="ListParagraph"/>
              <w:numPr>
                <w:ilvl w:val="0"/>
                <w:numId w:val="21"/>
              </w:numPr>
              <w:tabs>
                <w:tab w:val="left" w:pos="0"/>
              </w:tabs>
              <w:spacing w:after="0"/>
              <w:ind w:left="0" w:firstLine="0"/>
              <w:rPr>
                <w:rFonts w:eastAsia="Calibri"/>
                <w:bCs/>
                <w:szCs w:val="22"/>
              </w:rPr>
            </w:pPr>
            <w:r w:rsidRPr="005B65AA">
              <w:rPr>
                <w:rFonts w:eastAsia="Calibri"/>
                <w:bCs/>
                <w:szCs w:val="22"/>
              </w:rPr>
              <w:t>IEC 61850-8-1: Дараахь зүйлийг шинэчлэх хэрэгтэй:</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RS ба RG-ийн шинэ FC-уудыг тодорхой зааж өгөх;</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EC 61850-7-2 GoCB зураглалыг R-GoCB руу тодорхой зааж өгөх.</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IEC 61850-9-2: Дараахь зүйлийг шинэчлэх хэрэгтэй:</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IEC 61850-7-2 MSVCB зураглалыг R-MSVCB руу тодорхой зааж өгөх.</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RGoCB ба R-MSVCB хоёуланг нь тохирох техникийн тодорхойлолтодтохируулан EC 61850-6 - ийг шинэчлэх хэрэгтэй.</w:t>
            </w:r>
          </w:p>
          <w:p w:rsidR="005B65AA" w:rsidRPr="005B65AA" w:rsidRDefault="005B65AA" w:rsidP="005B65AA">
            <w:pPr>
              <w:tabs>
                <w:tab w:val="left" w:pos="0"/>
              </w:tabs>
              <w:ind w:left="0" w:firstLine="0"/>
              <w:rPr>
                <w:rFonts w:eastAsia="Calibri"/>
                <w:bCs/>
                <w:szCs w:val="22"/>
              </w:rPr>
            </w:pPr>
            <w:r w:rsidRPr="005B65AA">
              <w:rPr>
                <w:rFonts w:eastAsia="Calibri"/>
                <w:bCs/>
                <w:szCs w:val="22"/>
              </w:rPr>
              <w:t>Дараах дэд бүлгүүдэд шаардлагатай R-GoCB, R-MSVCB ба дэд станцын тохиргооны хэлний өөрчлөлтүүдийг тодорхой зааж өгсөн.</w:t>
            </w:r>
          </w:p>
          <w:p w:rsidR="005B65AA" w:rsidRPr="005B65AA" w:rsidRDefault="005B65AA" w:rsidP="005B65AA">
            <w:pPr>
              <w:tabs>
                <w:tab w:val="left" w:pos="0"/>
              </w:tabs>
              <w:ind w:left="0" w:firstLine="0"/>
              <w:rPr>
                <w:rFonts w:eastAsia="Calibri"/>
                <w:b/>
                <w:bCs/>
                <w:szCs w:val="22"/>
              </w:rPr>
            </w:pPr>
            <w:r w:rsidRPr="005B65AA">
              <w:rPr>
                <w:rFonts w:eastAsia="Calibri"/>
                <w:b/>
                <w:bCs/>
                <w:szCs w:val="22"/>
              </w:rPr>
              <w:t>9.2.2.2 IP удирдлагын блок дээрх түүвэрлэсэн утгууд: R-MSVCB</w:t>
            </w:r>
          </w:p>
          <w:p w:rsidR="005B65AA" w:rsidRPr="005B65AA" w:rsidRDefault="005B65AA" w:rsidP="005B65AA">
            <w:pPr>
              <w:tabs>
                <w:tab w:val="left" w:pos="0"/>
              </w:tabs>
              <w:ind w:left="0" w:firstLine="0"/>
              <w:rPr>
                <w:rFonts w:eastAsia="Calibri"/>
                <w:bCs/>
                <w:szCs w:val="22"/>
              </w:rPr>
            </w:pPr>
            <w:r w:rsidRPr="005B65AA">
              <w:rPr>
                <w:rFonts w:eastAsia="Calibri"/>
                <w:bCs/>
                <w:szCs w:val="22"/>
              </w:rPr>
              <w:t>синхрофазор урсгалыг түүвэрлэсэн утгыг ашиглан дамжуулна, гэхдээ IPv4 эсвэл IPv6 ашигладаг шилжүүлэх профайлаар дамжуулагдана. Үүнийг хэрэгжүүлэх мөн одоо байгаа Этернэт multicast-ыг  дэмжихийн тулд R-MSVCB бүтэц нь MSVCB-тэй төстэй төстэй боловч SecurityEnable атрибутыг сайжруулахад UDPCOMADDR ашиглана.</w:t>
            </w:r>
          </w:p>
          <w:p w:rsidR="005B65AA" w:rsidRPr="005B65AA" w:rsidRDefault="005B65AA" w:rsidP="005B65AA">
            <w:pPr>
              <w:tabs>
                <w:tab w:val="left" w:pos="0"/>
              </w:tabs>
              <w:ind w:left="0" w:firstLine="0"/>
              <w:rPr>
                <w:rFonts w:eastAsia="Calibri"/>
                <w:bCs/>
                <w:szCs w:val="22"/>
              </w:rPr>
            </w:pPr>
            <w:r w:rsidRPr="005B65AA">
              <w:rPr>
                <w:rFonts w:eastAsia="Calibri"/>
                <w:bCs/>
                <w:szCs w:val="22"/>
              </w:rPr>
              <w:lastRenderedPageBreak/>
              <w:t>R-MSVCB удирдлагын блокууд нь RS-ийн функциональ хязгаарлалттай байх ёстой.</w:t>
            </w:r>
            <w:bookmarkStart w:id="18" w:name="Table_2_–_R-MSVCB_class_definition"/>
            <w:bookmarkStart w:id="19" w:name="_bookmark29"/>
            <w:bookmarkEnd w:id="18"/>
            <w:bookmarkEnd w:id="19"/>
          </w:p>
          <w:p w:rsidR="005B65AA" w:rsidRPr="005B65AA" w:rsidRDefault="005B65AA" w:rsidP="005B65AA">
            <w:pPr>
              <w:tabs>
                <w:tab w:val="left" w:pos="0"/>
              </w:tabs>
              <w:ind w:left="0" w:firstLine="0"/>
              <w:rPr>
                <w:rFonts w:eastAsia="Calibri"/>
                <w:bCs/>
                <w:szCs w:val="22"/>
              </w:rPr>
            </w:pPr>
            <w:r w:rsidRPr="005B65AA">
              <w:rPr>
                <w:rFonts w:eastAsia="Calibri"/>
                <w:bCs/>
                <w:szCs w:val="22"/>
              </w:rPr>
              <w:t>2</w:t>
            </w:r>
            <w:r>
              <w:rPr>
                <w:rFonts w:eastAsia="Calibri"/>
                <w:bCs/>
                <w:szCs w:val="22"/>
              </w:rPr>
              <w:t>-р х</w:t>
            </w:r>
            <w:r w:rsidRPr="005B65AA">
              <w:rPr>
                <w:rFonts w:eastAsia="Calibri"/>
                <w:bCs/>
                <w:szCs w:val="22"/>
              </w:rPr>
              <w:t>үснэгт – R-MSVCB ангиллын тодорхойлолт</w:t>
            </w:r>
          </w:p>
        </w:tc>
        <w:tc>
          <w:tcPr>
            <w:tcW w:w="4672" w:type="dxa"/>
          </w:tcPr>
          <w:p w:rsidR="005B65AA" w:rsidRPr="005B65AA" w:rsidRDefault="005B65AA" w:rsidP="005B65AA">
            <w:pPr>
              <w:tabs>
                <w:tab w:val="left" w:pos="0"/>
              </w:tabs>
              <w:ind w:left="0" w:firstLine="0"/>
              <w:rPr>
                <w:rFonts w:eastAsia="Calibri"/>
                <w:b/>
                <w:bCs/>
                <w:szCs w:val="22"/>
              </w:rPr>
            </w:pPr>
            <w:r w:rsidRPr="005B65AA">
              <w:rPr>
                <w:rFonts w:eastAsia="Calibri"/>
                <w:b/>
                <w:bCs/>
                <w:szCs w:val="22"/>
              </w:rPr>
              <w:lastRenderedPageBreak/>
              <w:t xml:space="preserve">9.2.2 control blocks </w:t>
            </w:r>
          </w:p>
          <w:p w:rsidR="005B65AA" w:rsidRPr="005B65AA" w:rsidRDefault="005B65AA" w:rsidP="005B65AA">
            <w:pPr>
              <w:tabs>
                <w:tab w:val="left" w:pos="0"/>
              </w:tabs>
              <w:ind w:left="0" w:firstLine="0"/>
              <w:rPr>
                <w:rFonts w:eastAsia="Calibri"/>
                <w:b/>
                <w:bCs/>
                <w:szCs w:val="22"/>
              </w:rPr>
            </w:pPr>
            <w:r w:rsidRPr="005B65AA">
              <w:rPr>
                <w:rFonts w:eastAsia="Calibri"/>
                <w:b/>
                <w:bCs/>
                <w:szCs w:val="22"/>
              </w:rPr>
              <w:t>9.2.2.1 General</w:t>
            </w:r>
          </w:p>
          <w:p w:rsidR="005B65AA" w:rsidRPr="005B65AA" w:rsidRDefault="005B65AA" w:rsidP="005B65AA">
            <w:pPr>
              <w:tabs>
                <w:tab w:val="left" w:pos="0"/>
              </w:tabs>
              <w:ind w:left="0" w:firstLine="0"/>
              <w:rPr>
                <w:rFonts w:eastAsia="Calibri"/>
                <w:bCs/>
                <w:szCs w:val="22"/>
              </w:rPr>
            </w:pPr>
            <w:r w:rsidRPr="005B65AA">
              <w:rPr>
                <w:rFonts w:eastAsia="Calibri"/>
                <w:bCs/>
                <w:szCs w:val="22"/>
              </w:rPr>
              <w:t>There are two (2) control blocks that need to be defined. The functions of these control blocks allow:</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the sending of stream information (e.g. Sampled Values),</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the sending of event driven information (e.g. GOOSE).</w:t>
            </w:r>
          </w:p>
          <w:p w:rsidR="005B65AA" w:rsidRPr="005B65AA" w:rsidRDefault="005B65AA" w:rsidP="005B65AA">
            <w:pPr>
              <w:tabs>
                <w:tab w:val="left" w:pos="0"/>
              </w:tabs>
              <w:ind w:left="0" w:firstLine="0"/>
              <w:rPr>
                <w:rFonts w:eastAsia="Calibri"/>
                <w:bCs/>
                <w:szCs w:val="22"/>
              </w:rPr>
            </w:pPr>
            <w:r w:rsidRPr="005B65AA">
              <w:rPr>
                <w:rFonts w:eastAsia="Calibri"/>
                <w:bCs/>
                <w:szCs w:val="22"/>
              </w:rPr>
              <w:t>In order to provide backward compatibility, the currently defined IEC 61850-8-1 GOOSE and  SV control blocks will remain unchanged. Therefore, there are two new functional constraints that will be added to LN0:</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RS – Indicates a functional constraint for routable SV packets based upon the  profile defined in this document. The control blocks with this constraint will be defined as ROUTABLE-MULTICAST-SAMPLED-VALUE-CONTROL-BLOCK (R-MSVCB).</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lastRenderedPageBreak/>
              <w:t>RG – Indicates a functional constraint for routable GOOSE packets based upon the profile defined in this document. The control blocks with this constraint will be defined as  ROUTABLE-GOOSE-CONTROL-BLOCK (R-GoCB).</w:t>
            </w:r>
          </w:p>
          <w:p w:rsidR="005B65AA" w:rsidRPr="005B65AA" w:rsidRDefault="005B65AA" w:rsidP="005B65AA">
            <w:pPr>
              <w:tabs>
                <w:tab w:val="left" w:pos="0"/>
              </w:tabs>
              <w:ind w:left="0" w:firstLine="0"/>
              <w:rPr>
                <w:rFonts w:eastAsia="Calibri"/>
                <w:bCs/>
                <w:szCs w:val="22"/>
              </w:rPr>
            </w:pPr>
            <w:r w:rsidRPr="005B65AA">
              <w:rPr>
                <w:rFonts w:eastAsia="Calibri"/>
                <w:bCs/>
                <w:szCs w:val="22"/>
              </w:rPr>
              <w:t>The introduction of new control  blocks  has  an  impact  on  several  different  parts  of  the  IEC 61850 standard. The impacted parts are:</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IEC 61850-8-1: Will need to be updated to:</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specify the new FCs of RS and RG;</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specify the mapping of the IEC 61850-7-2 GoCB to the R-GoCB.</w:t>
            </w:r>
          </w:p>
          <w:p w:rsidR="005B65AA" w:rsidRPr="005B65AA" w:rsidRDefault="005B65AA" w:rsidP="005B65AA">
            <w:pPr>
              <w:pStyle w:val="ListParagraph"/>
              <w:tabs>
                <w:tab w:val="left" w:pos="0"/>
              </w:tabs>
              <w:spacing w:after="0"/>
              <w:ind w:left="0" w:firstLine="0"/>
              <w:rPr>
                <w:rFonts w:eastAsia="Calibri"/>
                <w:bCs/>
                <w:szCs w:val="22"/>
              </w:rPr>
            </w:pP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IEC 61850-9-2: Will need to be updated to:</w:t>
            </w:r>
          </w:p>
          <w:p w:rsidR="005B65AA" w:rsidRPr="005B65AA" w:rsidRDefault="005B65AA" w:rsidP="00472036">
            <w:pPr>
              <w:pStyle w:val="ListParagraph"/>
              <w:numPr>
                <w:ilvl w:val="5"/>
                <w:numId w:val="17"/>
              </w:numPr>
              <w:tabs>
                <w:tab w:val="left" w:pos="0"/>
              </w:tabs>
              <w:spacing w:after="0"/>
              <w:ind w:left="0" w:firstLine="0"/>
              <w:rPr>
                <w:rFonts w:eastAsia="Calibri"/>
                <w:bCs/>
                <w:szCs w:val="22"/>
              </w:rPr>
            </w:pPr>
            <w:r w:rsidRPr="005B65AA">
              <w:rPr>
                <w:rFonts w:eastAsia="Calibri"/>
                <w:bCs/>
                <w:szCs w:val="22"/>
              </w:rPr>
              <w:t>specify the mapping of the IEC 61850-7-2 MSVCB to the R-MSVCB</w:t>
            </w:r>
          </w:p>
          <w:p w:rsidR="005B65AA" w:rsidRPr="005B65AA" w:rsidRDefault="005B65AA" w:rsidP="00472036">
            <w:pPr>
              <w:pStyle w:val="ListParagraph"/>
              <w:numPr>
                <w:ilvl w:val="0"/>
                <w:numId w:val="16"/>
              </w:numPr>
              <w:tabs>
                <w:tab w:val="left" w:pos="0"/>
              </w:tabs>
              <w:spacing w:after="0"/>
              <w:ind w:left="0" w:firstLine="0"/>
              <w:rPr>
                <w:rFonts w:eastAsia="Calibri"/>
                <w:bCs/>
                <w:szCs w:val="22"/>
              </w:rPr>
            </w:pPr>
            <w:r w:rsidRPr="005B65AA">
              <w:rPr>
                <w:rFonts w:eastAsia="Calibri"/>
                <w:bCs/>
                <w:szCs w:val="22"/>
              </w:rPr>
              <w:t>IEC 61850-6 will need to be updated to allow the appropriate specification of both the R-GoCB and R-MSVCB.</w:t>
            </w:r>
          </w:p>
          <w:p w:rsidR="005B65AA" w:rsidRPr="005B65AA" w:rsidRDefault="005B65AA" w:rsidP="005B65AA">
            <w:pPr>
              <w:tabs>
                <w:tab w:val="left" w:pos="0"/>
              </w:tabs>
              <w:ind w:left="0" w:firstLine="0"/>
              <w:rPr>
                <w:rFonts w:eastAsia="Calibri"/>
                <w:bCs/>
                <w:szCs w:val="22"/>
              </w:rPr>
            </w:pPr>
          </w:p>
          <w:p w:rsidR="005B65AA" w:rsidRPr="005B65AA" w:rsidRDefault="005B65AA" w:rsidP="005B65AA">
            <w:pPr>
              <w:tabs>
                <w:tab w:val="left" w:pos="0"/>
              </w:tabs>
              <w:ind w:left="0" w:firstLine="0"/>
              <w:rPr>
                <w:rFonts w:eastAsia="Calibri"/>
                <w:bCs/>
                <w:szCs w:val="22"/>
              </w:rPr>
            </w:pPr>
            <w:r w:rsidRPr="005B65AA">
              <w:rPr>
                <w:rFonts w:eastAsia="Calibri"/>
                <w:bCs/>
                <w:szCs w:val="22"/>
              </w:rPr>
              <w:t>The following subclauses specify the R-GoCB, R-MSVCB, and the Substation Configuration Language changes that are required.</w:t>
            </w:r>
          </w:p>
          <w:p w:rsidR="005B65AA" w:rsidRPr="005B65AA" w:rsidRDefault="005B65AA" w:rsidP="005B65AA">
            <w:pPr>
              <w:tabs>
                <w:tab w:val="left" w:pos="0"/>
              </w:tabs>
              <w:ind w:left="0" w:firstLine="0"/>
              <w:rPr>
                <w:rFonts w:eastAsia="Calibri"/>
                <w:b/>
                <w:bCs/>
                <w:szCs w:val="22"/>
              </w:rPr>
            </w:pPr>
            <w:bookmarkStart w:id="20" w:name="_bookmark28"/>
            <w:bookmarkEnd w:id="20"/>
            <w:r w:rsidRPr="005B65AA">
              <w:rPr>
                <w:rFonts w:eastAsia="Calibri"/>
                <w:b/>
                <w:bCs/>
                <w:szCs w:val="22"/>
              </w:rPr>
              <w:t>9.2.2.2 Sampled values over IP control block: R-MSVCB</w:t>
            </w:r>
          </w:p>
          <w:p w:rsidR="005B65AA" w:rsidRPr="005B65AA" w:rsidRDefault="005B65AA" w:rsidP="005B65AA">
            <w:pPr>
              <w:tabs>
                <w:tab w:val="left" w:pos="0"/>
              </w:tabs>
              <w:ind w:left="0" w:firstLine="0"/>
              <w:rPr>
                <w:rFonts w:eastAsia="Calibri"/>
                <w:bCs/>
                <w:szCs w:val="22"/>
              </w:rPr>
            </w:pPr>
            <w:r w:rsidRPr="005B65AA">
              <w:rPr>
                <w:rFonts w:eastAsia="Calibri"/>
                <w:bCs/>
                <w:szCs w:val="22"/>
              </w:rPr>
              <w:t>The synchrophasor stream will be transmitted via the use of Sampled Values, but over a transport profile that utilizes IPv4 or IPv6. In order to accomplish this, and to support the  existing Ethernet multicast, the R-MSVCB structure will be similar to the MSVCB, but with the enhancements of a SecurityEnable attribute, and the use UDPCOMADDR.</w:t>
            </w:r>
          </w:p>
          <w:p w:rsidR="005B65AA" w:rsidRPr="005B65AA" w:rsidRDefault="005B65AA" w:rsidP="005B65AA">
            <w:pPr>
              <w:tabs>
                <w:tab w:val="left" w:pos="0"/>
              </w:tabs>
              <w:ind w:left="0" w:firstLine="0"/>
              <w:rPr>
                <w:rFonts w:eastAsia="Calibri"/>
                <w:bCs/>
                <w:szCs w:val="22"/>
              </w:rPr>
            </w:pPr>
            <w:r w:rsidRPr="005B65AA">
              <w:rPr>
                <w:rFonts w:eastAsia="Calibri"/>
                <w:bCs/>
                <w:szCs w:val="22"/>
              </w:rPr>
              <w:t>R-MSVCB control blocks shall have a functional constrait of RS.</w:t>
            </w:r>
          </w:p>
          <w:p w:rsidR="005B65AA" w:rsidRPr="005B65AA" w:rsidRDefault="005B65AA" w:rsidP="005B65AA">
            <w:pPr>
              <w:tabs>
                <w:tab w:val="left" w:pos="0"/>
              </w:tabs>
              <w:ind w:left="0" w:firstLine="0"/>
              <w:rPr>
                <w:rFonts w:eastAsia="Calibri"/>
                <w:bCs/>
                <w:szCs w:val="22"/>
              </w:rPr>
            </w:pPr>
            <w:r w:rsidRPr="005B65AA">
              <w:rPr>
                <w:rFonts w:eastAsia="Calibri"/>
                <w:bCs/>
                <w:szCs w:val="22"/>
              </w:rPr>
              <w:t>Table 2 defines the R-MSVCB.</w:t>
            </w:r>
          </w:p>
          <w:p w:rsidR="005B65AA" w:rsidRPr="005B65AA" w:rsidRDefault="005B65AA" w:rsidP="005B65AA">
            <w:pPr>
              <w:tabs>
                <w:tab w:val="left" w:pos="0"/>
              </w:tabs>
              <w:ind w:left="0" w:firstLine="0"/>
              <w:rPr>
                <w:rFonts w:eastAsia="Calibri"/>
                <w:bCs/>
                <w:szCs w:val="22"/>
              </w:rPr>
            </w:pPr>
          </w:p>
          <w:p w:rsidR="005B65AA" w:rsidRPr="005B65AA" w:rsidRDefault="005B65AA" w:rsidP="005B65AA">
            <w:pPr>
              <w:tabs>
                <w:tab w:val="left" w:pos="0"/>
              </w:tabs>
              <w:ind w:left="0" w:firstLine="0"/>
              <w:rPr>
                <w:rFonts w:eastAsia="Calibri"/>
                <w:bCs/>
                <w:szCs w:val="22"/>
              </w:rPr>
            </w:pPr>
          </w:p>
        </w:tc>
      </w:tr>
    </w:tbl>
    <w:p w:rsidR="005B65AA" w:rsidRPr="00731F96" w:rsidRDefault="005B65AA" w:rsidP="005B65AA">
      <w:pPr>
        <w:ind w:left="0" w:firstLine="0"/>
      </w:pPr>
    </w:p>
    <w:p w:rsidR="005B65AA" w:rsidRDefault="005B65AA" w:rsidP="005B65AA">
      <w:pPr>
        <w:jc w:val="center"/>
        <w:rPr>
          <w:b/>
        </w:rPr>
      </w:pPr>
      <w:r w:rsidRPr="00EF2D2B">
        <w:rPr>
          <w:b/>
        </w:rPr>
        <w:t>2</w:t>
      </w:r>
      <w:r>
        <w:rPr>
          <w:b/>
        </w:rPr>
        <w:t xml:space="preserve">-р хүснэгт </w:t>
      </w:r>
      <w:r w:rsidRPr="00EF2D2B">
        <w:rPr>
          <w:b/>
        </w:rPr>
        <w:t xml:space="preserve"> – R-MSVCB ангиллын тодорхойлолт</w:t>
      </w:r>
    </w:p>
    <w:tbl>
      <w:tblPr>
        <w:tblStyle w:val="TableGrid"/>
        <w:tblW w:w="0" w:type="auto"/>
        <w:tblLook w:val="04A0" w:firstRow="1" w:lastRow="0" w:firstColumn="1" w:lastColumn="0" w:noHBand="0" w:noVBand="1"/>
      </w:tblPr>
      <w:tblGrid>
        <w:gridCol w:w="531"/>
        <w:gridCol w:w="2095"/>
        <w:gridCol w:w="1906"/>
        <w:gridCol w:w="1157"/>
        <w:gridCol w:w="1037"/>
        <w:gridCol w:w="2618"/>
      </w:tblGrid>
      <w:tr w:rsidR="005B65AA" w:rsidTr="005B65AA">
        <w:tc>
          <w:tcPr>
            <w:tcW w:w="2626" w:type="dxa"/>
            <w:gridSpan w:val="2"/>
          </w:tcPr>
          <w:p w:rsidR="005B65AA" w:rsidRPr="00EF2D2B" w:rsidRDefault="005B65AA" w:rsidP="005B65AA">
            <w:pPr>
              <w:pStyle w:val="TableParagraph"/>
              <w:tabs>
                <w:tab w:val="left" w:pos="0"/>
              </w:tabs>
              <w:spacing w:before="53" w:line="276" w:lineRule="auto"/>
              <w:ind w:left="534"/>
              <w:rPr>
                <w:b/>
                <w:sz w:val="20"/>
                <w:szCs w:val="20"/>
                <w:lang w:val="mn-MN"/>
              </w:rPr>
            </w:pPr>
            <w:r w:rsidRPr="00EF2D2B">
              <w:rPr>
                <w:b/>
                <w:sz w:val="20"/>
                <w:szCs w:val="20"/>
                <w:lang w:val="mn-MN"/>
              </w:rPr>
              <w:t>Атрибутын нэр</w:t>
            </w:r>
          </w:p>
        </w:tc>
        <w:tc>
          <w:tcPr>
            <w:tcW w:w="1906" w:type="dxa"/>
          </w:tcPr>
          <w:p w:rsidR="005B65AA" w:rsidRPr="00EF2D2B" w:rsidRDefault="005B65AA" w:rsidP="005B65AA">
            <w:pPr>
              <w:pStyle w:val="TableParagraph"/>
              <w:tabs>
                <w:tab w:val="left" w:pos="0"/>
              </w:tabs>
              <w:spacing w:before="53" w:line="276" w:lineRule="auto"/>
              <w:ind w:left="415"/>
              <w:rPr>
                <w:b/>
                <w:sz w:val="20"/>
                <w:szCs w:val="20"/>
                <w:lang w:val="mn-MN"/>
              </w:rPr>
            </w:pPr>
            <w:r w:rsidRPr="00EF2D2B">
              <w:rPr>
                <w:b/>
                <w:sz w:val="20"/>
                <w:szCs w:val="20"/>
                <w:lang w:val="mn-MN"/>
              </w:rPr>
              <w:t>Атрибутын төрөл</w:t>
            </w:r>
          </w:p>
        </w:tc>
        <w:tc>
          <w:tcPr>
            <w:tcW w:w="1157" w:type="dxa"/>
          </w:tcPr>
          <w:p w:rsidR="005B65AA" w:rsidRPr="00EF2D2B" w:rsidRDefault="005B65AA" w:rsidP="005B65AA">
            <w:pPr>
              <w:pStyle w:val="TableParagraph"/>
              <w:tabs>
                <w:tab w:val="left" w:pos="0"/>
              </w:tabs>
              <w:spacing w:before="53" w:line="276" w:lineRule="auto"/>
              <w:ind w:left="144" w:right="134"/>
              <w:jc w:val="center"/>
              <w:rPr>
                <w:b/>
                <w:sz w:val="20"/>
                <w:szCs w:val="20"/>
                <w:lang w:val="mn-MN"/>
              </w:rPr>
            </w:pPr>
            <w:r w:rsidRPr="00EF2D2B">
              <w:rPr>
                <w:b/>
                <w:sz w:val="20"/>
                <w:szCs w:val="20"/>
                <w:lang w:val="mn-MN"/>
              </w:rPr>
              <w:t>r/w</w:t>
            </w:r>
          </w:p>
        </w:tc>
        <w:tc>
          <w:tcPr>
            <w:tcW w:w="1037" w:type="dxa"/>
          </w:tcPr>
          <w:p w:rsidR="005B65AA" w:rsidRPr="00EF2D2B" w:rsidRDefault="005B65AA" w:rsidP="005B65AA">
            <w:pPr>
              <w:pStyle w:val="TableParagraph"/>
              <w:tabs>
                <w:tab w:val="left" w:pos="0"/>
              </w:tabs>
              <w:spacing w:before="53" w:line="276" w:lineRule="auto"/>
              <w:ind w:left="207"/>
              <w:rPr>
                <w:b/>
                <w:sz w:val="20"/>
                <w:szCs w:val="20"/>
                <w:lang w:val="mn-MN"/>
              </w:rPr>
            </w:pPr>
            <w:r w:rsidRPr="00EF2D2B">
              <w:rPr>
                <w:b/>
                <w:sz w:val="20"/>
                <w:szCs w:val="20"/>
                <w:lang w:val="mn-MN"/>
              </w:rPr>
              <w:t>m</w:t>
            </w:r>
          </w:p>
        </w:tc>
        <w:tc>
          <w:tcPr>
            <w:tcW w:w="2618" w:type="dxa"/>
          </w:tcPr>
          <w:p w:rsidR="005B65AA" w:rsidRPr="00EF2D2B" w:rsidRDefault="005B65AA" w:rsidP="005B65AA">
            <w:pPr>
              <w:pStyle w:val="TableParagraph"/>
              <w:tabs>
                <w:tab w:val="left" w:pos="0"/>
              </w:tabs>
              <w:spacing w:before="53" w:line="276" w:lineRule="auto"/>
              <w:ind w:left="786"/>
              <w:rPr>
                <w:b/>
                <w:sz w:val="20"/>
                <w:szCs w:val="20"/>
                <w:lang w:val="mn-MN"/>
              </w:rPr>
            </w:pPr>
            <w:r w:rsidRPr="00EF2D2B">
              <w:rPr>
                <w:b/>
                <w:sz w:val="20"/>
                <w:szCs w:val="20"/>
                <w:lang w:val="mn-MN"/>
              </w:rPr>
              <w:t>Утга/утгын хүрээ/тайлбар</w:t>
            </w: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sz w:val="20"/>
                <w:szCs w:val="20"/>
                <w:lang w:val="mn-MN"/>
              </w:rPr>
            </w:pPr>
            <w:r w:rsidRPr="00EF2D2B">
              <w:rPr>
                <w:sz w:val="20"/>
                <w:szCs w:val="20"/>
                <w:lang w:val="mn-MN"/>
              </w:rPr>
              <w:t>MsvCBName</w:t>
            </w:r>
          </w:p>
        </w:tc>
        <w:tc>
          <w:tcPr>
            <w:tcW w:w="1906"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ObjectName</w:t>
            </w:r>
          </w:p>
        </w:tc>
        <w:tc>
          <w:tcPr>
            <w:tcW w:w="1157" w:type="dxa"/>
          </w:tcPr>
          <w:p w:rsidR="005B65AA" w:rsidRPr="00EF2D2B" w:rsidRDefault="005B65AA" w:rsidP="005B65AA">
            <w:pPr>
              <w:pStyle w:val="TableParagraph"/>
              <w:tabs>
                <w:tab w:val="left" w:pos="0"/>
              </w:tabs>
              <w:spacing w:before="0" w:line="276" w:lineRule="auto"/>
              <w:jc w:val="center"/>
              <w:rPr>
                <w:sz w:val="20"/>
                <w:szCs w:val="20"/>
                <w:lang w:val="mn-MN"/>
              </w:rPr>
            </w:pPr>
            <w:r w:rsidRPr="00EF2D2B">
              <w:rPr>
                <w:sz w:val="20"/>
                <w:szCs w:val="20"/>
                <w:lang w:val="mn-MN"/>
              </w:rPr>
              <w:t>-</w:t>
            </w:r>
          </w:p>
        </w:tc>
        <w:tc>
          <w:tcPr>
            <w:tcW w:w="103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MMS объектын нэр: энэ бүрэлдэхүүн хэсгийн утга нь ObjectReference форматтай байх ба VMD эсвэл Domain-ний хамрах хүрээнд NamedVariableLists -ээр хязгаарлагдах ёстой.</w:t>
            </w: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sz w:val="20"/>
                <w:szCs w:val="20"/>
                <w:lang w:val="mn-MN"/>
              </w:rPr>
            </w:pPr>
            <w:r w:rsidRPr="00EF2D2B">
              <w:rPr>
                <w:sz w:val="20"/>
                <w:szCs w:val="20"/>
                <w:lang w:val="mn-MN"/>
              </w:rPr>
              <w:t>MsvCRef</w:t>
            </w:r>
          </w:p>
        </w:tc>
        <w:tc>
          <w:tcPr>
            <w:tcW w:w="1906"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ObjectReference</w:t>
            </w:r>
          </w:p>
        </w:tc>
        <w:tc>
          <w:tcPr>
            <w:tcW w:w="115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w:t>
            </w:r>
          </w:p>
        </w:tc>
        <w:tc>
          <w:tcPr>
            <w:tcW w:w="103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SVCB-ийн жишээ замын нэр</w:t>
            </w: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sz w:val="20"/>
                <w:szCs w:val="20"/>
                <w:lang w:val="mn-MN"/>
              </w:rPr>
            </w:pPr>
            <w:r w:rsidRPr="00EF2D2B">
              <w:rPr>
                <w:sz w:val="20"/>
                <w:szCs w:val="20"/>
                <w:lang w:val="mn-MN"/>
              </w:rPr>
              <w:t>SvEna</w:t>
            </w:r>
          </w:p>
        </w:tc>
        <w:tc>
          <w:tcPr>
            <w:tcW w:w="1906"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BOOLEAN</w:t>
            </w:r>
          </w:p>
        </w:tc>
        <w:tc>
          <w:tcPr>
            <w:tcW w:w="115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r/w</w:t>
            </w:r>
          </w:p>
        </w:tc>
        <w:tc>
          <w:tcPr>
            <w:tcW w:w="103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Идэвхжүүлсэн (TRUE)/идэвхгүй (FALSE), DEFAULT FALSE</w:t>
            </w: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sz w:val="20"/>
                <w:szCs w:val="20"/>
                <w:lang w:val="mn-MN"/>
              </w:rPr>
            </w:pPr>
            <w:r w:rsidRPr="00EF2D2B">
              <w:rPr>
                <w:sz w:val="20"/>
                <w:szCs w:val="20"/>
                <w:lang w:val="mn-MN"/>
              </w:rPr>
              <w:t>Resv</w:t>
            </w:r>
          </w:p>
        </w:tc>
        <w:tc>
          <w:tcPr>
            <w:tcW w:w="1906"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BOOLEAN</w:t>
            </w:r>
          </w:p>
        </w:tc>
        <w:tc>
          <w:tcPr>
            <w:tcW w:w="115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r/w</w:t>
            </w:r>
          </w:p>
        </w:tc>
        <w:tc>
          <w:tcPr>
            <w:tcW w:w="103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sz w:val="20"/>
                <w:szCs w:val="20"/>
                <w:lang w:val="mn-MN"/>
              </w:rPr>
            </w:pPr>
            <w:r w:rsidRPr="00EF2D2B">
              <w:rPr>
                <w:sz w:val="20"/>
                <w:szCs w:val="20"/>
                <w:lang w:val="mn-MN"/>
              </w:rPr>
              <w:t>MsvID</w:t>
            </w:r>
          </w:p>
        </w:tc>
        <w:tc>
          <w:tcPr>
            <w:tcW w:w="1906"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VISIBLE STRING129</w:t>
            </w:r>
          </w:p>
        </w:tc>
        <w:tc>
          <w:tcPr>
            <w:tcW w:w="115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r/w</w:t>
            </w:r>
          </w:p>
        </w:tc>
        <w:tc>
          <w:tcPr>
            <w:tcW w:w="1037" w:type="dxa"/>
          </w:tcPr>
          <w:p w:rsidR="005B65AA" w:rsidRPr="00EF2D2B" w:rsidRDefault="005B65AA" w:rsidP="005B65AA">
            <w:pPr>
              <w:pStyle w:val="TableParagraph"/>
              <w:tabs>
                <w:tab w:val="left" w:pos="0"/>
              </w:tabs>
              <w:spacing w:before="0" w:line="276" w:lineRule="auto"/>
              <w:rPr>
                <w:sz w:val="20"/>
                <w:szCs w:val="20"/>
                <w:lang w:val="mn-MN"/>
              </w:rPr>
            </w:pP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Системийн өргөн өвөрмөц таних тэмдэг ****.</w:t>
            </w: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lang w:val="mn-MN"/>
              </w:rPr>
            </w:pPr>
            <w:r w:rsidRPr="00EF2D2B">
              <w:rPr>
                <w:lang w:val="mn-MN"/>
              </w:rPr>
              <w:t>DatSet</w:t>
            </w:r>
          </w:p>
        </w:tc>
        <w:tc>
          <w:tcPr>
            <w:tcW w:w="1906" w:type="dxa"/>
          </w:tcPr>
          <w:p w:rsidR="005B65AA" w:rsidRPr="00EF2D2B" w:rsidRDefault="005B65AA" w:rsidP="005B65AA">
            <w:pPr>
              <w:pStyle w:val="TableParagraph"/>
              <w:tabs>
                <w:tab w:val="left" w:pos="0"/>
              </w:tabs>
              <w:spacing w:before="0" w:line="276" w:lineRule="auto"/>
              <w:rPr>
                <w:lang w:val="mn-MN"/>
              </w:rPr>
            </w:pPr>
            <w:r w:rsidRPr="00EF2D2B">
              <w:rPr>
                <w:lang w:val="mn-MN"/>
              </w:rPr>
              <w:t>ObjectReference</w:t>
            </w:r>
          </w:p>
        </w:tc>
        <w:tc>
          <w:tcPr>
            <w:tcW w:w="1157" w:type="dxa"/>
          </w:tcPr>
          <w:p w:rsidR="005B65AA" w:rsidRPr="00EF2D2B" w:rsidRDefault="005B65AA" w:rsidP="005B65AA">
            <w:pPr>
              <w:pStyle w:val="TableParagraph"/>
              <w:tabs>
                <w:tab w:val="left" w:pos="0"/>
              </w:tabs>
              <w:spacing w:before="0" w:line="276" w:lineRule="auto"/>
              <w:rPr>
                <w:lang w:val="mn-MN"/>
              </w:rPr>
            </w:pPr>
            <w:r w:rsidRPr="00EF2D2B">
              <w:rPr>
                <w:lang w:val="mn-MN"/>
              </w:rPr>
              <w:t>r/w</w:t>
            </w:r>
          </w:p>
        </w:tc>
        <w:tc>
          <w:tcPr>
            <w:tcW w:w="1037" w:type="dxa"/>
          </w:tcPr>
          <w:p w:rsidR="005B65AA" w:rsidRPr="00EF2D2B" w:rsidRDefault="005B65AA" w:rsidP="005B65AA">
            <w:pPr>
              <w:pStyle w:val="TableParagraph"/>
              <w:tabs>
                <w:tab w:val="left" w:pos="0"/>
              </w:tabs>
              <w:spacing w:before="0" w:line="276" w:lineRule="auto"/>
              <w:rPr>
                <w:lang w:val="mn-MN"/>
              </w:rPr>
            </w:pPr>
            <w:r w:rsidRPr="00EF2D2B">
              <w:rPr>
                <w:lang w:val="mn-MN"/>
              </w:rPr>
              <w:t>m</w:t>
            </w:r>
          </w:p>
        </w:tc>
        <w:tc>
          <w:tcPr>
            <w:tcW w:w="2618" w:type="dxa"/>
          </w:tcPr>
          <w:p w:rsidR="005B65AA" w:rsidRPr="005B65AA" w:rsidRDefault="005B65AA" w:rsidP="005B65AA">
            <w:pPr>
              <w:tabs>
                <w:tab w:val="left" w:pos="0"/>
              </w:tabs>
              <w:ind w:left="0" w:firstLine="0"/>
              <w:rPr>
                <w:rFonts w:eastAsia="Calibri"/>
                <w:bCs/>
                <w:sz w:val="20"/>
                <w:szCs w:val="20"/>
              </w:rPr>
            </w:pP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sz w:val="20"/>
                <w:szCs w:val="20"/>
                <w:lang w:val="mn-MN"/>
              </w:rPr>
            </w:pPr>
            <w:r w:rsidRPr="00EF2D2B">
              <w:rPr>
                <w:sz w:val="20"/>
                <w:szCs w:val="20"/>
                <w:lang w:val="mn-MN"/>
              </w:rPr>
              <w:t>ConfRev</w:t>
            </w:r>
          </w:p>
        </w:tc>
        <w:tc>
          <w:tcPr>
            <w:tcW w:w="1906"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INT32U</w:t>
            </w:r>
          </w:p>
        </w:tc>
        <w:tc>
          <w:tcPr>
            <w:tcW w:w="115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r</w:t>
            </w:r>
          </w:p>
        </w:tc>
        <w:tc>
          <w:tcPr>
            <w:tcW w:w="103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sz w:val="20"/>
                <w:szCs w:val="20"/>
                <w:lang w:val="mn-MN"/>
              </w:rPr>
            </w:pPr>
            <w:r w:rsidRPr="00EF2D2B">
              <w:rPr>
                <w:sz w:val="20"/>
                <w:szCs w:val="20"/>
                <w:lang w:val="mn-MN"/>
              </w:rPr>
              <w:t>SmpRate</w:t>
            </w:r>
          </w:p>
        </w:tc>
        <w:tc>
          <w:tcPr>
            <w:tcW w:w="1906"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INT16U</w:t>
            </w:r>
          </w:p>
        </w:tc>
        <w:tc>
          <w:tcPr>
            <w:tcW w:w="115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r/w</w:t>
            </w:r>
          </w:p>
        </w:tc>
        <w:tc>
          <w:tcPr>
            <w:tcW w:w="1037" w:type="dxa"/>
          </w:tcPr>
          <w:p w:rsidR="005B65AA" w:rsidRPr="00EF2D2B" w:rsidRDefault="005B65AA" w:rsidP="005B65AA">
            <w:pPr>
              <w:pStyle w:val="TableParagraph"/>
              <w:tabs>
                <w:tab w:val="left" w:pos="0"/>
              </w:tabs>
              <w:spacing w:before="0" w:line="276" w:lineRule="auto"/>
              <w:rPr>
                <w:sz w:val="20"/>
                <w:szCs w:val="20"/>
                <w:lang w:val="mn-MN"/>
              </w:rPr>
            </w:pP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(0..MAX)</w:t>
            </w:r>
          </w:p>
        </w:tc>
      </w:tr>
      <w:tr w:rsidR="005B65AA" w:rsidTr="005B65AA">
        <w:tc>
          <w:tcPr>
            <w:tcW w:w="2626" w:type="dxa"/>
            <w:gridSpan w:val="2"/>
          </w:tcPr>
          <w:p w:rsidR="005B65AA" w:rsidRPr="00731F96" w:rsidRDefault="005B65AA" w:rsidP="005B65AA">
            <w:pPr>
              <w:pStyle w:val="TableParagraph"/>
              <w:tabs>
                <w:tab w:val="left" w:pos="0"/>
              </w:tabs>
              <w:spacing w:before="0" w:line="276" w:lineRule="auto"/>
              <w:rPr>
                <w:sz w:val="20"/>
                <w:szCs w:val="20"/>
                <w:lang w:val="mn-MN"/>
              </w:rPr>
            </w:pPr>
            <w:r w:rsidRPr="00EF2D2B">
              <w:rPr>
                <w:sz w:val="20"/>
                <w:szCs w:val="20"/>
                <w:lang w:val="mn-MN"/>
              </w:rPr>
              <w:t>OptFlds</w:t>
            </w:r>
          </w:p>
        </w:tc>
        <w:tc>
          <w:tcPr>
            <w:tcW w:w="1906"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PACKEDLIST</w:t>
            </w:r>
          </w:p>
        </w:tc>
        <w:tc>
          <w:tcPr>
            <w:tcW w:w="1157" w:type="dxa"/>
          </w:tcPr>
          <w:p w:rsidR="005B65AA" w:rsidRPr="00EF2D2B" w:rsidRDefault="005B65AA" w:rsidP="005B65AA">
            <w:pPr>
              <w:pStyle w:val="TableParagraph"/>
              <w:tabs>
                <w:tab w:val="left" w:pos="0"/>
              </w:tabs>
              <w:spacing w:before="0" w:line="276" w:lineRule="auto"/>
              <w:rPr>
                <w:sz w:val="20"/>
                <w:szCs w:val="20"/>
                <w:lang w:val="mn-MN"/>
              </w:rPr>
            </w:pPr>
          </w:p>
        </w:tc>
        <w:tc>
          <w:tcPr>
            <w:tcW w:w="1037" w:type="dxa"/>
          </w:tcPr>
          <w:p w:rsidR="005B65AA" w:rsidRPr="00EF2D2B" w:rsidRDefault="005B65AA" w:rsidP="005B65AA">
            <w:pPr>
              <w:pStyle w:val="TableParagraph"/>
              <w:tabs>
                <w:tab w:val="left" w:pos="0"/>
              </w:tabs>
              <w:spacing w:before="0" w:line="276" w:lineRule="auto"/>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p>
        </w:tc>
      </w:tr>
      <w:tr w:rsidR="005B65AA" w:rsidTr="005B65AA">
        <w:tc>
          <w:tcPr>
            <w:tcW w:w="531" w:type="dxa"/>
          </w:tcPr>
          <w:p w:rsidR="005B65AA" w:rsidRPr="005B65AA" w:rsidRDefault="005B65AA" w:rsidP="005B65AA">
            <w:pPr>
              <w:pStyle w:val="TableParagraph"/>
              <w:tabs>
                <w:tab w:val="left" w:pos="0"/>
              </w:tabs>
              <w:spacing w:before="0" w:line="276" w:lineRule="auto"/>
              <w:rPr>
                <w:color w:val="A6A6A6" w:themeColor="background1" w:themeShade="A6"/>
                <w:sz w:val="20"/>
                <w:szCs w:val="20"/>
                <w:highlight w:val="lightGray"/>
                <w:lang w:val="mn-MN"/>
              </w:rPr>
            </w:pPr>
          </w:p>
        </w:tc>
        <w:tc>
          <w:tcPr>
            <w:tcW w:w="2095" w:type="dxa"/>
          </w:tcPr>
          <w:p w:rsidR="005B65AA" w:rsidRPr="00731F96" w:rsidRDefault="005B65AA" w:rsidP="005B65AA">
            <w:pPr>
              <w:pStyle w:val="TableParagraph"/>
              <w:tabs>
                <w:tab w:val="left" w:pos="0"/>
              </w:tabs>
              <w:spacing w:line="276" w:lineRule="auto"/>
              <w:ind w:left="55"/>
              <w:rPr>
                <w:sz w:val="20"/>
                <w:szCs w:val="20"/>
                <w:lang w:val="mn-MN"/>
              </w:rPr>
            </w:pPr>
            <w:r w:rsidRPr="00731F96">
              <w:rPr>
                <w:sz w:val="20"/>
                <w:szCs w:val="20"/>
                <w:lang w:val="mn-MN"/>
              </w:rPr>
              <w:t>refresh-time</w:t>
            </w:r>
          </w:p>
        </w:tc>
        <w:tc>
          <w:tcPr>
            <w:tcW w:w="1906" w:type="dxa"/>
          </w:tcPr>
          <w:p w:rsidR="005B65AA" w:rsidRPr="00EF2D2B" w:rsidRDefault="005B65AA" w:rsidP="005B65AA">
            <w:pPr>
              <w:pStyle w:val="TableParagraph"/>
              <w:tabs>
                <w:tab w:val="left" w:pos="0"/>
              </w:tabs>
              <w:spacing w:line="276" w:lineRule="auto"/>
              <w:ind w:left="55"/>
              <w:rPr>
                <w:sz w:val="20"/>
                <w:szCs w:val="20"/>
                <w:lang w:val="mn-MN"/>
              </w:rPr>
            </w:pPr>
            <w:r w:rsidRPr="00EF2D2B">
              <w:rPr>
                <w:sz w:val="20"/>
                <w:szCs w:val="20"/>
                <w:lang w:val="mn-MN"/>
              </w:rPr>
              <w:t>BOOLEAN</w:t>
            </w:r>
          </w:p>
        </w:tc>
        <w:tc>
          <w:tcPr>
            <w:tcW w:w="1157" w:type="dxa"/>
          </w:tcPr>
          <w:p w:rsidR="005B65AA" w:rsidRPr="00EF2D2B" w:rsidRDefault="005B65AA" w:rsidP="005B65AA">
            <w:pPr>
              <w:pStyle w:val="TableParagraph"/>
              <w:tabs>
                <w:tab w:val="left" w:pos="0"/>
              </w:tabs>
              <w:spacing w:line="276" w:lineRule="auto"/>
              <w:ind w:left="8"/>
              <w:jc w:val="center"/>
              <w:rPr>
                <w:sz w:val="20"/>
                <w:szCs w:val="20"/>
                <w:lang w:val="mn-MN"/>
              </w:rPr>
            </w:pPr>
            <w:r w:rsidRPr="00EF2D2B">
              <w:rPr>
                <w:sz w:val="20"/>
                <w:szCs w:val="20"/>
                <w:lang w:val="mn-MN"/>
              </w:rPr>
              <w:t>r</w:t>
            </w:r>
          </w:p>
        </w:tc>
        <w:tc>
          <w:tcPr>
            <w:tcW w:w="1037" w:type="dxa"/>
          </w:tcPr>
          <w:p w:rsidR="005B65AA" w:rsidRPr="00EF2D2B" w:rsidRDefault="005B65AA" w:rsidP="005B65AA">
            <w:pPr>
              <w:pStyle w:val="TableParagraph"/>
              <w:tabs>
                <w:tab w:val="left" w:pos="0"/>
              </w:tabs>
              <w:spacing w:line="276" w:lineRule="auto"/>
              <w:ind w:left="212"/>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 xml:space="preserve">TRUE = SV буфер нь "RefrTm" атрибут агуулсан </w:t>
            </w:r>
          </w:p>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FALSE = "RefrTm" атрибут нь SV буферт байхгүй байна.</w:t>
            </w:r>
          </w:p>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TransportinUse нь ЭТЕРНЭТ биш бол TRUE байна.</w:t>
            </w:r>
          </w:p>
        </w:tc>
      </w:tr>
      <w:tr w:rsidR="005B65AA" w:rsidTr="005B65AA">
        <w:tc>
          <w:tcPr>
            <w:tcW w:w="531" w:type="dxa"/>
          </w:tcPr>
          <w:p w:rsidR="005B65AA" w:rsidRPr="005B65AA" w:rsidRDefault="005B65AA" w:rsidP="005B65AA">
            <w:pPr>
              <w:pStyle w:val="TableParagraph"/>
              <w:tabs>
                <w:tab w:val="left" w:pos="0"/>
              </w:tabs>
              <w:spacing w:before="0" w:line="276" w:lineRule="auto"/>
              <w:rPr>
                <w:color w:val="A6A6A6" w:themeColor="background1" w:themeShade="A6"/>
                <w:sz w:val="20"/>
                <w:szCs w:val="20"/>
                <w:highlight w:val="lightGray"/>
                <w:lang w:val="mn-MN"/>
              </w:rPr>
            </w:pPr>
          </w:p>
        </w:tc>
        <w:tc>
          <w:tcPr>
            <w:tcW w:w="2095" w:type="dxa"/>
          </w:tcPr>
          <w:p w:rsidR="005B65AA" w:rsidRPr="00731F96" w:rsidRDefault="005B65AA" w:rsidP="005B65AA">
            <w:pPr>
              <w:pStyle w:val="TableParagraph"/>
              <w:tabs>
                <w:tab w:val="left" w:pos="0"/>
              </w:tabs>
              <w:spacing w:line="276" w:lineRule="auto"/>
              <w:ind w:left="55"/>
              <w:rPr>
                <w:sz w:val="20"/>
                <w:szCs w:val="20"/>
                <w:lang w:val="mn-MN"/>
              </w:rPr>
            </w:pPr>
            <w:r w:rsidRPr="00731F96">
              <w:rPr>
                <w:sz w:val="20"/>
                <w:szCs w:val="20"/>
                <w:lang w:val="mn-MN"/>
              </w:rPr>
              <w:t>samplesynchronised</w:t>
            </w:r>
          </w:p>
        </w:tc>
        <w:tc>
          <w:tcPr>
            <w:tcW w:w="1906" w:type="dxa"/>
          </w:tcPr>
          <w:p w:rsidR="005B65AA" w:rsidRPr="00EF2D2B" w:rsidRDefault="005B65AA" w:rsidP="005B65AA">
            <w:pPr>
              <w:pStyle w:val="TableParagraph"/>
              <w:tabs>
                <w:tab w:val="left" w:pos="0"/>
              </w:tabs>
              <w:spacing w:line="276" w:lineRule="auto"/>
              <w:ind w:left="55"/>
              <w:rPr>
                <w:sz w:val="20"/>
                <w:szCs w:val="20"/>
                <w:lang w:val="mn-MN"/>
              </w:rPr>
            </w:pPr>
            <w:r w:rsidRPr="00EF2D2B">
              <w:rPr>
                <w:sz w:val="20"/>
                <w:szCs w:val="20"/>
                <w:lang w:val="mn-MN"/>
              </w:rPr>
              <w:t>BOOLEAN</w:t>
            </w:r>
          </w:p>
        </w:tc>
        <w:tc>
          <w:tcPr>
            <w:tcW w:w="1157" w:type="dxa"/>
          </w:tcPr>
          <w:p w:rsidR="005B65AA" w:rsidRPr="00EF2D2B" w:rsidRDefault="005B65AA" w:rsidP="005B65AA">
            <w:pPr>
              <w:pStyle w:val="TableParagraph"/>
              <w:tabs>
                <w:tab w:val="left" w:pos="0"/>
              </w:tabs>
              <w:spacing w:line="276" w:lineRule="auto"/>
              <w:ind w:left="8"/>
              <w:jc w:val="center"/>
              <w:rPr>
                <w:sz w:val="20"/>
                <w:szCs w:val="20"/>
                <w:lang w:val="mn-MN"/>
              </w:rPr>
            </w:pPr>
            <w:r w:rsidRPr="00EF2D2B">
              <w:rPr>
                <w:sz w:val="20"/>
                <w:szCs w:val="20"/>
                <w:lang w:val="mn-MN"/>
              </w:rPr>
              <w:t>r</w:t>
            </w:r>
          </w:p>
        </w:tc>
        <w:tc>
          <w:tcPr>
            <w:tcW w:w="1037" w:type="dxa"/>
          </w:tcPr>
          <w:p w:rsidR="005B65AA" w:rsidRPr="00EF2D2B" w:rsidRDefault="005B65AA" w:rsidP="005B65AA">
            <w:pPr>
              <w:pStyle w:val="TableParagraph"/>
              <w:tabs>
                <w:tab w:val="left" w:pos="0"/>
              </w:tabs>
              <w:spacing w:line="276" w:lineRule="auto"/>
              <w:ind w:left="212"/>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Утга тооцохгүй байж болно. IEC 61850-9-2 хувилбар 1.0-ийн эргэн нийцэлт хангагдсан тул хадгалсан.</w:t>
            </w:r>
          </w:p>
        </w:tc>
      </w:tr>
      <w:tr w:rsidR="005B65AA" w:rsidTr="005B65AA">
        <w:tc>
          <w:tcPr>
            <w:tcW w:w="531" w:type="dxa"/>
          </w:tcPr>
          <w:p w:rsidR="005B65AA" w:rsidRPr="005B65AA" w:rsidRDefault="005B65AA" w:rsidP="005B65AA">
            <w:pPr>
              <w:pStyle w:val="TableParagraph"/>
              <w:tabs>
                <w:tab w:val="left" w:pos="0"/>
              </w:tabs>
              <w:spacing w:before="0" w:line="276" w:lineRule="auto"/>
              <w:rPr>
                <w:color w:val="A6A6A6" w:themeColor="background1" w:themeShade="A6"/>
                <w:sz w:val="20"/>
                <w:szCs w:val="20"/>
                <w:highlight w:val="lightGray"/>
                <w:lang w:val="mn-MN"/>
              </w:rPr>
            </w:pPr>
          </w:p>
        </w:tc>
        <w:tc>
          <w:tcPr>
            <w:tcW w:w="2095" w:type="dxa"/>
          </w:tcPr>
          <w:p w:rsidR="005B65AA" w:rsidRPr="00731F96" w:rsidRDefault="005B65AA" w:rsidP="005B65AA">
            <w:pPr>
              <w:pStyle w:val="TableParagraph"/>
              <w:tabs>
                <w:tab w:val="left" w:pos="0"/>
              </w:tabs>
              <w:spacing w:line="276" w:lineRule="auto"/>
              <w:ind w:left="55"/>
              <w:rPr>
                <w:sz w:val="20"/>
                <w:szCs w:val="20"/>
                <w:lang w:val="mn-MN"/>
              </w:rPr>
            </w:pPr>
            <w:r w:rsidRPr="00731F96">
              <w:rPr>
                <w:sz w:val="20"/>
                <w:szCs w:val="20"/>
                <w:lang w:val="mn-MN"/>
              </w:rPr>
              <w:t>sample-rate</w:t>
            </w:r>
          </w:p>
        </w:tc>
        <w:tc>
          <w:tcPr>
            <w:tcW w:w="1906" w:type="dxa"/>
          </w:tcPr>
          <w:p w:rsidR="005B65AA" w:rsidRPr="00EF2D2B" w:rsidRDefault="005B65AA" w:rsidP="005B65AA">
            <w:pPr>
              <w:pStyle w:val="TableParagraph"/>
              <w:tabs>
                <w:tab w:val="left" w:pos="0"/>
              </w:tabs>
              <w:spacing w:line="276" w:lineRule="auto"/>
              <w:ind w:left="55"/>
              <w:rPr>
                <w:sz w:val="20"/>
                <w:szCs w:val="20"/>
                <w:lang w:val="mn-MN"/>
              </w:rPr>
            </w:pPr>
            <w:r w:rsidRPr="00EF2D2B">
              <w:rPr>
                <w:sz w:val="20"/>
                <w:szCs w:val="20"/>
                <w:lang w:val="mn-MN"/>
              </w:rPr>
              <w:t>BOOLEAN</w:t>
            </w:r>
          </w:p>
        </w:tc>
        <w:tc>
          <w:tcPr>
            <w:tcW w:w="1157" w:type="dxa"/>
          </w:tcPr>
          <w:p w:rsidR="005B65AA" w:rsidRPr="00EF2D2B" w:rsidRDefault="005B65AA" w:rsidP="005B65AA">
            <w:pPr>
              <w:pStyle w:val="TableParagraph"/>
              <w:tabs>
                <w:tab w:val="left" w:pos="0"/>
              </w:tabs>
              <w:spacing w:line="276" w:lineRule="auto"/>
              <w:ind w:left="8"/>
              <w:jc w:val="center"/>
              <w:rPr>
                <w:sz w:val="20"/>
                <w:szCs w:val="20"/>
                <w:lang w:val="mn-MN"/>
              </w:rPr>
            </w:pPr>
            <w:r w:rsidRPr="00EF2D2B">
              <w:rPr>
                <w:sz w:val="20"/>
                <w:szCs w:val="20"/>
                <w:lang w:val="mn-MN"/>
              </w:rPr>
              <w:t>r</w:t>
            </w:r>
          </w:p>
        </w:tc>
        <w:tc>
          <w:tcPr>
            <w:tcW w:w="1037" w:type="dxa"/>
          </w:tcPr>
          <w:p w:rsidR="005B65AA" w:rsidRPr="00EF2D2B" w:rsidRDefault="005B65AA" w:rsidP="005B65AA">
            <w:pPr>
              <w:pStyle w:val="TableParagraph"/>
              <w:tabs>
                <w:tab w:val="left" w:pos="0"/>
              </w:tabs>
              <w:spacing w:line="276" w:lineRule="auto"/>
              <w:ind w:left="212"/>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 xml:space="preserve">TRUE = SV буфер нь "SmpRat"атрибут агуулсан </w:t>
            </w:r>
          </w:p>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lastRenderedPageBreak/>
              <w:t>FALSE = " SmpRate " атрибут нь SV буферт байхгүй байна.</w:t>
            </w:r>
          </w:p>
        </w:tc>
      </w:tr>
      <w:tr w:rsidR="005B65AA" w:rsidTr="005B65AA">
        <w:tc>
          <w:tcPr>
            <w:tcW w:w="531" w:type="dxa"/>
          </w:tcPr>
          <w:p w:rsidR="005B65AA" w:rsidRPr="005B65AA" w:rsidRDefault="005B65AA" w:rsidP="005B65AA">
            <w:pPr>
              <w:pStyle w:val="TableParagraph"/>
              <w:tabs>
                <w:tab w:val="left" w:pos="0"/>
              </w:tabs>
              <w:spacing w:before="0" w:line="276" w:lineRule="auto"/>
              <w:rPr>
                <w:color w:val="A6A6A6" w:themeColor="background1" w:themeShade="A6"/>
                <w:sz w:val="20"/>
                <w:szCs w:val="20"/>
                <w:lang w:val="mn-MN"/>
              </w:rPr>
            </w:pPr>
          </w:p>
        </w:tc>
        <w:tc>
          <w:tcPr>
            <w:tcW w:w="2095" w:type="dxa"/>
          </w:tcPr>
          <w:p w:rsidR="005B65AA" w:rsidRPr="00731F96" w:rsidRDefault="005B65AA" w:rsidP="005B65AA">
            <w:pPr>
              <w:pStyle w:val="TableParagraph"/>
              <w:tabs>
                <w:tab w:val="left" w:pos="0"/>
              </w:tabs>
              <w:spacing w:line="276" w:lineRule="auto"/>
              <w:ind w:left="55"/>
              <w:rPr>
                <w:sz w:val="20"/>
                <w:szCs w:val="20"/>
                <w:lang w:val="mn-MN"/>
              </w:rPr>
            </w:pPr>
            <w:r w:rsidRPr="00731F96">
              <w:rPr>
                <w:sz w:val="20"/>
                <w:szCs w:val="20"/>
                <w:lang w:val="mn-MN"/>
              </w:rPr>
              <w:t>data-set</w:t>
            </w:r>
          </w:p>
        </w:tc>
        <w:tc>
          <w:tcPr>
            <w:tcW w:w="1906" w:type="dxa"/>
          </w:tcPr>
          <w:p w:rsidR="005B65AA" w:rsidRPr="00EF2D2B" w:rsidRDefault="005B65AA" w:rsidP="005B65AA">
            <w:pPr>
              <w:pStyle w:val="TableParagraph"/>
              <w:tabs>
                <w:tab w:val="left" w:pos="0"/>
              </w:tabs>
              <w:spacing w:line="276" w:lineRule="auto"/>
              <w:ind w:left="55"/>
              <w:rPr>
                <w:sz w:val="20"/>
                <w:szCs w:val="20"/>
                <w:lang w:val="mn-MN"/>
              </w:rPr>
            </w:pPr>
            <w:r w:rsidRPr="00EF2D2B">
              <w:rPr>
                <w:sz w:val="20"/>
                <w:szCs w:val="20"/>
                <w:lang w:val="mn-MN"/>
              </w:rPr>
              <w:t>BOOLEAN</w:t>
            </w:r>
          </w:p>
        </w:tc>
        <w:tc>
          <w:tcPr>
            <w:tcW w:w="1157" w:type="dxa"/>
          </w:tcPr>
          <w:p w:rsidR="005B65AA" w:rsidRPr="00EF2D2B" w:rsidRDefault="005B65AA" w:rsidP="005B65AA">
            <w:pPr>
              <w:pStyle w:val="TableParagraph"/>
              <w:tabs>
                <w:tab w:val="left" w:pos="0"/>
              </w:tabs>
              <w:spacing w:line="276" w:lineRule="auto"/>
              <w:ind w:left="8"/>
              <w:jc w:val="center"/>
              <w:rPr>
                <w:sz w:val="20"/>
                <w:szCs w:val="20"/>
                <w:lang w:val="mn-MN"/>
              </w:rPr>
            </w:pPr>
            <w:r w:rsidRPr="00EF2D2B">
              <w:rPr>
                <w:sz w:val="20"/>
                <w:szCs w:val="20"/>
                <w:lang w:val="mn-MN"/>
              </w:rPr>
              <w:t>r</w:t>
            </w:r>
          </w:p>
        </w:tc>
        <w:tc>
          <w:tcPr>
            <w:tcW w:w="1037" w:type="dxa"/>
          </w:tcPr>
          <w:p w:rsidR="005B65AA" w:rsidRPr="00EF2D2B" w:rsidRDefault="005B65AA" w:rsidP="005B65AA">
            <w:pPr>
              <w:pStyle w:val="TableParagraph"/>
              <w:tabs>
                <w:tab w:val="left" w:pos="0"/>
              </w:tabs>
              <w:spacing w:line="276" w:lineRule="auto"/>
              <w:ind w:left="212"/>
              <w:rPr>
                <w:sz w:val="20"/>
                <w:szCs w:val="20"/>
                <w:lang w:val="mn-MN"/>
              </w:rPr>
            </w:pPr>
            <w:r w:rsidRPr="00EF2D2B">
              <w:rPr>
                <w:sz w:val="20"/>
                <w:szCs w:val="20"/>
                <w:lang w:val="mn-MN"/>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 xml:space="preserve">TRUE = SV буфер нь "DatSet" атрибут агуулсан </w:t>
            </w:r>
          </w:p>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FALSE = "DatSet" атрибут нь SV буферт байхгүй байна.</w:t>
            </w:r>
          </w:p>
        </w:tc>
      </w:tr>
      <w:tr w:rsidR="005B65AA" w:rsidTr="005B65AA">
        <w:tc>
          <w:tcPr>
            <w:tcW w:w="531" w:type="dxa"/>
          </w:tcPr>
          <w:p w:rsidR="005B65AA" w:rsidRPr="005B65AA" w:rsidRDefault="005B65AA" w:rsidP="005B65AA">
            <w:pPr>
              <w:pStyle w:val="TableParagraph"/>
              <w:tabs>
                <w:tab w:val="left" w:pos="0"/>
              </w:tabs>
              <w:spacing w:before="0" w:line="276" w:lineRule="auto"/>
              <w:rPr>
                <w:color w:val="A6A6A6" w:themeColor="background1" w:themeShade="A6"/>
                <w:sz w:val="20"/>
                <w:szCs w:val="20"/>
                <w:lang w:val="mn-MN"/>
              </w:rPr>
            </w:pPr>
          </w:p>
        </w:tc>
        <w:tc>
          <w:tcPr>
            <w:tcW w:w="2095" w:type="dxa"/>
          </w:tcPr>
          <w:p w:rsidR="005B65AA" w:rsidRPr="00731F96" w:rsidRDefault="005B65AA" w:rsidP="005B65AA">
            <w:pPr>
              <w:pStyle w:val="TableParagraph"/>
              <w:tabs>
                <w:tab w:val="left" w:pos="0"/>
              </w:tabs>
              <w:spacing w:line="276" w:lineRule="auto"/>
              <w:ind w:left="55"/>
              <w:rPr>
                <w:sz w:val="20"/>
                <w:szCs w:val="20"/>
                <w:lang w:val="mn-MN"/>
              </w:rPr>
            </w:pPr>
            <w:r w:rsidRPr="00731F96">
              <w:rPr>
                <w:sz w:val="20"/>
                <w:szCs w:val="20"/>
                <w:lang w:val="mn-MN"/>
              </w:rPr>
              <w:t>security</w:t>
            </w:r>
          </w:p>
          <w:p w:rsidR="005B65AA" w:rsidRPr="00EF2D2B" w:rsidRDefault="005B65AA" w:rsidP="005B65AA">
            <w:pPr>
              <w:pStyle w:val="TableParagraph"/>
              <w:tabs>
                <w:tab w:val="left" w:pos="0"/>
              </w:tabs>
              <w:spacing w:before="0" w:line="276" w:lineRule="auto"/>
              <w:rPr>
                <w:sz w:val="20"/>
                <w:szCs w:val="20"/>
                <w:lang w:val="mn-MN"/>
              </w:rPr>
            </w:pPr>
          </w:p>
          <w:p w:rsidR="005B65AA" w:rsidRPr="00EF2D2B" w:rsidRDefault="005B65AA" w:rsidP="005B65AA">
            <w:pPr>
              <w:pStyle w:val="TableParagraph"/>
              <w:tabs>
                <w:tab w:val="left" w:pos="0"/>
              </w:tabs>
              <w:spacing w:before="7" w:line="276" w:lineRule="auto"/>
              <w:rPr>
                <w:sz w:val="20"/>
                <w:szCs w:val="20"/>
                <w:lang w:val="mn-MN"/>
              </w:rPr>
            </w:pPr>
          </w:p>
          <w:p w:rsidR="005B65AA" w:rsidRPr="00EF2D2B" w:rsidRDefault="005B65AA" w:rsidP="005B65AA">
            <w:pPr>
              <w:pStyle w:val="TableParagraph"/>
              <w:tabs>
                <w:tab w:val="left" w:pos="0"/>
              </w:tabs>
              <w:spacing w:before="0" w:line="276" w:lineRule="auto"/>
              <w:ind w:right="-144"/>
              <w:jc w:val="right"/>
              <w:rPr>
                <w:sz w:val="20"/>
                <w:szCs w:val="20"/>
                <w:lang w:val="mn-MN"/>
              </w:rPr>
            </w:pPr>
          </w:p>
        </w:tc>
        <w:tc>
          <w:tcPr>
            <w:tcW w:w="1906" w:type="dxa"/>
          </w:tcPr>
          <w:p w:rsidR="005B65AA" w:rsidRPr="00EF2D2B" w:rsidRDefault="005B65AA" w:rsidP="005B65AA">
            <w:pPr>
              <w:pStyle w:val="TableParagraph"/>
              <w:tabs>
                <w:tab w:val="left" w:pos="0"/>
              </w:tabs>
              <w:spacing w:line="276" w:lineRule="auto"/>
              <w:ind w:left="55"/>
              <w:rPr>
                <w:sz w:val="20"/>
                <w:szCs w:val="20"/>
                <w:lang w:val="mn-MN"/>
              </w:rPr>
            </w:pPr>
            <w:r w:rsidRPr="00EF2D2B">
              <w:rPr>
                <w:sz w:val="20"/>
                <w:szCs w:val="20"/>
                <w:lang w:val="mn-MN"/>
              </w:rPr>
              <w:t>BOOLEAN</w:t>
            </w:r>
          </w:p>
          <w:p w:rsidR="005B65AA" w:rsidRPr="00EF2D2B" w:rsidRDefault="005B65AA" w:rsidP="005B65AA">
            <w:pPr>
              <w:pStyle w:val="TableParagraph"/>
              <w:tabs>
                <w:tab w:val="left" w:pos="0"/>
              </w:tabs>
              <w:spacing w:before="0" w:line="276" w:lineRule="auto"/>
              <w:rPr>
                <w:sz w:val="20"/>
                <w:szCs w:val="20"/>
                <w:lang w:val="mn-MN"/>
              </w:rPr>
            </w:pPr>
          </w:p>
          <w:p w:rsidR="005B65AA" w:rsidRPr="00EF2D2B" w:rsidRDefault="005B65AA" w:rsidP="005B65AA">
            <w:pPr>
              <w:pStyle w:val="TableParagraph"/>
              <w:tabs>
                <w:tab w:val="left" w:pos="0"/>
              </w:tabs>
              <w:spacing w:before="2" w:line="276" w:lineRule="auto"/>
              <w:rPr>
                <w:sz w:val="20"/>
                <w:szCs w:val="20"/>
                <w:lang w:val="mn-MN"/>
              </w:rPr>
            </w:pPr>
          </w:p>
          <w:p w:rsidR="005B65AA" w:rsidRPr="00EF2D2B" w:rsidRDefault="005B65AA" w:rsidP="005B65AA">
            <w:pPr>
              <w:pStyle w:val="TableParagraph"/>
              <w:tabs>
                <w:tab w:val="left" w:pos="0"/>
              </w:tabs>
              <w:spacing w:before="0" w:line="276" w:lineRule="auto"/>
              <w:ind w:left="118" w:right="-117" w:firstLine="607"/>
              <w:rPr>
                <w:sz w:val="20"/>
                <w:szCs w:val="20"/>
                <w:lang w:val="mn-MN"/>
              </w:rPr>
            </w:pPr>
          </w:p>
        </w:tc>
        <w:tc>
          <w:tcPr>
            <w:tcW w:w="1157" w:type="dxa"/>
          </w:tcPr>
          <w:p w:rsidR="005B65AA" w:rsidRPr="00EF2D2B" w:rsidRDefault="005B65AA" w:rsidP="005B65AA">
            <w:pPr>
              <w:pStyle w:val="TableParagraph"/>
              <w:tabs>
                <w:tab w:val="left" w:pos="0"/>
              </w:tabs>
              <w:spacing w:line="276" w:lineRule="auto"/>
              <w:ind w:left="8"/>
              <w:jc w:val="center"/>
              <w:rPr>
                <w:sz w:val="20"/>
                <w:szCs w:val="20"/>
                <w:lang w:val="mn-MN"/>
              </w:rPr>
            </w:pPr>
            <w:r w:rsidRPr="00EF2D2B">
              <w:rPr>
                <w:sz w:val="20"/>
                <w:szCs w:val="20"/>
                <w:lang w:val="mn-MN"/>
              </w:rPr>
              <w:t>r</w:t>
            </w:r>
          </w:p>
          <w:p w:rsidR="005B65AA" w:rsidRPr="00EF2D2B" w:rsidRDefault="005B65AA" w:rsidP="005B65AA">
            <w:pPr>
              <w:pStyle w:val="TableParagraph"/>
              <w:tabs>
                <w:tab w:val="left" w:pos="0"/>
              </w:tabs>
              <w:spacing w:before="0" w:line="276" w:lineRule="auto"/>
              <w:rPr>
                <w:sz w:val="20"/>
                <w:szCs w:val="20"/>
                <w:lang w:val="mn-MN"/>
              </w:rPr>
            </w:pPr>
          </w:p>
          <w:p w:rsidR="005B65AA" w:rsidRPr="00EF2D2B" w:rsidRDefault="005B65AA" w:rsidP="005B65AA">
            <w:pPr>
              <w:pStyle w:val="TableParagraph"/>
              <w:tabs>
                <w:tab w:val="left" w:pos="0"/>
              </w:tabs>
              <w:spacing w:before="2" w:line="276" w:lineRule="auto"/>
              <w:rPr>
                <w:sz w:val="20"/>
                <w:szCs w:val="20"/>
                <w:lang w:val="mn-MN"/>
              </w:rPr>
            </w:pPr>
          </w:p>
          <w:p w:rsidR="005B65AA" w:rsidRPr="00EF2D2B" w:rsidRDefault="005B65AA" w:rsidP="005B65AA">
            <w:pPr>
              <w:pStyle w:val="TableParagraph"/>
              <w:tabs>
                <w:tab w:val="left" w:pos="0"/>
              </w:tabs>
              <w:spacing w:before="0" w:line="276" w:lineRule="auto"/>
              <w:ind w:left="58" w:right="-144" w:firstLine="21"/>
              <w:rPr>
                <w:sz w:val="20"/>
                <w:szCs w:val="20"/>
                <w:lang w:val="mn-MN"/>
              </w:rPr>
            </w:pPr>
            <w:r w:rsidRPr="00EF2D2B">
              <w:rPr>
                <w:sz w:val="20"/>
                <w:szCs w:val="20"/>
                <w:lang w:val="mn-MN"/>
              </w:rPr>
              <w:t xml:space="preserve">: </w:t>
            </w:r>
          </w:p>
        </w:tc>
        <w:tc>
          <w:tcPr>
            <w:tcW w:w="1037" w:type="dxa"/>
          </w:tcPr>
          <w:p w:rsidR="005B65AA" w:rsidRPr="00EF2D2B" w:rsidRDefault="005B65AA" w:rsidP="005B65AA">
            <w:pPr>
              <w:pStyle w:val="TableParagraph"/>
              <w:tabs>
                <w:tab w:val="left" w:pos="0"/>
              </w:tabs>
              <w:spacing w:line="276" w:lineRule="auto"/>
              <w:ind w:left="6"/>
              <w:jc w:val="center"/>
              <w:rPr>
                <w:sz w:val="20"/>
                <w:szCs w:val="20"/>
                <w:lang w:val="mn-MN"/>
              </w:rPr>
            </w:pPr>
            <w:r w:rsidRPr="00EF2D2B">
              <w:rPr>
                <w:sz w:val="20"/>
                <w:szCs w:val="20"/>
                <w:lang w:val="mn-MN"/>
              </w:rPr>
              <w:t>m</w:t>
            </w:r>
          </w:p>
          <w:p w:rsidR="005B65AA" w:rsidRPr="00EF2D2B" w:rsidRDefault="005B65AA" w:rsidP="005B65AA">
            <w:pPr>
              <w:pStyle w:val="TableParagraph"/>
              <w:tabs>
                <w:tab w:val="left" w:pos="0"/>
              </w:tabs>
              <w:spacing w:before="0" w:line="276" w:lineRule="auto"/>
              <w:rPr>
                <w:sz w:val="20"/>
                <w:szCs w:val="20"/>
                <w:lang w:val="mn-MN"/>
              </w:rPr>
            </w:pPr>
          </w:p>
          <w:p w:rsidR="005B65AA" w:rsidRPr="00EF2D2B" w:rsidRDefault="005B65AA" w:rsidP="005B65AA">
            <w:pPr>
              <w:pStyle w:val="TableParagraph"/>
              <w:tabs>
                <w:tab w:val="left" w:pos="0"/>
              </w:tabs>
              <w:spacing w:before="2" w:line="276" w:lineRule="auto"/>
              <w:rPr>
                <w:sz w:val="20"/>
                <w:szCs w:val="20"/>
                <w:lang w:val="mn-MN"/>
              </w:rPr>
            </w:pPr>
          </w:p>
          <w:p w:rsidR="005B65AA" w:rsidRPr="00EF2D2B" w:rsidRDefault="005B65AA" w:rsidP="005B65AA">
            <w:pPr>
              <w:pStyle w:val="TableParagraph"/>
              <w:tabs>
                <w:tab w:val="left" w:pos="0"/>
              </w:tabs>
              <w:spacing w:before="0" w:line="276" w:lineRule="auto"/>
              <w:ind w:right="-66"/>
              <w:rPr>
                <w:sz w:val="20"/>
                <w:szCs w:val="20"/>
                <w:lang w:val="mn-MN"/>
              </w:rPr>
            </w:pP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Тодорхой атрибут зураглал.</w:t>
            </w:r>
          </w:p>
          <w:p w:rsidR="005B65AA" w:rsidRPr="005B65AA" w:rsidRDefault="005B65AA" w:rsidP="005B65AA">
            <w:pPr>
              <w:tabs>
                <w:tab w:val="left" w:pos="0"/>
              </w:tabs>
              <w:ind w:left="0" w:firstLine="0"/>
              <w:rPr>
                <w:rFonts w:eastAsia="Calibri"/>
                <w:bCs/>
                <w:sz w:val="20"/>
                <w:szCs w:val="20"/>
              </w:rPr>
            </w:pPr>
          </w:p>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 xml:space="preserve">TRUE = SV буфер нь "Security" атрибут агуулсан </w:t>
            </w:r>
          </w:p>
          <w:p w:rsidR="005B65AA" w:rsidRPr="005B65AA" w:rsidRDefault="005B65AA" w:rsidP="005B65AA">
            <w:pPr>
              <w:tabs>
                <w:tab w:val="left" w:pos="0"/>
              </w:tabs>
              <w:ind w:left="0" w:firstLine="0"/>
              <w:rPr>
                <w:rFonts w:eastAsia="Calibri"/>
                <w:bCs/>
                <w:sz w:val="20"/>
                <w:szCs w:val="20"/>
              </w:rPr>
            </w:pPr>
          </w:p>
        </w:tc>
      </w:tr>
      <w:tr w:rsidR="005B65AA" w:rsidRPr="005B65AA" w:rsidTr="005B65AA">
        <w:tc>
          <w:tcPr>
            <w:tcW w:w="2626" w:type="dxa"/>
            <w:gridSpan w:val="2"/>
          </w:tcPr>
          <w:p w:rsidR="005B65AA" w:rsidRPr="005B65AA" w:rsidRDefault="005B65AA" w:rsidP="005B65AA">
            <w:pPr>
              <w:tabs>
                <w:tab w:val="left" w:pos="0"/>
              </w:tabs>
              <w:ind w:left="0" w:firstLine="0"/>
              <w:jc w:val="center"/>
              <w:rPr>
                <w:rFonts w:eastAsia="Calibri"/>
                <w:b/>
                <w:bCs/>
                <w:sz w:val="20"/>
                <w:szCs w:val="20"/>
              </w:rPr>
            </w:pPr>
            <w:r w:rsidRPr="005B65AA">
              <w:rPr>
                <w:rFonts w:eastAsia="Calibri"/>
                <w:b/>
                <w:bCs/>
                <w:sz w:val="20"/>
                <w:szCs w:val="20"/>
              </w:rPr>
              <w:t>Атрибутын нэр</w:t>
            </w:r>
          </w:p>
        </w:tc>
        <w:tc>
          <w:tcPr>
            <w:tcW w:w="1906" w:type="dxa"/>
          </w:tcPr>
          <w:p w:rsidR="005B65AA" w:rsidRPr="005B65AA" w:rsidRDefault="005B65AA" w:rsidP="005B65AA">
            <w:pPr>
              <w:tabs>
                <w:tab w:val="left" w:pos="0"/>
              </w:tabs>
              <w:ind w:left="0" w:firstLine="0"/>
              <w:jc w:val="center"/>
              <w:rPr>
                <w:rFonts w:eastAsia="Calibri"/>
                <w:b/>
                <w:bCs/>
                <w:sz w:val="20"/>
                <w:szCs w:val="20"/>
              </w:rPr>
            </w:pPr>
            <w:r w:rsidRPr="005B65AA">
              <w:rPr>
                <w:rFonts w:eastAsia="Calibri"/>
                <w:b/>
                <w:bCs/>
                <w:sz w:val="20"/>
                <w:szCs w:val="20"/>
              </w:rPr>
              <w:t>Атрибутын төрөл</w:t>
            </w:r>
          </w:p>
        </w:tc>
        <w:tc>
          <w:tcPr>
            <w:tcW w:w="1157" w:type="dxa"/>
          </w:tcPr>
          <w:p w:rsidR="005B65AA" w:rsidRPr="005B65AA" w:rsidRDefault="005B65AA" w:rsidP="005B65AA">
            <w:pPr>
              <w:tabs>
                <w:tab w:val="left" w:pos="0"/>
              </w:tabs>
              <w:ind w:left="0" w:firstLine="0"/>
              <w:jc w:val="center"/>
              <w:rPr>
                <w:rFonts w:eastAsia="Calibri"/>
                <w:b/>
                <w:bCs/>
                <w:sz w:val="20"/>
                <w:szCs w:val="20"/>
              </w:rPr>
            </w:pPr>
            <w:r w:rsidRPr="005B65AA">
              <w:rPr>
                <w:rFonts w:eastAsia="Calibri"/>
                <w:b/>
                <w:bCs/>
                <w:sz w:val="20"/>
                <w:szCs w:val="20"/>
              </w:rPr>
              <w:t>r/w</w:t>
            </w:r>
          </w:p>
        </w:tc>
        <w:tc>
          <w:tcPr>
            <w:tcW w:w="1037" w:type="dxa"/>
          </w:tcPr>
          <w:p w:rsidR="005B65AA" w:rsidRPr="005B65AA" w:rsidRDefault="005B65AA" w:rsidP="005B65AA">
            <w:pPr>
              <w:tabs>
                <w:tab w:val="left" w:pos="0"/>
              </w:tabs>
              <w:ind w:left="0" w:firstLine="0"/>
              <w:jc w:val="center"/>
              <w:rPr>
                <w:rFonts w:eastAsia="Calibri"/>
                <w:b/>
                <w:bCs/>
                <w:sz w:val="20"/>
                <w:szCs w:val="20"/>
              </w:rPr>
            </w:pPr>
            <w:r w:rsidRPr="005B65AA">
              <w:rPr>
                <w:rFonts w:eastAsia="Calibri"/>
                <w:b/>
                <w:bCs/>
                <w:sz w:val="20"/>
                <w:szCs w:val="20"/>
              </w:rPr>
              <w:t>m</w:t>
            </w:r>
          </w:p>
        </w:tc>
        <w:tc>
          <w:tcPr>
            <w:tcW w:w="2618" w:type="dxa"/>
          </w:tcPr>
          <w:p w:rsidR="005B65AA" w:rsidRPr="005B65AA" w:rsidRDefault="005B65AA" w:rsidP="005B65AA">
            <w:pPr>
              <w:tabs>
                <w:tab w:val="left" w:pos="0"/>
              </w:tabs>
              <w:ind w:left="0" w:firstLine="0"/>
              <w:jc w:val="center"/>
              <w:rPr>
                <w:rFonts w:eastAsia="Calibri"/>
                <w:b/>
                <w:bCs/>
                <w:sz w:val="20"/>
                <w:szCs w:val="20"/>
              </w:rPr>
            </w:pPr>
            <w:r w:rsidRPr="005B65AA">
              <w:rPr>
                <w:rFonts w:eastAsia="Calibri"/>
                <w:b/>
                <w:bCs/>
                <w:sz w:val="20"/>
                <w:szCs w:val="20"/>
              </w:rPr>
              <w:t>Утга/утгын хүрээ/тайлбар</w:t>
            </w:r>
          </w:p>
        </w:tc>
      </w:tr>
      <w:tr w:rsidR="005B65AA" w:rsidRPr="005B65AA" w:rsidTr="005B65AA">
        <w:tc>
          <w:tcPr>
            <w:tcW w:w="531" w:type="dxa"/>
          </w:tcPr>
          <w:p w:rsidR="005B65AA" w:rsidRPr="005B65AA" w:rsidRDefault="005B65AA" w:rsidP="005B65AA">
            <w:pPr>
              <w:tabs>
                <w:tab w:val="left" w:pos="0"/>
              </w:tabs>
              <w:ind w:left="0" w:firstLine="0"/>
              <w:rPr>
                <w:rFonts w:eastAsia="Calibri"/>
                <w:bCs/>
                <w:sz w:val="20"/>
                <w:szCs w:val="20"/>
              </w:rPr>
            </w:pPr>
          </w:p>
        </w:tc>
        <w:tc>
          <w:tcPr>
            <w:tcW w:w="2095" w:type="dxa"/>
          </w:tcPr>
          <w:p w:rsidR="005B65AA" w:rsidRPr="005B65AA" w:rsidRDefault="005B65AA" w:rsidP="005B65AA">
            <w:pPr>
              <w:tabs>
                <w:tab w:val="left" w:pos="0"/>
              </w:tabs>
              <w:ind w:left="0" w:firstLine="0"/>
              <w:rPr>
                <w:rFonts w:eastAsia="Calibri"/>
                <w:bCs/>
                <w:sz w:val="20"/>
                <w:szCs w:val="20"/>
              </w:rPr>
            </w:pPr>
          </w:p>
        </w:tc>
        <w:tc>
          <w:tcPr>
            <w:tcW w:w="1906" w:type="dxa"/>
          </w:tcPr>
          <w:p w:rsidR="005B65AA" w:rsidRPr="005B65AA" w:rsidRDefault="005B65AA" w:rsidP="005B65AA">
            <w:pPr>
              <w:tabs>
                <w:tab w:val="left" w:pos="0"/>
              </w:tabs>
              <w:ind w:left="0" w:firstLine="0"/>
              <w:rPr>
                <w:rFonts w:eastAsia="Calibri"/>
                <w:bCs/>
                <w:sz w:val="20"/>
                <w:szCs w:val="20"/>
              </w:rPr>
            </w:pPr>
          </w:p>
        </w:tc>
        <w:tc>
          <w:tcPr>
            <w:tcW w:w="1157" w:type="dxa"/>
          </w:tcPr>
          <w:p w:rsidR="005B65AA" w:rsidRPr="005B65AA" w:rsidRDefault="005B65AA" w:rsidP="005B65AA">
            <w:pPr>
              <w:tabs>
                <w:tab w:val="left" w:pos="0"/>
              </w:tabs>
              <w:ind w:left="0" w:firstLine="0"/>
              <w:rPr>
                <w:rFonts w:eastAsia="Calibri"/>
                <w:bCs/>
                <w:sz w:val="20"/>
                <w:szCs w:val="20"/>
              </w:rPr>
            </w:pPr>
          </w:p>
        </w:tc>
        <w:tc>
          <w:tcPr>
            <w:tcW w:w="1037" w:type="dxa"/>
          </w:tcPr>
          <w:p w:rsidR="005B65AA" w:rsidRPr="005B65AA" w:rsidRDefault="005B65AA" w:rsidP="005B65AA">
            <w:pPr>
              <w:tabs>
                <w:tab w:val="left" w:pos="0"/>
              </w:tabs>
              <w:ind w:left="0" w:firstLine="0"/>
              <w:rPr>
                <w:rFonts w:eastAsia="Calibri"/>
                <w:bCs/>
                <w:sz w:val="20"/>
                <w:szCs w:val="20"/>
              </w:rPr>
            </w:pP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FALSE = "Security" атрибут нь SV буферт байхгүй байна.</w:t>
            </w:r>
          </w:p>
        </w:tc>
      </w:tr>
      <w:tr w:rsidR="005B65AA" w:rsidRPr="005B65AA" w:rsidTr="005B65AA">
        <w:tc>
          <w:tcPr>
            <w:tcW w:w="531" w:type="dxa"/>
          </w:tcPr>
          <w:p w:rsidR="005B65AA" w:rsidRPr="005B65AA" w:rsidRDefault="005B65AA" w:rsidP="005B65AA">
            <w:pPr>
              <w:tabs>
                <w:tab w:val="left" w:pos="0"/>
              </w:tabs>
              <w:ind w:left="0" w:firstLine="0"/>
              <w:rPr>
                <w:rFonts w:eastAsia="Calibri"/>
                <w:bCs/>
                <w:sz w:val="20"/>
                <w:szCs w:val="20"/>
              </w:rPr>
            </w:pPr>
          </w:p>
        </w:tc>
        <w:tc>
          <w:tcPr>
            <w:tcW w:w="2095"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timestamp*</w:t>
            </w:r>
          </w:p>
        </w:tc>
        <w:tc>
          <w:tcPr>
            <w:tcW w:w="1906"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BOOLEAN</w:t>
            </w:r>
          </w:p>
        </w:tc>
        <w:tc>
          <w:tcPr>
            <w:tcW w:w="115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r</w:t>
            </w:r>
          </w:p>
        </w:tc>
        <w:tc>
          <w:tcPr>
            <w:tcW w:w="103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TRUE бол TIMESTAMP-ыг оруулна уу</w:t>
            </w:r>
          </w:p>
        </w:tc>
      </w:tr>
      <w:tr w:rsidR="005B65AA" w:rsidRPr="005B65AA" w:rsidTr="005B65AA">
        <w:tc>
          <w:tcPr>
            <w:tcW w:w="2626" w:type="dxa"/>
            <w:gridSpan w:val="2"/>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SmpMod</w:t>
            </w:r>
          </w:p>
        </w:tc>
        <w:tc>
          <w:tcPr>
            <w:tcW w:w="1906"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ENUMERATED</w:t>
            </w:r>
          </w:p>
        </w:tc>
        <w:tc>
          <w:tcPr>
            <w:tcW w:w="115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r/w</w:t>
            </w:r>
          </w:p>
        </w:tc>
        <w:tc>
          <w:tcPr>
            <w:tcW w:w="103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m</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түүвэр /номинал цикл (DEFAULT) | түүвэр/секунд |секунд/түүвэр</w:t>
            </w:r>
          </w:p>
        </w:tc>
      </w:tr>
      <w:tr w:rsidR="005B65AA" w:rsidRPr="005B65AA" w:rsidTr="005B65AA">
        <w:tc>
          <w:tcPr>
            <w:tcW w:w="2626" w:type="dxa"/>
            <w:gridSpan w:val="2"/>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DstAddress</w:t>
            </w:r>
          </w:p>
        </w:tc>
        <w:tc>
          <w:tcPr>
            <w:tcW w:w="1906"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UDPCOMADDR***</w:t>
            </w:r>
          </w:p>
        </w:tc>
        <w:tc>
          <w:tcPr>
            <w:tcW w:w="115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r</w:t>
            </w:r>
          </w:p>
        </w:tc>
        <w:tc>
          <w:tcPr>
            <w:tcW w:w="103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o</w:t>
            </w:r>
          </w:p>
        </w:tc>
        <w:tc>
          <w:tcPr>
            <w:tcW w:w="2618" w:type="dxa"/>
          </w:tcPr>
          <w:p w:rsidR="005B65AA" w:rsidRPr="005B65AA" w:rsidRDefault="005B65AA" w:rsidP="005B65AA">
            <w:pPr>
              <w:tabs>
                <w:tab w:val="left" w:pos="0"/>
              </w:tabs>
              <w:ind w:left="0" w:firstLine="0"/>
              <w:rPr>
                <w:rFonts w:eastAsia="Calibri"/>
                <w:bCs/>
                <w:sz w:val="20"/>
                <w:szCs w:val="20"/>
              </w:rPr>
            </w:pPr>
          </w:p>
        </w:tc>
      </w:tr>
      <w:tr w:rsidR="005B65AA" w:rsidRPr="005B65AA" w:rsidTr="005B65AA">
        <w:tc>
          <w:tcPr>
            <w:tcW w:w="2626" w:type="dxa"/>
            <w:gridSpan w:val="2"/>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SecurityEnable***</w:t>
            </w:r>
          </w:p>
        </w:tc>
        <w:tc>
          <w:tcPr>
            <w:tcW w:w="1906"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ENUMERATED</w:t>
            </w:r>
          </w:p>
        </w:tc>
        <w:tc>
          <w:tcPr>
            <w:tcW w:w="115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r</w:t>
            </w:r>
          </w:p>
        </w:tc>
        <w:tc>
          <w:tcPr>
            <w:tcW w:w="1037"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o</w:t>
            </w:r>
          </w:p>
        </w:tc>
        <w:tc>
          <w:tcPr>
            <w:tcW w:w="2618" w:type="dxa"/>
          </w:tcPr>
          <w:p w:rsidR="005B65AA" w:rsidRPr="005B65AA" w:rsidRDefault="005B65AA" w:rsidP="005B65AA">
            <w:pPr>
              <w:tabs>
                <w:tab w:val="left" w:pos="0"/>
              </w:tabs>
              <w:ind w:left="0" w:firstLine="0"/>
              <w:rPr>
                <w:rFonts w:eastAsia="Calibri"/>
                <w:bCs/>
                <w:sz w:val="20"/>
                <w:szCs w:val="20"/>
              </w:rPr>
            </w:pPr>
            <w:r w:rsidRPr="005B65AA">
              <w:rPr>
                <w:rFonts w:eastAsia="Calibri"/>
                <w:bCs/>
                <w:sz w:val="20"/>
                <w:szCs w:val="20"/>
              </w:rPr>
              <w:t>Аль нь ч биш, баталгаажуулалт, баталгаажуулалт ба нууцлалт</w:t>
            </w:r>
          </w:p>
        </w:tc>
      </w:tr>
      <w:tr w:rsidR="005B65AA" w:rsidRPr="005B65AA" w:rsidTr="005B65AA">
        <w:tc>
          <w:tcPr>
            <w:tcW w:w="9344" w:type="dxa"/>
            <w:gridSpan w:val="6"/>
          </w:tcPr>
          <w:p w:rsidR="005B65AA" w:rsidRPr="00731F96" w:rsidRDefault="005B65AA" w:rsidP="005B65AA">
            <w:pPr>
              <w:tabs>
                <w:tab w:val="left" w:pos="0"/>
              </w:tabs>
              <w:spacing w:after="0"/>
              <w:ind w:left="0" w:firstLine="0"/>
              <w:rPr>
                <w:sz w:val="20"/>
                <w:shd w:val="clear" w:color="auto" w:fill="FFFFFF"/>
              </w:rPr>
            </w:pPr>
            <w:r w:rsidRPr="00EF2D2B">
              <w:rPr>
                <w:sz w:val="20"/>
                <w:shd w:val="clear" w:color="auto" w:fill="FFFFFF"/>
              </w:rPr>
              <w:t>*</w:t>
            </w:r>
            <w:r w:rsidRPr="00EF2D2B">
              <w:rPr>
                <w:sz w:val="20"/>
                <w:shd w:val="clear" w:color="auto" w:fill="FFFFFF"/>
              </w:rPr>
              <w:tab/>
              <w:t>Нэмэлтээр OptFld нэмсэн.</w:t>
            </w:r>
          </w:p>
          <w:p w:rsidR="005B65AA" w:rsidRPr="00EF2D2B" w:rsidRDefault="005B65AA" w:rsidP="005B65AA">
            <w:pPr>
              <w:tabs>
                <w:tab w:val="left" w:pos="0"/>
              </w:tabs>
              <w:spacing w:after="0"/>
              <w:ind w:left="0" w:firstLine="0"/>
              <w:rPr>
                <w:sz w:val="20"/>
                <w:shd w:val="clear" w:color="auto" w:fill="FFFFFF"/>
              </w:rPr>
            </w:pPr>
            <w:r w:rsidRPr="00EF2D2B">
              <w:rPr>
                <w:sz w:val="20"/>
                <w:shd w:val="clear" w:color="auto" w:fill="FFFFFF"/>
              </w:rPr>
              <w:t>**</w:t>
            </w:r>
            <w:r w:rsidRPr="00EF2D2B">
              <w:rPr>
                <w:sz w:val="20"/>
                <w:shd w:val="clear" w:color="auto" w:fill="FFFFFF"/>
              </w:rPr>
              <w:tab/>
              <w:t>UDPCOMADDR-ийн тодорхойлолтыг 9.2.2.4.1-ээс үзнэ үү.</w:t>
            </w:r>
          </w:p>
          <w:p w:rsidR="005B65AA" w:rsidRPr="005B65AA" w:rsidRDefault="005B65AA" w:rsidP="005B65AA">
            <w:pPr>
              <w:tabs>
                <w:tab w:val="left" w:pos="0"/>
              </w:tabs>
              <w:ind w:left="0" w:firstLine="0"/>
              <w:rPr>
                <w:rFonts w:eastAsia="Calibri"/>
                <w:bCs/>
                <w:sz w:val="20"/>
                <w:szCs w:val="20"/>
              </w:rPr>
            </w:pPr>
            <w:r w:rsidRPr="00EF2D2B">
              <w:rPr>
                <w:sz w:val="20"/>
                <w:shd w:val="clear" w:color="auto" w:fill="FFFFFF"/>
              </w:rPr>
              <w:t>***</w:t>
            </w:r>
            <w:r w:rsidRPr="00EF2D2B">
              <w:rPr>
                <w:sz w:val="20"/>
                <w:shd w:val="clear" w:color="auto" w:fill="FFFFFF"/>
              </w:rPr>
              <w:tab/>
              <w:t>Удирдлагын блокод нэмж оруулах нэмэлт атрибут</w:t>
            </w:r>
          </w:p>
        </w:tc>
      </w:tr>
    </w:tbl>
    <w:p w:rsidR="005B65AA" w:rsidRPr="005B65AA" w:rsidRDefault="005B65AA" w:rsidP="005B65AA">
      <w:pPr>
        <w:tabs>
          <w:tab w:val="left" w:pos="0"/>
        </w:tabs>
        <w:ind w:left="0" w:firstLine="0"/>
        <w:rPr>
          <w:rFonts w:eastAsia="Calibri"/>
          <w:bCs/>
          <w:sz w:val="20"/>
          <w:szCs w:val="20"/>
        </w:rPr>
      </w:pPr>
    </w:p>
    <w:p w:rsidR="009E72EA" w:rsidRDefault="009E72EA" w:rsidP="005B65AA">
      <w:pPr>
        <w:tabs>
          <w:tab w:val="left" w:pos="0"/>
        </w:tabs>
        <w:ind w:left="0" w:firstLine="0"/>
        <w:rPr>
          <w:rFonts w:eastAsia="Calibri"/>
          <w:bCs/>
          <w:sz w:val="20"/>
          <w:szCs w:val="20"/>
        </w:rPr>
      </w:pPr>
    </w:p>
    <w:p w:rsidR="005B65AA" w:rsidRDefault="005B65AA" w:rsidP="005B65AA">
      <w:pPr>
        <w:jc w:val="center"/>
        <w:rPr>
          <w:b/>
        </w:rPr>
      </w:pPr>
      <w:r w:rsidRPr="005B65AA">
        <w:rPr>
          <w:b/>
        </w:rPr>
        <w:t>Table 2 – R-MSVCB class definition</w:t>
      </w:r>
    </w:p>
    <w:tbl>
      <w:tblPr>
        <w:tblStyle w:val="TableGrid"/>
        <w:tblW w:w="0" w:type="auto"/>
        <w:tblLook w:val="04A0" w:firstRow="1" w:lastRow="0" w:firstColumn="1" w:lastColumn="0" w:noHBand="0" w:noVBand="1"/>
      </w:tblPr>
      <w:tblGrid>
        <w:gridCol w:w="504"/>
        <w:gridCol w:w="2095"/>
        <w:gridCol w:w="1906"/>
        <w:gridCol w:w="1125"/>
        <w:gridCol w:w="1000"/>
        <w:gridCol w:w="2714"/>
      </w:tblGrid>
      <w:tr w:rsidR="005B65AA" w:rsidTr="005B65AA">
        <w:tc>
          <w:tcPr>
            <w:tcW w:w="2599" w:type="dxa"/>
            <w:gridSpan w:val="2"/>
          </w:tcPr>
          <w:p w:rsidR="005B65AA" w:rsidRPr="00EF2D2B" w:rsidRDefault="005B65AA" w:rsidP="005B65AA">
            <w:pPr>
              <w:pStyle w:val="TableParagraph"/>
              <w:tabs>
                <w:tab w:val="left" w:pos="0"/>
              </w:tabs>
              <w:spacing w:before="53" w:line="276" w:lineRule="auto"/>
              <w:ind w:left="534"/>
              <w:rPr>
                <w:b/>
                <w:sz w:val="20"/>
                <w:szCs w:val="20"/>
                <w:lang w:val="mn-MN"/>
              </w:rPr>
            </w:pPr>
            <w:r w:rsidRPr="00EF2D2B">
              <w:rPr>
                <w:b/>
                <w:sz w:val="20"/>
                <w:szCs w:val="20"/>
                <w:lang w:val="mn-MN"/>
              </w:rPr>
              <w:t>Attribute name</w:t>
            </w:r>
          </w:p>
        </w:tc>
        <w:tc>
          <w:tcPr>
            <w:tcW w:w="1906" w:type="dxa"/>
          </w:tcPr>
          <w:p w:rsidR="005B65AA" w:rsidRPr="00EF2D2B" w:rsidRDefault="005B65AA" w:rsidP="005B65AA">
            <w:pPr>
              <w:pStyle w:val="TableParagraph"/>
              <w:tabs>
                <w:tab w:val="left" w:pos="0"/>
              </w:tabs>
              <w:spacing w:before="53" w:line="276" w:lineRule="auto"/>
              <w:ind w:left="415"/>
              <w:rPr>
                <w:b/>
                <w:sz w:val="20"/>
                <w:szCs w:val="20"/>
                <w:lang w:val="mn-MN"/>
              </w:rPr>
            </w:pPr>
            <w:r w:rsidRPr="00EF2D2B">
              <w:rPr>
                <w:b/>
                <w:sz w:val="20"/>
                <w:szCs w:val="20"/>
                <w:lang w:val="mn-MN"/>
              </w:rPr>
              <w:t>Attribute type</w:t>
            </w:r>
          </w:p>
        </w:tc>
        <w:tc>
          <w:tcPr>
            <w:tcW w:w="1125" w:type="dxa"/>
          </w:tcPr>
          <w:p w:rsidR="005B65AA" w:rsidRPr="00EF2D2B" w:rsidRDefault="005B65AA" w:rsidP="005B65AA">
            <w:pPr>
              <w:pStyle w:val="TableParagraph"/>
              <w:tabs>
                <w:tab w:val="left" w:pos="0"/>
              </w:tabs>
              <w:spacing w:before="53" w:line="276" w:lineRule="auto"/>
              <w:ind w:left="144" w:right="134"/>
              <w:jc w:val="center"/>
              <w:rPr>
                <w:b/>
                <w:sz w:val="20"/>
                <w:szCs w:val="20"/>
                <w:lang w:val="mn-MN"/>
              </w:rPr>
            </w:pPr>
            <w:r w:rsidRPr="00EF2D2B">
              <w:rPr>
                <w:b/>
                <w:sz w:val="20"/>
                <w:szCs w:val="20"/>
                <w:lang w:val="mn-MN"/>
              </w:rPr>
              <w:t>r/w</w:t>
            </w:r>
          </w:p>
        </w:tc>
        <w:tc>
          <w:tcPr>
            <w:tcW w:w="1000" w:type="dxa"/>
          </w:tcPr>
          <w:p w:rsidR="005B65AA" w:rsidRPr="00EF2D2B" w:rsidRDefault="005B65AA" w:rsidP="005B65AA">
            <w:pPr>
              <w:pStyle w:val="TableParagraph"/>
              <w:tabs>
                <w:tab w:val="left" w:pos="0"/>
              </w:tabs>
              <w:spacing w:before="53" w:line="276" w:lineRule="auto"/>
              <w:ind w:left="207"/>
              <w:rPr>
                <w:b/>
                <w:sz w:val="20"/>
                <w:szCs w:val="20"/>
                <w:lang w:val="mn-MN"/>
              </w:rPr>
            </w:pPr>
            <w:r w:rsidRPr="00EF2D2B">
              <w:rPr>
                <w:b/>
                <w:sz w:val="20"/>
                <w:szCs w:val="20"/>
                <w:lang w:val="mn-MN"/>
              </w:rPr>
              <w:t>m</w:t>
            </w:r>
          </w:p>
        </w:tc>
        <w:tc>
          <w:tcPr>
            <w:tcW w:w="2714" w:type="dxa"/>
          </w:tcPr>
          <w:p w:rsidR="005B65AA" w:rsidRPr="00EF2D2B" w:rsidRDefault="005B65AA" w:rsidP="005B65AA">
            <w:pPr>
              <w:pStyle w:val="TableParagraph"/>
              <w:tabs>
                <w:tab w:val="left" w:pos="0"/>
              </w:tabs>
              <w:spacing w:before="53" w:line="276" w:lineRule="auto"/>
              <w:ind w:left="786"/>
              <w:rPr>
                <w:b/>
                <w:sz w:val="20"/>
                <w:szCs w:val="20"/>
                <w:lang w:val="mn-MN"/>
              </w:rPr>
            </w:pPr>
            <w:r w:rsidRPr="00EF2D2B">
              <w:rPr>
                <w:b/>
                <w:sz w:val="20"/>
                <w:szCs w:val="20"/>
                <w:lang w:val="mn-MN"/>
              </w:rPr>
              <w:t>Value/value range/explanation</w:t>
            </w: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MsvCBName</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ObjectName</w:t>
            </w:r>
          </w:p>
        </w:tc>
        <w:tc>
          <w:tcPr>
            <w:tcW w:w="1125"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w:t>
            </w:r>
          </w:p>
        </w:tc>
        <w:tc>
          <w:tcPr>
            <w:tcW w:w="1000"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MMS object name: the value of this component shall be of the format of</w:t>
            </w:r>
          </w:p>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ObjectReference and shall be limited to VMD</w:t>
            </w:r>
          </w:p>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or Domain scoped NamedVariableLists.</w:t>
            </w: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MsvCRef</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ObjectReference</w:t>
            </w:r>
          </w:p>
        </w:tc>
        <w:tc>
          <w:tcPr>
            <w:tcW w:w="1125"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w:t>
            </w:r>
          </w:p>
        </w:tc>
        <w:tc>
          <w:tcPr>
            <w:tcW w:w="1000"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Path-name of an instance of SvCB</w:t>
            </w: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SvEna</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BOOLEAN</w:t>
            </w:r>
          </w:p>
        </w:tc>
        <w:tc>
          <w:tcPr>
            <w:tcW w:w="1125"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r/w</w:t>
            </w:r>
          </w:p>
        </w:tc>
        <w:tc>
          <w:tcPr>
            <w:tcW w:w="1000"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Enabled (TRUE) | disabled (FALSE), DEFAULT FALSE</w:t>
            </w: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Resv</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BOOLEAN</w:t>
            </w:r>
          </w:p>
        </w:tc>
        <w:tc>
          <w:tcPr>
            <w:tcW w:w="1125"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r/w</w:t>
            </w:r>
          </w:p>
        </w:tc>
        <w:tc>
          <w:tcPr>
            <w:tcW w:w="1000"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5B65AA" w:rsidRPr="00F66A15" w:rsidRDefault="005B65AA" w:rsidP="00F66A15">
            <w:pPr>
              <w:tabs>
                <w:tab w:val="left" w:pos="0"/>
              </w:tabs>
              <w:ind w:left="0" w:firstLine="0"/>
              <w:rPr>
                <w:rFonts w:eastAsia="Calibri"/>
                <w:bCs/>
                <w:sz w:val="20"/>
                <w:szCs w:val="20"/>
              </w:rPr>
            </w:pP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lastRenderedPageBreak/>
              <w:t>MsvID</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VISIBLE STRING129</w:t>
            </w:r>
          </w:p>
        </w:tc>
        <w:tc>
          <w:tcPr>
            <w:tcW w:w="1125"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r/w</w:t>
            </w:r>
          </w:p>
        </w:tc>
        <w:tc>
          <w:tcPr>
            <w:tcW w:w="1000" w:type="dxa"/>
          </w:tcPr>
          <w:p w:rsidR="005B65AA" w:rsidRPr="00F66A15" w:rsidRDefault="005B65AA" w:rsidP="00F66A15">
            <w:pPr>
              <w:tabs>
                <w:tab w:val="left" w:pos="0"/>
              </w:tabs>
              <w:ind w:left="0" w:firstLine="0"/>
              <w:rPr>
                <w:rFonts w:eastAsia="Calibri"/>
                <w:bCs/>
                <w:sz w:val="20"/>
                <w:szCs w:val="20"/>
              </w:rPr>
            </w:pPr>
          </w:p>
        </w:tc>
        <w:tc>
          <w:tcPr>
            <w:tcW w:w="2714"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System wide unique identification****.</w:t>
            </w: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DatSet</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ObjectReference</w:t>
            </w:r>
          </w:p>
        </w:tc>
        <w:tc>
          <w:tcPr>
            <w:tcW w:w="1125"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r/w</w:t>
            </w:r>
          </w:p>
        </w:tc>
        <w:tc>
          <w:tcPr>
            <w:tcW w:w="1000"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5B65AA" w:rsidRPr="00F66A15" w:rsidRDefault="005B65AA" w:rsidP="00F66A15">
            <w:pPr>
              <w:tabs>
                <w:tab w:val="left" w:pos="0"/>
              </w:tabs>
              <w:ind w:left="0" w:firstLine="0"/>
              <w:rPr>
                <w:rFonts w:eastAsia="Calibri"/>
                <w:bCs/>
                <w:sz w:val="20"/>
                <w:szCs w:val="20"/>
              </w:rPr>
            </w:pP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ConfRev</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INT32U</w:t>
            </w:r>
          </w:p>
        </w:tc>
        <w:tc>
          <w:tcPr>
            <w:tcW w:w="1125"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r</w:t>
            </w:r>
          </w:p>
        </w:tc>
        <w:tc>
          <w:tcPr>
            <w:tcW w:w="1000"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5B65AA" w:rsidRPr="00F66A15" w:rsidRDefault="005B65AA" w:rsidP="00F66A15">
            <w:pPr>
              <w:tabs>
                <w:tab w:val="left" w:pos="0"/>
              </w:tabs>
              <w:ind w:left="0" w:firstLine="0"/>
              <w:rPr>
                <w:rFonts w:eastAsia="Calibri"/>
                <w:bCs/>
                <w:sz w:val="20"/>
                <w:szCs w:val="20"/>
              </w:rPr>
            </w:pP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SmpRate</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INT16U</w:t>
            </w:r>
          </w:p>
        </w:tc>
        <w:tc>
          <w:tcPr>
            <w:tcW w:w="1125"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r/w</w:t>
            </w:r>
          </w:p>
        </w:tc>
        <w:tc>
          <w:tcPr>
            <w:tcW w:w="1000" w:type="dxa"/>
          </w:tcPr>
          <w:p w:rsidR="005B65AA" w:rsidRPr="00F66A15" w:rsidRDefault="005B65AA" w:rsidP="00F66A15">
            <w:pPr>
              <w:tabs>
                <w:tab w:val="left" w:pos="0"/>
              </w:tabs>
              <w:ind w:left="0" w:firstLine="0"/>
              <w:rPr>
                <w:rFonts w:eastAsia="Calibri"/>
                <w:bCs/>
                <w:sz w:val="20"/>
                <w:szCs w:val="20"/>
              </w:rPr>
            </w:pPr>
          </w:p>
        </w:tc>
        <w:tc>
          <w:tcPr>
            <w:tcW w:w="2714"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(0..MAX)</w:t>
            </w:r>
          </w:p>
        </w:tc>
      </w:tr>
      <w:tr w:rsidR="005B65AA" w:rsidTr="005B65AA">
        <w:tc>
          <w:tcPr>
            <w:tcW w:w="2599" w:type="dxa"/>
            <w:gridSpan w:val="2"/>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OptFlds</w:t>
            </w:r>
          </w:p>
        </w:tc>
        <w:tc>
          <w:tcPr>
            <w:tcW w:w="1906"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PACKEDLIST</w:t>
            </w:r>
          </w:p>
        </w:tc>
        <w:tc>
          <w:tcPr>
            <w:tcW w:w="1125" w:type="dxa"/>
          </w:tcPr>
          <w:p w:rsidR="005B65AA" w:rsidRPr="00F66A15" w:rsidRDefault="005B65AA" w:rsidP="00F66A15">
            <w:pPr>
              <w:tabs>
                <w:tab w:val="left" w:pos="0"/>
              </w:tabs>
              <w:ind w:left="0" w:firstLine="0"/>
              <w:rPr>
                <w:rFonts w:eastAsia="Calibri"/>
                <w:bCs/>
                <w:sz w:val="20"/>
                <w:szCs w:val="20"/>
              </w:rPr>
            </w:pPr>
          </w:p>
        </w:tc>
        <w:tc>
          <w:tcPr>
            <w:tcW w:w="1000" w:type="dxa"/>
          </w:tcPr>
          <w:p w:rsidR="005B65AA" w:rsidRPr="00F66A15" w:rsidRDefault="005B65AA"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5B65AA" w:rsidRPr="00F66A15" w:rsidRDefault="005B65AA" w:rsidP="00F66A15">
            <w:pPr>
              <w:tabs>
                <w:tab w:val="left" w:pos="0"/>
              </w:tabs>
              <w:ind w:left="0" w:firstLine="0"/>
              <w:rPr>
                <w:rFonts w:eastAsia="Calibri"/>
                <w:bCs/>
                <w:sz w:val="20"/>
                <w:szCs w:val="20"/>
              </w:rPr>
            </w:pPr>
          </w:p>
        </w:tc>
      </w:tr>
      <w:tr w:rsidR="00F66A15" w:rsidTr="005B65AA">
        <w:tc>
          <w:tcPr>
            <w:tcW w:w="504" w:type="dxa"/>
          </w:tcPr>
          <w:p w:rsidR="00F66A15" w:rsidRPr="00F66A15" w:rsidRDefault="00F66A15" w:rsidP="00F66A15">
            <w:pPr>
              <w:tabs>
                <w:tab w:val="left" w:pos="0"/>
              </w:tabs>
              <w:ind w:left="0" w:firstLine="0"/>
              <w:rPr>
                <w:rFonts w:eastAsia="Calibri"/>
                <w:bCs/>
                <w:sz w:val="20"/>
                <w:szCs w:val="20"/>
              </w:rPr>
            </w:pPr>
          </w:p>
        </w:tc>
        <w:tc>
          <w:tcPr>
            <w:tcW w:w="209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refresh-time</w:t>
            </w: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t>
            </w: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TRUE = SV buffer contains the attribute “RefrTm”</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FALSE = attribute “RefrTm” is not available in the SV buffer.</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Shall be TRUE if TransportinUse is not ETHERNET.</w:t>
            </w:r>
          </w:p>
        </w:tc>
      </w:tr>
      <w:tr w:rsidR="00F66A15" w:rsidTr="005B65AA">
        <w:tc>
          <w:tcPr>
            <w:tcW w:w="504" w:type="dxa"/>
          </w:tcPr>
          <w:p w:rsidR="00F66A15" w:rsidRPr="005B65AA" w:rsidRDefault="00F66A15" w:rsidP="00F66A15">
            <w:pPr>
              <w:pStyle w:val="TableParagraph"/>
              <w:tabs>
                <w:tab w:val="left" w:pos="0"/>
              </w:tabs>
              <w:spacing w:before="0" w:line="276" w:lineRule="auto"/>
              <w:rPr>
                <w:color w:val="A6A6A6" w:themeColor="background1" w:themeShade="A6"/>
                <w:sz w:val="20"/>
                <w:szCs w:val="20"/>
                <w:highlight w:val="lightGray"/>
                <w:lang w:val="mn-MN"/>
              </w:rPr>
            </w:pPr>
          </w:p>
        </w:tc>
        <w:tc>
          <w:tcPr>
            <w:tcW w:w="209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samplesynchronised</w:t>
            </w: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t>
            </w: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Value will be ignored. Kept to ensure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backward compatibility to IEC 61850-9-2 edition 1.0</w:t>
            </w:r>
          </w:p>
        </w:tc>
      </w:tr>
      <w:tr w:rsidR="00F66A15" w:rsidTr="005B65AA">
        <w:tc>
          <w:tcPr>
            <w:tcW w:w="504" w:type="dxa"/>
          </w:tcPr>
          <w:p w:rsidR="00F66A15" w:rsidRPr="005B65AA" w:rsidRDefault="00F66A15" w:rsidP="00F66A15">
            <w:pPr>
              <w:pStyle w:val="TableParagraph"/>
              <w:tabs>
                <w:tab w:val="left" w:pos="0"/>
              </w:tabs>
              <w:spacing w:before="0" w:line="276" w:lineRule="auto"/>
              <w:rPr>
                <w:color w:val="A6A6A6" w:themeColor="background1" w:themeShade="A6"/>
                <w:sz w:val="20"/>
                <w:szCs w:val="20"/>
                <w:highlight w:val="lightGray"/>
                <w:lang w:val="mn-MN"/>
              </w:rPr>
            </w:pPr>
          </w:p>
        </w:tc>
        <w:tc>
          <w:tcPr>
            <w:tcW w:w="209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sample-rate</w:t>
            </w: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t>
            </w: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TRUE = SV buffer contains the attribute “SmpRate”.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FALSE = attribute “SmpRate” is not available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in the SV buffer.</w:t>
            </w:r>
          </w:p>
        </w:tc>
      </w:tr>
      <w:tr w:rsidR="00F66A15" w:rsidTr="005B65AA">
        <w:tc>
          <w:tcPr>
            <w:tcW w:w="504" w:type="dxa"/>
          </w:tcPr>
          <w:p w:rsidR="00F66A15" w:rsidRPr="005B65AA" w:rsidRDefault="00F66A15" w:rsidP="00F66A15">
            <w:pPr>
              <w:pStyle w:val="TableParagraph"/>
              <w:tabs>
                <w:tab w:val="left" w:pos="0"/>
              </w:tabs>
              <w:spacing w:before="0" w:line="276" w:lineRule="auto"/>
              <w:rPr>
                <w:color w:val="A6A6A6" w:themeColor="background1" w:themeShade="A6"/>
                <w:sz w:val="20"/>
                <w:szCs w:val="20"/>
                <w:lang w:val="mn-MN"/>
              </w:rPr>
            </w:pPr>
          </w:p>
        </w:tc>
        <w:tc>
          <w:tcPr>
            <w:tcW w:w="209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data-set</w:t>
            </w: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t>
            </w: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TRUE = SV buffer contains the attribute “DatSet”.</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FALSE = attribute “DatSet” is not available in</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the SV buffer.</w:t>
            </w:r>
          </w:p>
        </w:tc>
      </w:tr>
      <w:tr w:rsidR="00F66A15" w:rsidTr="005B65AA">
        <w:tc>
          <w:tcPr>
            <w:tcW w:w="504" w:type="dxa"/>
          </w:tcPr>
          <w:p w:rsidR="00F66A15" w:rsidRPr="005B65AA" w:rsidRDefault="00F66A15" w:rsidP="00F66A15">
            <w:pPr>
              <w:pStyle w:val="TableParagraph"/>
              <w:tabs>
                <w:tab w:val="left" w:pos="0"/>
              </w:tabs>
              <w:spacing w:before="0" w:line="276" w:lineRule="auto"/>
              <w:rPr>
                <w:color w:val="A6A6A6" w:themeColor="background1" w:themeShade="A6"/>
                <w:sz w:val="20"/>
                <w:szCs w:val="20"/>
                <w:lang w:val="mn-MN"/>
              </w:rPr>
            </w:pPr>
          </w:p>
        </w:tc>
        <w:tc>
          <w:tcPr>
            <w:tcW w:w="209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security</w:t>
            </w:r>
          </w:p>
          <w:p w:rsidR="00F66A15" w:rsidRPr="00F66A15" w:rsidRDefault="00F66A15" w:rsidP="00F66A15">
            <w:pPr>
              <w:tabs>
                <w:tab w:val="left" w:pos="0"/>
              </w:tabs>
              <w:ind w:left="0" w:firstLine="0"/>
              <w:rPr>
                <w:rFonts w:eastAsia="Calibri"/>
                <w:bCs/>
                <w:sz w:val="20"/>
                <w:szCs w:val="20"/>
              </w:rPr>
            </w:pPr>
          </w:p>
          <w:p w:rsidR="00F66A15" w:rsidRPr="00F66A15" w:rsidRDefault="00F66A15" w:rsidP="00F66A15">
            <w:pPr>
              <w:tabs>
                <w:tab w:val="left" w:pos="0"/>
              </w:tabs>
              <w:ind w:left="0" w:firstLine="0"/>
              <w:rPr>
                <w:rFonts w:eastAsia="Calibri"/>
                <w:bCs/>
                <w:sz w:val="20"/>
                <w:szCs w:val="20"/>
              </w:rPr>
            </w:pPr>
          </w:p>
          <w:p w:rsidR="00F66A15" w:rsidRPr="00F66A15" w:rsidRDefault="00F66A15" w:rsidP="00F66A15">
            <w:pPr>
              <w:tabs>
                <w:tab w:val="left" w:pos="0"/>
              </w:tabs>
              <w:ind w:left="0" w:firstLine="0"/>
              <w:rPr>
                <w:rFonts w:eastAsia="Calibri"/>
                <w:bCs/>
                <w:sz w:val="20"/>
                <w:szCs w:val="20"/>
              </w:rPr>
            </w:pP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p w:rsidR="00F66A15" w:rsidRPr="00F66A15" w:rsidRDefault="00F66A15" w:rsidP="00F66A15">
            <w:pPr>
              <w:tabs>
                <w:tab w:val="left" w:pos="0"/>
              </w:tabs>
              <w:ind w:left="0" w:firstLine="0"/>
              <w:rPr>
                <w:rFonts w:eastAsia="Calibri"/>
                <w:bCs/>
                <w:sz w:val="20"/>
                <w:szCs w:val="20"/>
              </w:rPr>
            </w:pPr>
          </w:p>
          <w:p w:rsidR="00F66A15" w:rsidRPr="00F66A15" w:rsidRDefault="00F66A15" w:rsidP="00F66A15">
            <w:pPr>
              <w:tabs>
                <w:tab w:val="left" w:pos="0"/>
              </w:tabs>
              <w:ind w:left="0" w:firstLine="0"/>
              <w:rPr>
                <w:rFonts w:eastAsia="Calibri"/>
                <w:bCs/>
                <w:sz w:val="20"/>
                <w:szCs w:val="20"/>
              </w:rPr>
            </w:pPr>
          </w:p>
          <w:p w:rsidR="00F66A15" w:rsidRPr="00F66A15" w:rsidRDefault="00F66A15" w:rsidP="00F66A15">
            <w:pPr>
              <w:tabs>
                <w:tab w:val="left" w:pos="0"/>
              </w:tabs>
              <w:ind w:left="0" w:firstLine="0"/>
              <w:rPr>
                <w:rFonts w:eastAsia="Calibri"/>
                <w:bCs/>
                <w:sz w:val="20"/>
                <w:szCs w:val="20"/>
              </w:rPr>
            </w:pP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t>
            </w:r>
          </w:p>
          <w:p w:rsidR="00F66A15" w:rsidRPr="00F66A15" w:rsidRDefault="00F66A15" w:rsidP="00F66A15">
            <w:pPr>
              <w:tabs>
                <w:tab w:val="left" w:pos="0"/>
              </w:tabs>
              <w:ind w:left="0" w:firstLine="0"/>
              <w:rPr>
                <w:rFonts w:eastAsia="Calibri"/>
                <w:bCs/>
                <w:sz w:val="20"/>
                <w:szCs w:val="20"/>
              </w:rPr>
            </w:pPr>
          </w:p>
          <w:p w:rsidR="00F66A15" w:rsidRPr="00F66A15" w:rsidRDefault="00F66A15" w:rsidP="00F66A15">
            <w:pPr>
              <w:tabs>
                <w:tab w:val="left" w:pos="0"/>
              </w:tabs>
              <w:ind w:left="0" w:firstLine="0"/>
              <w:rPr>
                <w:rFonts w:eastAsia="Calibri"/>
                <w:bCs/>
                <w:sz w:val="20"/>
                <w:szCs w:val="20"/>
              </w:rPr>
            </w:pPr>
          </w:p>
          <w:p w:rsidR="00F66A15" w:rsidRPr="00F66A15" w:rsidRDefault="00F66A15" w:rsidP="00F66A15">
            <w:pPr>
              <w:tabs>
                <w:tab w:val="left" w:pos="0"/>
              </w:tabs>
              <w:ind w:left="0" w:firstLine="0"/>
              <w:rPr>
                <w:rFonts w:eastAsia="Calibri"/>
                <w:bCs/>
                <w:sz w:val="20"/>
                <w:szCs w:val="20"/>
              </w:rPr>
            </w:pP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w:t>
            </w:r>
          </w:p>
          <w:p w:rsidR="00F66A15" w:rsidRPr="00F66A15" w:rsidRDefault="00F66A15" w:rsidP="00F66A15">
            <w:pPr>
              <w:tabs>
                <w:tab w:val="left" w:pos="0"/>
              </w:tabs>
              <w:ind w:left="0" w:firstLine="0"/>
              <w:rPr>
                <w:rFonts w:eastAsia="Calibri"/>
                <w:bCs/>
                <w:sz w:val="20"/>
                <w:szCs w:val="20"/>
              </w:rPr>
            </w:pPr>
          </w:p>
          <w:p w:rsidR="00F66A15" w:rsidRPr="00F66A15" w:rsidRDefault="00F66A15" w:rsidP="00F66A15">
            <w:pPr>
              <w:tabs>
                <w:tab w:val="left" w:pos="0"/>
              </w:tabs>
              <w:ind w:left="0" w:firstLine="0"/>
              <w:rPr>
                <w:rFonts w:eastAsia="Calibri"/>
                <w:bCs/>
                <w:sz w:val="20"/>
                <w:szCs w:val="20"/>
              </w:rPr>
            </w:pPr>
          </w:p>
          <w:p w:rsidR="00F66A15" w:rsidRPr="00F66A15" w:rsidRDefault="00F66A15" w:rsidP="00F66A15">
            <w:pPr>
              <w:tabs>
                <w:tab w:val="left" w:pos="0"/>
              </w:tabs>
              <w:ind w:left="0" w:firstLine="0"/>
              <w:rPr>
                <w:rFonts w:eastAsia="Calibri"/>
                <w:bCs/>
                <w:sz w:val="20"/>
                <w:szCs w:val="20"/>
              </w:rPr>
            </w:pP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Mapping specific attribute.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TRUE = SV buffer contains the attribute</w:t>
            </w:r>
          </w:p>
        </w:tc>
      </w:tr>
      <w:tr w:rsidR="00F66A15" w:rsidRPr="005B65AA" w:rsidTr="005B65AA">
        <w:tc>
          <w:tcPr>
            <w:tcW w:w="2599" w:type="dxa"/>
            <w:gridSpan w:val="2"/>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Attribute name</w:t>
            </w:r>
          </w:p>
        </w:tc>
        <w:tc>
          <w:tcPr>
            <w:tcW w:w="1906"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Attribute type</w:t>
            </w:r>
          </w:p>
        </w:tc>
        <w:tc>
          <w:tcPr>
            <w:tcW w:w="1125"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r/w</w:t>
            </w:r>
          </w:p>
        </w:tc>
        <w:tc>
          <w:tcPr>
            <w:tcW w:w="1000"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m</w:t>
            </w:r>
          </w:p>
        </w:tc>
        <w:tc>
          <w:tcPr>
            <w:tcW w:w="2714"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Value/value range/explanation</w:t>
            </w:r>
          </w:p>
        </w:tc>
      </w:tr>
      <w:tr w:rsidR="00F66A15" w:rsidRPr="005B65AA" w:rsidTr="005B65AA">
        <w:tc>
          <w:tcPr>
            <w:tcW w:w="504" w:type="dxa"/>
          </w:tcPr>
          <w:p w:rsidR="00F66A15" w:rsidRPr="005B65AA" w:rsidRDefault="00F66A15" w:rsidP="00F66A15">
            <w:pPr>
              <w:tabs>
                <w:tab w:val="left" w:pos="0"/>
              </w:tabs>
              <w:ind w:left="0" w:firstLine="0"/>
              <w:rPr>
                <w:rFonts w:eastAsia="Calibri"/>
                <w:bCs/>
                <w:sz w:val="20"/>
                <w:szCs w:val="20"/>
              </w:rPr>
            </w:pPr>
          </w:p>
        </w:tc>
        <w:tc>
          <w:tcPr>
            <w:tcW w:w="2095" w:type="dxa"/>
          </w:tcPr>
          <w:p w:rsidR="00F66A15" w:rsidRPr="00F66A15" w:rsidRDefault="00F66A15" w:rsidP="00F66A15">
            <w:pPr>
              <w:tabs>
                <w:tab w:val="left" w:pos="0"/>
              </w:tabs>
              <w:ind w:left="0" w:firstLine="0"/>
              <w:rPr>
                <w:rFonts w:eastAsia="Calibri"/>
                <w:bCs/>
                <w:sz w:val="20"/>
                <w:szCs w:val="20"/>
              </w:rPr>
            </w:pPr>
          </w:p>
        </w:tc>
        <w:tc>
          <w:tcPr>
            <w:tcW w:w="1906" w:type="dxa"/>
          </w:tcPr>
          <w:p w:rsidR="00F66A15" w:rsidRPr="00F66A15" w:rsidRDefault="00F66A15" w:rsidP="00F66A15">
            <w:pPr>
              <w:tabs>
                <w:tab w:val="left" w:pos="0"/>
              </w:tabs>
              <w:ind w:left="0" w:firstLine="0"/>
              <w:rPr>
                <w:rFonts w:eastAsia="Calibri"/>
                <w:bCs/>
                <w:sz w:val="20"/>
                <w:szCs w:val="20"/>
              </w:rPr>
            </w:pPr>
          </w:p>
        </w:tc>
        <w:tc>
          <w:tcPr>
            <w:tcW w:w="1125" w:type="dxa"/>
          </w:tcPr>
          <w:p w:rsidR="00F66A15" w:rsidRPr="00F66A15" w:rsidRDefault="00F66A15" w:rsidP="00F66A15">
            <w:pPr>
              <w:tabs>
                <w:tab w:val="left" w:pos="0"/>
              </w:tabs>
              <w:ind w:left="0" w:firstLine="0"/>
              <w:rPr>
                <w:rFonts w:eastAsia="Calibri"/>
                <w:bCs/>
                <w:sz w:val="20"/>
                <w:szCs w:val="20"/>
              </w:rPr>
            </w:pPr>
          </w:p>
        </w:tc>
        <w:tc>
          <w:tcPr>
            <w:tcW w:w="1000" w:type="dxa"/>
          </w:tcPr>
          <w:p w:rsidR="00F66A15" w:rsidRPr="00F66A15" w:rsidRDefault="00F66A15" w:rsidP="00F66A15">
            <w:pPr>
              <w:tabs>
                <w:tab w:val="left" w:pos="0"/>
              </w:tabs>
              <w:ind w:left="0" w:firstLine="0"/>
              <w:rPr>
                <w:rFonts w:eastAsia="Calibri"/>
                <w:bCs/>
                <w:sz w:val="20"/>
                <w:szCs w:val="20"/>
              </w:rPr>
            </w:pP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FALSE = attribute “Security” is not available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in the SV buffer.</w:t>
            </w:r>
          </w:p>
        </w:tc>
      </w:tr>
      <w:tr w:rsidR="00F66A15" w:rsidRPr="005B65AA" w:rsidTr="005B65AA">
        <w:tc>
          <w:tcPr>
            <w:tcW w:w="504" w:type="dxa"/>
          </w:tcPr>
          <w:p w:rsidR="00F66A15" w:rsidRPr="005B65AA" w:rsidRDefault="00F66A15" w:rsidP="00F66A15">
            <w:pPr>
              <w:tabs>
                <w:tab w:val="left" w:pos="0"/>
              </w:tabs>
              <w:ind w:left="0" w:firstLine="0"/>
              <w:rPr>
                <w:rFonts w:eastAsia="Calibri"/>
                <w:bCs/>
                <w:sz w:val="20"/>
                <w:szCs w:val="20"/>
              </w:rPr>
            </w:pPr>
          </w:p>
        </w:tc>
        <w:tc>
          <w:tcPr>
            <w:tcW w:w="209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timestamp*</w:t>
            </w: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t>
            </w: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Include a TIMESTAMP if TRUE.</w:t>
            </w:r>
          </w:p>
        </w:tc>
      </w:tr>
      <w:tr w:rsidR="00F66A15" w:rsidRPr="005B65AA" w:rsidTr="005B65AA">
        <w:tc>
          <w:tcPr>
            <w:tcW w:w="2599" w:type="dxa"/>
            <w:gridSpan w:val="2"/>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SmpMod</w:t>
            </w: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ENUMERATED</w:t>
            </w: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w:t>
            </w: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w:t>
            </w: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samples per nominal cycle (DEFAULT) | samples per second | seconds per sample</w:t>
            </w:r>
          </w:p>
        </w:tc>
      </w:tr>
      <w:tr w:rsidR="00F66A15" w:rsidRPr="005B65AA" w:rsidTr="005B65AA">
        <w:tc>
          <w:tcPr>
            <w:tcW w:w="2599" w:type="dxa"/>
            <w:gridSpan w:val="2"/>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DstAddress</w:t>
            </w: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UDPCOMADDR***</w:t>
            </w: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t>
            </w: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o</w:t>
            </w:r>
          </w:p>
        </w:tc>
        <w:tc>
          <w:tcPr>
            <w:tcW w:w="2714" w:type="dxa"/>
          </w:tcPr>
          <w:p w:rsidR="00F66A15" w:rsidRPr="00F66A15" w:rsidRDefault="00F66A15" w:rsidP="00F66A15">
            <w:pPr>
              <w:tabs>
                <w:tab w:val="left" w:pos="0"/>
              </w:tabs>
              <w:ind w:left="0" w:firstLine="0"/>
              <w:rPr>
                <w:rFonts w:eastAsia="Calibri"/>
                <w:bCs/>
                <w:sz w:val="20"/>
                <w:szCs w:val="20"/>
              </w:rPr>
            </w:pPr>
          </w:p>
        </w:tc>
      </w:tr>
      <w:tr w:rsidR="00F66A15" w:rsidRPr="005B65AA" w:rsidTr="005B65AA">
        <w:tc>
          <w:tcPr>
            <w:tcW w:w="2599" w:type="dxa"/>
            <w:gridSpan w:val="2"/>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SecurityEnable***</w:t>
            </w:r>
          </w:p>
        </w:tc>
        <w:tc>
          <w:tcPr>
            <w:tcW w:w="1906"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ENUMERATED</w:t>
            </w:r>
          </w:p>
        </w:tc>
        <w:tc>
          <w:tcPr>
            <w:tcW w:w="1125"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w:t>
            </w:r>
          </w:p>
        </w:tc>
        <w:tc>
          <w:tcPr>
            <w:tcW w:w="1000"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o</w:t>
            </w:r>
          </w:p>
        </w:tc>
        <w:tc>
          <w:tcPr>
            <w:tcW w:w="271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None, Signature, SignatureAndEncryption</w:t>
            </w:r>
          </w:p>
        </w:tc>
      </w:tr>
      <w:tr w:rsidR="00F66A15" w:rsidRPr="005B65AA" w:rsidTr="005B65AA">
        <w:tc>
          <w:tcPr>
            <w:tcW w:w="9344" w:type="dxa"/>
            <w:gridSpan w:val="6"/>
          </w:tcPr>
          <w:p w:rsidR="00F66A15" w:rsidRPr="00731F96" w:rsidRDefault="00F66A15" w:rsidP="00F66A15">
            <w:pPr>
              <w:tabs>
                <w:tab w:val="left" w:pos="0"/>
              </w:tabs>
              <w:spacing w:after="0"/>
              <w:ind w:left="0" w:firstLine="0"/>
              <w:rPr>
                <w:sz w:val="20"/>
                <w:shd w:val="clear" w:color="auto" w:fill="FFFFFF"/>
              </w:rPr>
            </w:pPr>
            <w:r w:rsidRPr="00EF2D2B">
              <w:rPr>
                <w:sz w:val="22"/>
                <w:szCs w:val="22"/>
                <w:shd w:val="clear" w:color="auto" w:fill="FFFFFF"/>
              </w:rPr>
              <w:t>*</w:t>
            </w:r>
            <w:r w:rsidRPr="00731F96">
              <w:rPr>
                <w:sz w:val="20"/>
                <w:shd w:val="clear" w:color="auto" w:fill="FFFFFF"/>
              </w:rPr>
              <w:tab/>
              <w:t>Additional OptFld added.</w:t>
            </w:r>
          </w:p>
          <w:p w:rsidR="00F66A15" w:rsidRPr="00EF2D2B" w:rsidRDefault="00F66A15" w:rsidP="00F66A15">
            <w:pPr>
              <w:tabs>
                <w:tab w:val="left" w:pos="0"/>
              </w:tabs>
              <w:spacing w:after="0"/>
              <w:ind w:left="0" w:firstLine="0"/>
              <w:rPr>
                <w:sz w:val="20"/>
                <w:shd w:val="clear" w:color="auto" w:fill="FFFFFF"/>
              </w:rPr>
            </w:pPr>
            <w:r w:rsidRPr="00EF2D2B">
              <w:rPr>
                <w:sz w:val="20"/>
                <w:shd w:val="clear" w:color="auto" w:fill="FFFFFF"/>
              </w:rPr>
              <w:t>**</w:t>
            </w:r>
            <w:r w:rsidRPr="00EF2D2B">
              <w:rPr>
                <w:sz w:val="20"/>
                <w:shd w:val="clear" w:color="auto" w:fill="FFFFFF"/>
              </w:rPr>
              <w:tab/>
              <w:t xml:space="preserve">The definition UDPCOMADDR can be found in </w:t>
            </w:r>
            <w:hyperlink w:anchor="_bookmark31" w:history="1">
              <w:r w:rsidRPr="00EF2D2B">
                <w:rPr>
                  <w:sz w:val="20"/>
                  <w:shd w:val="clear" w:color="auto" w:fill="FFFFFF"/>
                </w:rPr>
                <w:t>9.2.2.4.1.</w:t>
              </w:r>
            </w:hyperlink>
          </w:p>
          <w:p w:rsidR="00F66A15" w:rsidRPr="005B65AA" w:rsidRDefault="00F66A15" w:rsidP="00F66A15">
            <w:pPr>
              <w:tabs>
                <w:tab w:val="left" w:pos="0"/>
              </w:tabs>
              <w:ind w:left="0" w:firstLine="0"/>
              <w:rPr>
                <w:rFonts w:eastAsia="Calibri"/>
                <w:bCs/>
                <w:sz w:val="20"/>
                <w:szCs w:val="20"/>
              </w:rPr>
            </w:pPr>
            <w:r w:rsidRPr="00731F96">
              <w:rPr>
                <w:sz w:val="20"/>
                <w:shd w:val="clear" w:color="auto" w:fill="FFFFFF"/>
              </w:rPr>
              <w:t>***</w:t>
            </w:r>
            <w:r w:rsidRPr="00731F96">
              <w:rPr>
                <w:sz w:val="20"/>
                <w:shd w:val="clear" w:color="auto" w:fill="FFFFFF"/>
              </w:rPr>
              <w:tab/>
              <w:t>Additional attribute to be added to the control block.</w:t>
            </w:r>
          </w:p>
        </w:tc>
      </w:tr>
    </w:tbl>
    <w:p w:rsidR="005B65AA" w:rsidRDefault="005B65AA" w:rsidP="005B65AA">
      <w:pPr>
        <w:tabs>
          <w:tab w:val="left" w:pos="0"/>
        </w:tabs>
        <w:ind w:left="0" w:firstLine="0"/>
        <w:rPr>
          <w:rFonts w:eastAsia="Calibri"/>
          <w:bCs/>
          <w:sz w:val="20"/>
          <w:szCs w:val="20"/>
        </w:rPr>
      </w:pPr>
    </w:p>
    <w:tbl>
      <w:tblPr>
        <w:tblStyle w:val="TableGrid"/>
        <w:tblW w:w="0" w:type="auto"/>
        <w:tblLook w:val="04A0" w:firstRow="1" w:lastRow="0" w:firstColumn="1" w:lastColumn="0" w:noHBand="0" w:noVBand="1"/>
      </w:tblPr>
      <w:tblGrid>
        <w:gridCol w:w="4672"/>
        <w:gridCol w:w="4672"/>
      </w:tblGrid>
      <w:tr w:rsidR="00F66A15" w:rsidTr="00F66A15">
        <w:tc>
          <w:tcPr>
            <w:tcW w:w="4672" w:type="dxa"/>
          </w:tcPr>
          <w:p w:rsidR="00F66A15" w:rsidRPr="00F66A15" w:rsidRDefault="00F66A15" w:rsidP="00F66A15">
            <w:pPr>
              <w:tabs>
                <w:tab w:val="left" w:pos="0"/>
              </w:tabs>
              <w:ind w:left="0" w:firstLine="0"/>
              <w:rPr>
                <w:rFonts w:eastAsia="Calibri"/>
                <w:b/>
                <w:bCs/>
                <w:szCs w:val="22"/>
              </w:rPr>
            </w:pPr>
            <w:r w:rsidRPr="00F66A15">
              <w:rPr>
                <w:rFonts w:eastAsia="Calibri"/>
                <w:b/>
                <w:bCs/>
                <w:szCs w:val="22"/>
              </w:rPr>
              <w:lastRenderedPageBreak/>
              <w:t>9.2.2.3 IP удирдлагын блок дээрх GOOSE: R-GoCB</w:t>
            </w:r>
          </w:p>
          <w:p w:rsidR="00F66A15" w:rsidRPr="00F66A15" w:rsidRDefault="00F66A15" w:rsidP="00F66A15">
            <w:pPr>
              <w:tabs>
                <w:tab w:val="left" w:pos="0"/>
              </w:tabs>
              <w:ind w:left="0" w:firstLine="0"/>
              <w:rPr>
                <w:rFonts w:eastAsia="Calibri"/>
                <w:bCs/>
                <w:szCs w:val="22"/>
              </w:rPr>
            </w:pPr>
            <w:r w:rsidRPr="00F66A15">
              <w:rPr>
                <w:rFonts w:eastAsia="Calibri"/>
                <w:bCs/>
                <w:szCs w:val="22"/>
              </w:rPr>
              <w:t>Үйл явдлыг IP дээр илгээхийн тулд R-GoCB нь IPv4 ба IPv6 multicast-ийг дэмжих чадвар шаарддаг. R-GoCB нь GoCB бүтэцтэй төстэй боловч SecurityEnable атрибутыг сайжруулахад UDPCOMADDR ашиглана.</w:t>
            </w:r>
          </w:p>
          <w:p w:rsidR="00F66A15" w:rsidRPr="00F66A15" w:rsidRDefault="00F66A15" w:rsidP="00F66A15">
            <w:pPr>
              <w:tabs>
                <w:tab w:val="left" w:pos="0"/>
              </w:tabs>
              <w:ind w:left="0" w:firstLine="0"/>
              <w:rPr>
                <w:rFonts w:eastAsia="Calibri"/>
                <w:bCs/>
                <w:szCs w:val="22"/>
              </w:rPr>
            </w:pPr>
            <w:r w:rsidRPr="00F66A15">
              <w:rPr>
                <w:rFonts w:eastAsia="Calibri"/>
                <w:bCs/>
                <w:szCs w:val="22"/>
              </w:rPr>
              <w:t>Хүснэгт 3–т GoCB-д нэмж оруулах шаардлагатай нэмэлт атрибутуудыг харуулав.</w:t>
            </w:r>
          </w:p>
        </w:tc>
        <w:tc>
          <w:tcPr>
            <w:tcW w:w="4672" w:type="dxa"/>
          </w:tcPr>
          <w:p w:rsidR="00F66A15" w:rsidRPr="00F66A15" w:rsidRDefault="00F66A15" w:rsidP="00F66A15">
            <w:pPr>
              <w:tabs>
                <w:tab w:val="left" w:pos="0"/>
              </w:tabs>
              <w:ind w:left="0" w:firstLine="0"/>
              <w:rPr>
                <w:rFonts w:eastAsia="Calibri"/>
                <w:b/>
                <w:bCs/>
                <w:szCs w:val="22"/>
              </w:rPr>
            </w:pPr>
            <w:r w:rsidRPr="00F66A15">
              <w:rPr>
                <w:rFonts w:eastAsia="Calibri"/>
                <w:b/>
                <w:bCs/>
                <w:szCs w:val="22"/>
              </w:rPr>
              <w:t>9.2.2.3 GOOSE over IP control block: R-GoCB</w:t>
            </w:r>
          </w:p>
          <w:p w:rsidR="00F66A15" w:rsidRPr="00F66A15" w:rsidRDefault="00F66A15" w:rsidP="00F66A15">
            <w:pPr>
              <w:tabs>
                <w:tab w:val="left" w:pos="0"/>
              </w:tabs>
              <w:ind w:left="0" w:firstLine="0"/>
              <w:rPr>
                <w:rFonts w:eastAsia="Calibri"/>
                <w:bCs/>
                <w:szCs w:val="22"/>
              </w:rPr>
            </w:pPr>
            <w:r w:rsidRPr="00F66A15">
              <w:rPr>
                <w:rFonts w:eastAsia="Calibri"/>
                <w:bCs/>
                <w:szCs w:val="22"/>
              </w:rPr>
              <w:t>In order to send events over IP, the R-GoCB requires the ability to support IPv4 and IPv6 multicast. The R-GoCB will be similar to the GoCB structure but will be enhanced by the SecurityEnable attribute and the UDPCOMADDR.</w:t>
            </w:r>
          </w:p>
          <w:p w:rsidR="00F66A15" w:rsidRPr="00F66A15" w:rsidRDefault="00D80958" w:rsidP="00F66A15">
            <w:pPr>
              <w:tabs>
                <w:tab w:val="left" w:pos="0"/>
              </w:tabs>
              <w:ind w:left="0" w:firstLine="0"/>
              <w:rPr>
                <w:rFonts w:eastAsia="Calibri"/>
                <w:bCs/>
                <w:szCs w:val="22"/>
              </w:rPr>
            </w:pPr>
            <w:hyperlink w:anchor="_bookmark30" w:history="1">
              <w:r w:rsidR="00F66A15" w:rsidRPr="00F66A15">
                <w:rPr>
                  <w:rFonts w:eastAsia="Calibri"/>
                  <w:bCs/>
                  <w:szCs w:val="22"/>
                </w:rPr>
                <w:t xml:space="preserve">Table 3 </w:t>
              </w:r>
            </w:hyperlink>
            <w:r w:rsidR="00F66A15" w:rsidRPr="00F66A15">
              <w:rPr>
                <w:rFonts w:eastAsia="Calibri"/>
                <w:bCs/>
                <w:szCs w:val="22"/>
              </w:rPr>
              <w:t>shows the additional attributes that need to be added to the GoCB.</w:t>
            </w:r>
          </w:p>
          <w:p w:rsidR="00F66A15" w:rsidRPr="00F66A15" w:rsidRDefault="00F66A15" w:rsidP="00F66A15">
            <w:pPr>
              <w:pStyle w:val="Heading5"/>
              <w:tabs>
                <w:tab w:val="left" w:pos="0"/>
              </w:tabs>
              <w:spacing w:line="276" w:lineRule="auto"/>
              <w:ind w:right="1743"/>
              <w:jc w:val="center"/>
              <w:outlineLvl w:val="4"/>
              <w:rPr>
                <w:rFonts w:ascii="Arial" w:eastAsia="Calibri" w:hAnsi="Arial" w:cs="Arial"/>
                <w:color w:val="auto"/>
                <w:szCs w:val="22"/>
                <w:lang w:val="mn-MN"/>
              </w:rPr>
            </w:pPr>
          </w:p>
        </w:tc>
      </w:tr>
    </w:tbl>
    <w:p w:rsidR="00F66A15" w:rsidRDefault="00F66A15" w:rsidP="005B65AA">
      <w:pPr>
        <w:tabs>
          <w:tab w:val="left" w:pos="0"/>
        </w:tabs>
        <w:ind w:left="0" w:firstLine="0"/>
        <w:rPr>
          <w:rFonts w:eastAsia="Calibri"/>
          <w:bCs/>
          <w:sz w:val="20"/>
          <w:szCs w:val="20"/>
        </w:rPr>
      </w:pPr>
    </w:p>
    <w:p w:rsidR="00F66A15" w:rsidRDefault="00F66A15" w:rsidP="00F66A15">
      <w:pPr>
        <w:tabs>
          <w:tab w:val="left" w:pos="0"/>
        </w:tabs>
        <w:ind w:left="0" w:firstLine="0"/>
        <w:jc w:val="center"/>
        <w:rPr>
          <w:rFonts w:eastAsia="Calibri"/>
          <w:b/>
          <w:bCs/>
        </w:rPr>
      </w:pPr>
      <w:r w:rsidRPr="00F66A15">
        <w:rPr>
          <w:rFonts w:eastAsia="Calibri"/>
          <w:b/>
          <w:bCs/>
        </w:rPr>
        <w:t>3</w:t>
      </w:r>
      <w:r>
        <w:rPr>
          <w:rFonts w:eastAsia="Calibri"/>
          <w:b/>
          <w:bCs/>
        </w:rPr>
        <w:t>-р хүснэгт</w:t>
      </w:r>
      <w:r w:rsidRPr="00F66A15">
        <w:rPr>
          <w:rFonts w:eastAsia="Calibri"/>
          <w:b/>
          <w:bCs/>
        </w:rPr>
        <w:t xml:space="preserve"> – R-GoCB-ийн тодорхойлолт</w:t>
      </w:r>
    </w:p>
    <w:tbl>
      <w:tblPr>
        <w:tblStyle w:val="TableGrid"/>
        <w:tblW w:w="0" w:type="auto"/>
        <w:tblLook w:val="04A0" w:firstRow="1" w:lastRow="0" w:firstColumn="1" w:lastColumn="0" w:noHBand="0" w:noVBand="1"/>
      </w:tblPr>
      <w:tblGrid>
        <w:gridCol w:w="1789"/>
        <w:gridCol w:w="1807"/>
        <w:gridCol w:w="1156"/>
        <w:gridCol w:w="1098"/>
        <w:gridCol w:w="3494"/>
      </w:tblGrid>
      <w:tr w:rsidR="00F66A15" w:rsidTr="00F66A15">
        <w:tc>
          <w:tcPr>
            <w:tcW w:w="1789"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Атрибутын нэр</w:t>
            </w:r>
          </w:p>
        </w:tc>
        <w:tc>
          <w:tcPr>
            <w:tcW w:w="1807"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Атрибутын төрөл</w:t>
            </w:r>
          </w:p>
        </w:tc>
        <w:tc>
          <w:tcPr>
            <w:tcW w:w="1156"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r/w</w:t>
            </w:r>
          </w:p>
        </w:tc>
        <w:tc>
          <w:tcPr>
            <w:tcW w:w="1098"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m</w:t>
            </w:r>
          </w:p>
        </w:tc>
        <w:tc>
          <w:tcPr>
            <w:tcW w:w="3494"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Утга/утгын хүрээ/тайлбар</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GoEna</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GoID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Visible-string</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DatSet</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Visible-string</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ConfRev</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NdsCom</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DstAddress</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UDPCOMADDR*</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MinTime</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MaxTime</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FixedOffs</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SecurityEnable**</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ENUMERATED</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Аль нь ч биш, баталгаажуулалт,баталгаажуулалт ба нууцлалт</w:t>
            </w:r>
          </w:p>
        </w:tc>
      </w:tr>
      <w:tr w:rsidR="00F66A15" w:rsidTr="00F66A15">
        <w:tc>
          <w:tcPr>
            <w:tcW w:w="9344" w:type="dxa"/>
            <w:gridSpan w:val="5"/>
          </w:tcPr>
          <w:p w:rsidR="00F66A15" w:rsidRPr="00731F96" w:rsidRDefault="00F66A15" w:rsidP="00F66A15">
            <w:pPr>
              <w:tabs>
                <w:tab w:val="left" w:pos="0"/>
              </w:tabs>
              <w:spacing w:after="0"/>
              <w:ind w:left="0" w:firstLine="0"/>
              <w:rPr>
                <w:sz w:val="20"/>
                <w:shd w:val="clear" w:color="auto" w:fill="FFFFFF"/>
              </w:rPr>
            </w:pPr>
            <w:r w:rsidRPr="00EF2D2B">
              <w:rPr>
                <w:sz w:val="20"/>
                <w:shd w:val="clear" w:color="auto" w:fill="FFFFFF"/>
              </w:rPr>
              <w:t xml:space="preserve">*     UDPCOMADDR-ийн </w:t>
            </w:r>
            <w:r>
              <w:rPr>
                <w:sz w:val="20"/>
                <w:shd w:val="clear" w:color="auto" w:fill="FFFFFF"/>
              </w:rPr>
              <w:t>тодорхойлолтыг 5-р хүснэгтээс</w:t>
            </w:r>
            <w:r w:rsidRPr="00731F96">
              <w:rPr>
                <w:sz w:val="20"/>
                <w:shd w:val="clear" w:color="auto" w:fill="FFFFFF"/>
              </w:rPr>
              <w:t xml:space="preserve"> авна уу.</w:t>
            </w:r>
          </w:p>
          <w:p w:rsidR="00F66A15" w:rsidRPr="00F66A15" w:rsidRDefault="00F66A15" w:rsidP="00F66A15">
            <w:pPr>
              <w:tabs>
                <w:tab w:val="left" w:pos="0"/>
              </w:tabs>
              <w:ind w:left="0" w:firstLine="0"/>
              <w:rPr>
                <w:rFonts w:eastAsia="Calibri"/>
                <w:bCs/>
                <w:sz w:val="20"/>
                <w:szCs w:val="20"/>
              </w:rPr>
            </w:pPr>
            <w:r w:rsidRPr="00EF2D2B">
              <w:rPr>
                <w:sz w:val="20"/>
                <w:shd w:val="clear" w:color="auto" w:fill="FFFFFF"/>
              </w:rPr>
              <w:t>**   Удирдлагын блокод нэмж оруулах нэмэлт атрибут</w:t>
            </w:r>
          </w:p>
        </w:tc>
      </w:tr>
    </w:tbl>
    <w:p w:rsidR="00F66A15" w:rsidRDefault="00F66A15" w:rsidP="00F66A15">
      <w:pPr>
        <w:tabs>
          <w:tab w:val="left" w:pos="0"/>
        </w:tabs>
        <w:ind w:left="0" w:firstLine="0"/>
        <w:jc w:val="center"/>
        <w:rPr>
          <w:rFonts w:eastAsia="Calibri"/>
          <w:b/>
          <w:bCs/>
        </w:rPr>
      </w:pPr>
    </w:p>
    <w:p w:rsidR="00F66A15" w:rsidRDefault="00F66A15" w:rsidP="00F66A15">
      <w:pPr>
        <w:tabs>
          <w:tab w:val="left" w:pos="0"/>
        </w:tabs>
        <w:ind w:left="0" w:firstLine="0"/>
        <w:jc w:val="center"/>
        <w:rPr>
          <w:rFonts w:eastAsia="Calibri"/>
          <w:b/>
          <w:bCs/>
        </w:rPr>
      </w:pPr>
      <w:r w:rsidRPr="00F66A15">
        <w:rPr>
          <w:rFonts w:eastAsia="Calibri"/>
          <w:b/>
          <w:bCs/>
        </w:rPr>
        <w:t>Table 3 – R-GoCB definition</w:t>
      </w:r>
    </w:p>
    <w:tbl>
      <w:tblPr>
        <w:tblStyle w:val="TableGrid"/>
        <w:tblW w:w="0" w:type="auto"/>
        <w:tblLook w:val="04A0" w:firstRow="1" w:lastRow="0" w:firstColumn="1" w:lastColumn="0" w:noHBand="0" w:noVBand="1"/>
      </w:tblPr>
      <w:tblGrid>
        <w:gridCol w:w="1789"/>
        <w:gridCol w:w="1807"/>
        <w:gridCol w:w="1156"/>
        <w:gridCol w:w="1098"/>
        <w:gridCol w:w="3494"/>
      </w:tblGrid>
      <w:tr w:rsidR="00F66A15" w:rsidTr="00F66A15">
        <w:tc>
          <w:tcPr>
            <w:tcW w:w="1789"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Attribute name</w:t>
            </w:r>
          </w:p>
        </w:tc>
        <w:tc>
          <w:tcPr>
            <w:tcW w:w="1807"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Attribute type</w:t>
            </w:r>
          </w:p>
        </w:tc>
        <w:tc>
          <w:tcPr>
            <w:tcW w:w="1156"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r/w</w:t>
            </w:r>
          </w:p>
        </w:tc>
        <w:tc>
          <w:tcPr>
            <w:tcW w:w="1098"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m</w:t>
            </w:r>
          </w:p>
        </w:tc>
        <w:tc>
          <w:tcPr>
            <w:tcW w:w="3494"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Value/value range/explanation</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GoEna</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GoID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Visible-string</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DatSet</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Visible-string</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ConfRev</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NdsCom</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DstAddress</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UDPCOMADDR*</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MinTime</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MaxTime</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FixedOffs</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Boolean</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SecurityEnable**</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ENUMERATED</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None, Signature, SignatureAndEncryption</w:t>
            </w:r>
          </w:p>
        </w:tc>
      </w:tr>
      <w:tr w:rsidR="00F66A15" w:rsidTr="00F66A15">
        <w:tc>
          <w:tcPr>
            <w:tcW w:w="9344" w:type="dxa"/>
            <w:gridSpan w:val="5"/>
          </w:tcPr>
          <w:p w:rsidR="00F66A15" w:rsidRPr="00EF2D2B" w:rsidRDefault="00F66A15" w:rsidP="00F66A15">
            <w:pPr>
              <w:tabs>
                <w:tab w:val="left" w:pos="0"/>
              </w:tabs>
              <w:spacing w:after="0"/>
              <w:ind w:left="0" w:firstLine="0"/>
              <w:rPr>
                <w:sz w:val="20"/>
                <w:shd w:val="clear" w:color="auto" w:fill="FFFFFF"/>
              </w:rPr>
            </w:pPr>
            <w:r>
              <w:rPr>
                <w:sz w:val="20"/>
                <w:shd w:val="clear" w:color="auto" w:fill="FFFFFF"/>
              </w:rPr>
              <w:t xml:space="preserve">* </w:t>
            </w:r>
            <w:r w:rsidRPr="00731F96">
              <w:rPr>
                <w:sz w:val="20"/>
                <w:shd w:val="clear" w:color="auto" w:fill="FFFFFF"/>
              </w:rPr>
              <w:t xml:space="preserve">The definition of UDPCOMADDR can be found in </w:t>
            </w:r>
            <w:hyperlink w:anchor="_bookmark33" w:history="1">
              <w:r w:rsidRPr="00EF2D2B">
                <w:rPr>
                  <w:sz w:val="20"/>
                  <w:shd w:val="clear" w:color="auto" w:fill="FFFFFF"/>
                </w:rPr>
                <w:t>Table 5.</w:t>
              </w:r>
            </w:hyperlink>
          </w:p>
          <w:p w:rsidR="00F66A15" w:rsidRPr="00F66A15" w:rsidRDefault="00F66A15" w:rsidP="00F66A15">
            <w:pPr>
              <w:tabs>
                <w:tab w:val="left" w:pos="0"/>
              </w:tabs>
              <w:ind w:left="0" w:firstLine="0"/>
              <w:rPr>
                <w:rFonts w:eastAsia="Calibri"/>
                <w:bCs/>
                <w:sz w:val="20"/>
                <w:szCs w:val="20"/>
              </w:rPr>
            </w:pPr>
            <w:r w:rsidRPr="00731F96">
              <w:rPr>
                <w:sz w:val="20"/>
                <w:shd w:val="clear" w:color="auto" w:fill="FFFFFF"/>
              </w:rPr>
              <w:t>** Additional attribute to be</w:t>
            </w:r>
            <w:r w:rsidRPr="00EF2D2B">
              <w:rPr>
                <w:sz w:val="20"/>
                <w:shd w:val="clear" w:color="auto" w:fill="FFFFFF"/>
              </w:rPr>
              <w:t xml:space="preserve"> added to the control block.</w:t>
            </w:r>
          </w:p>
        </w:tc>
      </w:tr>
    </w:tbl>
    <w:p w:rsidR="009E72EA" w:rsidRDefault="009E72EA" w:rsidP="005B65AA">
      <w:pPr>
        <w:tabs>
          <w:tab w:val="left" w:pos="0"/>
        </w:tabs>
        <w:ind w:left="0" w:firstLine="0"/>
        <w:rPr>
          <w:rFonts w:eastAsia="Calibri"/>
          <w:bCs/>
          <w:sz w:val="20"/>
          <w:szCs w:val="20"/>
        </w:rPr>
      </w:pPr>
    </w:p>
    <w:tbl>
      <w:tblPr>
        <w:tblStyle w:val="TableGrid"/>
        <w:tblW w:w="0" w:type="auto"/>
        <w:tblLook w:val="04A0" w:firstRow="1" w:lastRow="0" w:firstColumn="1" w:lastColumn="0" w:noHBand="0" w:noVBand="1"/>
      </w:tblPr>
      <w:tblGrid>
        <w:gridCol w:w="4672"/>
        <w:gridCol w:w="4672"/>
      </w:tblGrid>
      <w:tr w:rsidR="00F66A15" w:rsidTr="00F66A15">
        <w:tc>
          <w:tcPr>
            <w:tcW w:w="4672" w:type="dxa"/>
          </w:tcPr>
          <w:p w:rsidR="00F66A15" w:rsidRPr="00F66A15" w:rsidRDefault="00F66A15" w:rsidP="00F66A15">
            <w:pPr>
              <w:tabs>
                <w:tab w:val="left" w:pos="0"/>
              </w:tabs>
              <w:ind w:left="0" w:firstLine="0"/>
              <w:rPr>
                <w:rFonts w:eastAsia="Calibri"/>
                <w:b/>
                <w:bCs/>
                <w:szCs w:val="22"/>
              </w:rPr>
            </w:pPr>
            <w:r w:rsidRPr="00F66A15">
              <w:rPr>
                <w:rFonts w:eastAsia="Calibri"/>
                <w:b/>
                <w:bCs/>
                <w:szCs w:val="22"/>
              </w:rPr>
              <w:lastRenderedPageBreak/>
              <w:t>9.2.2.4 Нэмэлт атрибутуудын тайлбар</w:t>
            </w:r>
          </w:p>
          <w:p w:rsidR="00F66A15" w:rsidRPr="00F66A15" w:rsidRDefault="00F66A15" w:rsidP="00F66A15">
            <w:pPr>
              <w:tabs>
                <w:tab w:val="left" w:pos="0"/>
                <w:tab w:val="left" w:pos="1861"/>
                <w:tab w:val="left" w:pos="1862"/>
              </w:tabs>
              <w:ind w:left="0" w:firstLine="0"/>
              <w:rPr>
                <w:rFonts w:eastAsia="Calibri"/>
                <w:b/>
                <w:bCs/>
                <w:szCs w:val="22"/>
              </w:rPr>
            </w:pPr>
            <w:r w:rsidRPr="00F66A15">
              <w:rPr>
                <w:rFonts w:eastAsia="Calibri"/>
                <w:b/>
                <w:bCs/>
                <w:szCs w:val="22"/>
              </w:rPr>
              <w:t>9.2.2.4.1UDPCOMADDR</w:t>
            </w:r>
          </w:p>
          <w:p w:rsidR="00F66A15" w:rsidRPr="00F66A15" w:rsidRDefault="00F66A15" w:rsidP="00F66A15">
            <w:pPr>
              <w:tabs>
                <w:tab w:val="left" w:pos="0"/>
              </w:tabs>
              <w:ind w:left="0" w:firstLine="0"/>
              <w:rPr>
                <w:rFonts w:eastAsia="Calibri"/>
                <w:bCs/>
                <w:szCs w:val="22"/>
              </w:rPr>
            </w:pPr>
            <w:r w:rsidRPr="00F66A15">
              <w:rPr>
                <w:rFonts w:eastAsia="Calibri"/>
                <w:bCs/>
                <w:szCs w:val="22"/>
              </w:rPr>
              <w:t>IEC 61850-8-1-ийн PHYCOMADDR-ийн одоогийн тодорхойлолтыг Хүснэгт 4-т үзүүлэв.</w:t>
            </w:r>
          </w:p>
        </w:tc>
        <w:tc>
          <w:tcPr>
            <w:tcW w:w="4672" w:type="dxa"/>
          </w:tcPr>
          <w:p w:rsidR="00F66A15" w:rsidRPr="00F66A15" w:rsidRDefault="00F66A15" w:rsidP="00F66A15">
            <w:pPr>
              <w:tabs>
                <w:tab w:val="left" w:pos="0"/>
              </w:tabs>
              <w:ind w:left="0" w:firstLine="0"/>
              <w:rPr>
                <w:rFonts w:eastAsia="Calibri"/>
                <w:b/>
                <w:bCs/>
                <w:szCs w:val="22"/>
              </w:rPr>
            </w:pPr>
            <w:r w:rsidRPr="00F66A15">
              <w:rPr>
                <w:rFonts w:eastAsia="Calibri"/>
                <w:b/>
                <w:bCs/>
                <w:szCs w:val="22"/>
              </w:rPr>
              <w:t>9.2.2.4 Explanation of additional attributes</w:t>
            </w:r>
          </w:p>
          <w:p w:rsidR="00F66A15" w:rsidRPr="00F66A15" w:rsidRDefault="00F66A15" w:rsidP="00F66A15">
            <w:pPr>
              <w:tabs>
                <w:tab w:val="left" w:pos="0"/>
              </w:tabs>
              <w:ind w:left="0" w:firstLine="0"/>
              <w:rPr>
                <w:rFonts w:eastAsia="Calibri"/>
                <w:b/>
                <w:bCs/>
                <w:szCs w:val="22"/>
              </w:rPr>
            </w:pPr>
            <w:bookmarkStart w:id="21" w:name="_bookmark31"/>
            <w:bookmarkEnd w:id="21"/>
            <w:r w:rsidRPr="00F66A15">
              <w:rPr>
                <w:rFonts w:eastAsia="Calibri"/>
                <w:b/>
                <w:bCs/>
                <w:szCs w:val="22"/>
              </w:rPr>
              <w:t>9.2.2.4.1 UDPCOMADDR</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The current definition of PHYCOMADDR, from IEC 61850-8-1, is shown in </w:t>
            </w:r>
            <w:hyperlink w:anchor="_bookmark32" w:history="1">
              <w:r w:rsidRPr="00F66A15">
                <w:rPr>
                  <w:rFonts w:eastAsia="Calibri"/>
                  <w:bCs/>
                  <w:szCs w:val="22"/>
                </w:rPr>
                <w:t>Table 4.</w:t>
              </w:r>
            </w:hyperlink>
          </w:p>
        </w:tc>
      </w:tr>
    </w:tbl>
    <w:p w:rsidR="00F66A15" w:rsidRPr="005B65AA" w:rsidRDefault="00F66A15" w:rsidP="005B65AA">
      <w:pPr>
        <w:tabs>
          <w:tab w:val="left" w:pos="0"/>
        </w:tabs>
        <w:ind w:left="0" w:firstLine="0"/>
        <w:rPr>
          <w:rFonts w:eastAsia="Calibri"/>
          <w:bCs/>
          <w:sz w:val="20"/>
          <w:szCs w:val="20"/>
        </w:rPr>
      </w:pPr>
    </w:p>
    <w:p w:rsidR="00F66A15" w:rsidRDefault="00F66A15" w:rsidP="00F66A15">
      <w:pPr>
        <w:tabs>
          <w:tab w:val="left" w:pos="0"/>
        </w:tabs>
        <w:ind w:left="0" w:firstLine="0"/>
        <w:jc w:val="center"/>
        <w:rPr>
          <w:rFonts w:eastAsia="Calibri"/>
          <w:b/>
          <w:bCs/>
        </w:rPr>
      </w:pPr>
      <w:r>
        <w:rPr>
          <w:rFonts w:eastAsia="Calibri"/>
          <w:b/>
          <w:bCs/>
        </w:rPr>
        <w:t>4-р хүснэгт</w:t>
      </w:r>
      <w:r w:rsidRPr="00F66A15">
        <w:rPr>
          <w:rFonts w:eastAsia="Calibri"/>
          <w:b/>
          <w:bCs/>
        </w:rPr>
        <w:t xml:space="preserve"> – Одоогийн PHYCOMADDR бүтэц</w:t>
      </w:r>
    </w:p>
    <w:tbl>
      <w:tblPr>
        <w:tblStyle w:val="TableGrid"/>
        <w:tblW w:w="0" w:type="auto"/>
        <w:tblLook w:val="04A0" w:firstRow="1" w:lastRow="0" w:firstColumn="1" w:lastColumn="0" w:noHBand="0" w:noVBand="1"/>
      </w:tblPr>
      <w:tblGrid>
        <w:gridCol w:w="1789"/>
        <w:gridCol w:w="1807"/>
        <w:gridCol w:w="1156"/>
        <w:gridCol w:w="1098"/>
        <w:gridCol w:w="3494"/>
      </w:tblGrid>
      <w:tr w:rsidR="00F66A15" w:rsidTr="00F66A15">
        <w:tc>
          <w:tcPr>
            <w:tcW w:w="1789"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Атрибутын нэр</w:t>
            </w:r>
          </w:p>
        </w:tc>
        <w:tc>
          <w:tcPr>
            <w:tcW w:w="1807"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Атрибутын төрөл</w:t>
            </w:r>
          </w:p>
        </w:tc>
        <w:tc>
          <w:tcPr>
            <w:tcW w:w="1156"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r/w</w:t>
            </w:r>
          </w:p>
        </w:tc>
        <w:tc>
          <w:tcPr>
            <w:tcW w:w="1098"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m</w:t>
            </w:r>
          </w:p>
        </w:tc>
        <w:tc>
          <w:tcPr>
            <w:tcW w:w="3494"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Утга/утгын хүрээ/тайлбар</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Addr</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OCTET-STRING</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Урт нь 6 октет ба GOOSE мессеж илгээх Media Access Control (MAC) хүрэх газрын хаягийн утгыг агуулдаг. Хаяг нь multicast битийн TRUE-тохируулсан Этернэт хаяг байх ёстой.</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PRIORITY</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Утгуудын хүрээ 0 – 7 хооронд хязгаарлагдана.</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VID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Unsigned16</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Утгуудын хүрээ 0 – 4095 хооронд хязгаарлагдана</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APPID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Unsigned16</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IEC 61850-8-1-ийн Хавсралт С-д заасны дагуу</w:t>
            </w:r>
          </w:p>
        </w:tc>
      </w:tr>
    </w:tbl>
    <w:p w:rsidR="005E004B" w:rsidRDefault="005E004B" w:rsidP="005B65AA">
      <w:pPr>
        <w:tabs>
          <w:tab w:val="left" w:pos="0"/>
        </w:tabs>
        <w:ind w:left="0" w:firstLine="0"/>
        <w:rPr>
          <w:rFonts w:eastAsia="Calibri"/>
          <w:bCs/>
          <w:sz w:val="20"/>
          <w:szCs w:val="20"/>
        </w:rPr>
      </w:pPr>
    </w:p>
    <w:p w:rsidR="00F66A15" w:rsidRDefault="00F66A15" w:rsidP="00F66A15">
      <w:pPr>
        <w:tabs>
          <w:tab w:val="left" w:pos="0"/>
        </w:tabs>
        <w:ind w:left="0" w:firstLine="0"/>
        <w:jc w:val="center"/>
        <w:rPr>
          <w:rFonts w:eastAsia="Calibri"/>
          <w:b/>
          <w:bCs/>
        </w:rPr>
      </w:pPr>
      <w:r w:rsidRPr="00F66A15">
        <w:rPr>
          <w:rFonts w:eastAsia="Calibri"/>
          <w:b/>
          <w:bCs/>
        </w:rPr>
        <w:t>Table 4 – Current PHYCOMADDR structure</w:t>
      </w:r>
    </w:p>
    <w:tbl>
      <w:tblPr>
        <w:tblStyle w:val="TableGrid"/>
        <w:tblW w:w="0" w:type="auto"/>
        <w:tblLook w:val="04A0" w:firstRow="1" w:lastRow="0" w:firstColumn="1" w:lastColumn="0" w:noHBand="0" w:noVBand="1"/>
      </w:tblPr>
      <w:tblGrid>
        <w:gridCol w:w="1789"/>
        <w:gridCol w:w="1807"/>
        <w:gridCol w:w="1156"/>
        <w:gridCol w:w="1098"/>
        <w:gridCol w:w="3494"/>
      </w:tblGrid>
      <w:tr w:rsidR="00F66A15" w:rsidTr="00F66A15">
        <w:tc>
          <w:tcPr>
            <w:tcW w:w="1789"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Attribute name</w:t>
            </w:r>
          </w:p>
        </w:tc>
        <w:tc>
          <w:tcPr>
            <w:tcW w:w="1807"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Attribute type</w:t>
            </w:r>
          </w:p>
        </w:tc>
        <w:tc>
          <w:tcPr>
            <w:tcW w:w="1156"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r/w</w:t>
            </w:r>
          </w:p>
        </w:tc>
        <w:tc>
          <w:tcPr>
            <w:tcW w:w="1098"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m</w:t>
            </w:r>
          </w:p>
        </w:tc>
        <w:tc>
          <w:tcPr>
            <w:tcW w:w="3494"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Value/value range/explanation</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Addr</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OCTET-STRING</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Length is 6 Octets and contains the value of the destination Media Access Control (MAC) address to which the GOOSE message is to be sent. The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address shall be an Ethernet address that has the multicast bit set TRUE.</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PRIORITY</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Range of values shall be limited from 0 to 7.</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VID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Unsigned16</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Range of values shall be limited from 0  to 4 095.</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APPID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Unsigned16</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As defined in Annex C in IEC 61850-8-1</w:t>
            </w:r>
          </w:p>
        </w:tc>
      </w:tr>
    </w:tbl>
    <w:p w:rsidR="00F66A15" w:rsidRDefault="00F66A15" w:rsidP="005B65AA">
      <w:pPr>
        <w:tabs>
          <w:tab w:val="left" w:pos="0"/>
        </w:tabs>
        <w:ind w:left="0" w:firstLine="0"/>
        <w:rPr>
          <w:rFonts w:eastAsia="Calibri"/>
          <w:bCs/>
          <w:sz w:val="20"/>
          <w:szCs w:val="20"/>
        </w:rPr>
      </w:pPr>
    </w:p>
    <w:p w:rsidR="00F66A15" w:rsidRPr="00F66A15" w:rsidRDefault="00F66A15" w:rsidP="005B65AA">
      <w:pPr>
        <w:tabs>
          <w:tab w:val="left" w:pos="0"/>
        </w:tabs>
        <w:ind w:left="0" w:firstLine="0"/>
        <w:rPr>
          <w:rFonts w:eastAsia="Calibri"/>
          <w:bCs/>
        </w:rPr>
      </w:pPr>
      <w:r w:rsidRPr="00F66A15">
        <w:rPr>
          <w:rFonts w:eastAsia="Calibri"/>
          <w:bCs/>
        </w:rPr>
        <w:t>UDPCOMADDR-ийн тодорхойлолт нь PHYCOMADDR-тай төстэй бөгөөд Хүснэгт 5-т тодорхойлогдсон болно.</w:t>
      </w:r>
    </w:p>
    <w:p w:rsidR="00F66A15" w:rsidRDefault="00F66A15" w:rsidP="005B65AA">
      <w:pPr>
        <w:tabs>
          <w:tab w:val="left" w:pos="0"/>
        </w:tabs>
        <w:ind w:left="0" w:firstLine="0"/>
        <w:rPr>
          <w:rFonts w:eastAsia="Calibri"/>
          <w:bCs/>
        </w:rPr>
      </w:pPr>
      <w:r w:rsidRPr="00F66A15">
        <w:rPr>
          <w:rFonts w:eastAsia="Calibri"/>
          <w:bCs/>
        </w:rPr>
        <w:t>The definition of UDPCOMADDR is similar to PHYCOMADDR and is defined in Table 5.</w:t>
      </w:r>
    </w:p>
    <w:p w:rsidR="00F66A15" w:rsidRDefault="00F66A15" w:rsidP="00F66A15">
      <w:pPr>
        <w:tabs>
          <w:tab w:val="left" w:pos="0"/>
        </w:tabs>
        <w:ind w:left="0" w:firstLine="0"/>
        <w:jc w:val="center"/>
        <w:rPr>
          <w:rFonts w:eastAsia="Calibri"/>
          <w:b/>
          <w:bCs/>
        </w:rPr>
      </w:pPr>
    </w:p>
    <w:p w:rsidR="00F66A15" w:rsidRDefault="00F66A15" w:rsidP="00F66A15">
      <w:pPr>
        <w:tabs>
          <w:tab w:val="left" w:pos="0"/>
        </w:tabs>
        <w:ind w:left="0" w:firstLine="0"/>
        <w:jc w:val="center"/>
        <w:rPr>
          <w:rFonts w:eastAsia="Calibri"/>
          <w:b/>
          <w:bCs/>
        </w:rPr>
      </w:pPr>
      <w:r>
        <w:rPr>
          <w:rFonts w:eastAsia="Calibri"/>
          <w:b/>
          <w:bCs/>
        </w:rPr>
        <w:t>5-р хүснэгт</w:t>
      </w:r>
      <w:r w:rsidRPr="00F66A15">
        <w:rPr>
          <w:rFonts w:eastAsia="Calibri"/>
          <w:b/>
          <w:bCs/>
        </w:rPr>
        <w:t xml:space="preserve"> – UDPCOMADDR бүтэц</w:t>
      </w:r>
    </w:p>
    <w:tbl>
      <w:tblPr>
        <w:tblStyle w:val="TableGrid"/>
        <w:tblW w:w="0" w:type="auto"/>
        <w:tblLook w:val="04A0" w:firstRow="1" w:lastRow="0" w:firstColumn="1" w:lastColumn="0" w:noHBand="0" w:noVBand="1"/>
      </w:tblPr>
      <w:tblGrid>
        <w:gridCol w:w="1789"/>
        <w:gridCol w:w="1807"/>
        <w:gridCol w:w="1156"/>
        <w:gridCol w:w="1098"/>
        <w:gridCol w:w="3494"/>
      </w:tblGrid>
      <w:tr w:rsidR="00F66A15" w:rsidTr="00F66A15">
        <w:tc>
          <w:tcPr>
            <w:tcW w:w="1789"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Атрибутын нэр</w:t>
            </w:r>
          </w:p>
        </w:tc>
        <w:tc>
          <w:tcPr>
            <w:tcW w:w="1807"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Атрибутын төрөл</w:t>
            </w:r>
          </w:p>
        </w:tc>
        <w:tc>
          <w:tcPr>
            <w:tcW w:w="1156"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r/w</w:t>
            </w:r>
          </w:p>
        </w:tc>
        <w:tc>
          <w:tcPr>
            <w:tcW w:w="1098"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m</w:t>
            </w:r>
          </w:p>
        </w:tc>
        <w:tc>
          <w:tcPr>
            <w:tcW w:w="3494" w:type="dxa"/>
          </w:tcPr>
          <w:p w:rsidR="00F66A15" w:rsidRPr="00F66A15" w:rsidRDefault="00F66A15" w:rsidP="00F66A15">
            <w:pPr>
              <w:tabs>
                <w:tab w:val="left" w:pos="0"/>
              </w:tabs>
              <w:ind w:left="0" w:firstLine="0"/>
              <w:jc w:val="center"/>
              <w:rPr>
                <w:rFonts w:eastAsia="Calibri"/>
                <w:b/>
                <w:bCs/>
                <w:sz w:val="20"/>
                <w:szCs w:val="20"/>
              </w:rPr>
            </w:pPr>
            <w:r w:rsidRPr="00F66A15">
              <w:rPr>
                <w:rFonts w:eastAsia="Calibri"/>
                <w:b/>
                <w:bCs/>
                <w:sz w:val="20"/>
                <w:szCs w:val="20"/>
              </w:rPr>
              <w:t>Утга/утгын хүрээ/тайлбар</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PRIORITY</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Утгуудын хүрээ 0 – 7 хооронд хязгаарлагдана.</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lastRenderedPageBreak/>
              <w:t>VID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Unsigned16</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Утгуудын хүрээ 0 – 4095 хооронд хязгаарлагдана</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APPID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Unsigned16</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IEC 61850-8-1-ийн Хавсралт С-д заасны дагуу</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TransportInUse</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Энэ нь IPv4, IPv6 ба DNS-т шилжүүлэн тооцсон утга.</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IPClassOfTraffic</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c</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Хэрэв TransportInUse = IPv4 бол, утга нь IPv4 TypeOfService утгыг илэрхийлнэ.</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Хэрэв TransportInUse=IPv6 бол, утга нь IPv6 Class of Traffic талбар байх ёстой.</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IPv6FlowLabel</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Unsigned32</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c</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Хэрэв transportInUse = IPv4 бол, утга нь тэг (0) байх ба үүнийг тооцохгүй.</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Хэрэв TransportInUse = IPv6 бол, утга нь баталгаажуулаагүй утгын чухал жагсаалтын хэсэгт IPv6 Flow Labelталбарын 24 битийг агуулна.</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IPAddressLength</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c</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Хэрэв TransportInUse = IPv4 бол, утга нь дөрөв (4).</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Хэрэв TransportInUse = IPv6бол, утга нь арван зургаа (16).</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Хэрэв TransportInUse = DNS бол, утга нь төгсгөлийн NULL-г оруулахгүй DNS мөрний урт байх ёстой.</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IPAddress</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OCTET-STRING</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c</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Энэ атрибут нь 64 октет хэмжээтэй байх ёстой.</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IPAddressLength атрибутын утгад үндэслэн ашиглагдаагүй объектууд тэг (0)байх ёстой.</w:t>
            </w:r>
          </w:p>
        </w:tc>
      </w:tr>
    </w:tbl>
    <w:p w:rsidR="00F66A15" w:rsidRDefault="00F66A15" w:rsidP="005B65AA">
      <w:pPr>
        <w:tabs>
          <w:tab w:val="left" w:pos="0"/>
        </w:tabs>
        <w:ind w:left="0" w:firstLine="0"/>
        <w:rPr>
          <w:rFonts w:eastAsia="Calibri"/>
          <w:bCs/>
        </w:rPr>
      </w:pPr>
    </w:p>
    <w:p w:rsidR="00F66A15" w:rsidRDefault="00F66A15" w:rsidP="00F66A15">
      <w:pPr>
        <w:tabs>
          <w:tab w:val="left" w:pos="0"/>
        </w:tabs>
        <w:ind w:left="0" w:firstLine="0"/>
        <w:jc w:val="center"/>
        <w:rPr>
          <w:rFonts w:eastAsia="Calibri"/>
          <w:b/>
          <w:bCs/>
        </w:rPr>
      </w:pPr>
      <w:r w:rsidRPr="00F66A15">
        <w:rPr>
          <w:rFonts w:eastAsia="Calibri"/>
          <w:b/>
          <w:bCs/>
        </w:rPr>
        <w:t>Table 5 – UDPCOMADDR structure</w:t>
      </w:r>
    </w:p>
    <w:tbl>
      <w:tblPr>
        <w:tblStyle w:val="TableGrid"/>
        <w:tblW w:w="0" w:type="auto"/>
        <w:tblLook w:val="04A0" w:firstRow="1" w:lastRow="0" w:firstColumn="1" w:lastColumn="0" w:noHBand="0" w:noVBand="1"/>
      </w:tblPr>
      <w:tblGrid>
        <w:gridCol w:w="1789"/>
        <w:gridCol w:w="1807"/>
        <w:gridCol w:w="1156"/>
        <w:gridCol w:w="1098"/>
        <w:gridCol w:w="3494"/>
      </w:tblGrid>
      <w:tr w:rsidR="00F66A15" w:rsidTr="00F66A15">
        <w:tc>
          <w:tcPr>
            <w:tcW w:w="1789" w:type="dxa"/>
          </w:tcPr>
          <w:p w:rsidR="00F66A15" w:rsidRPr="00F66A15" w:rsidRDefault="00F66A15" w:rsidP="00F66A15">
            <w:pPr>
              <w:tabs>
                <w:tab w:val="left" w:pos="0"/>
              </w:tabs>
              <w:ind w:left="0" w:firstLine="0"/>
              <w:rPr>
                <w:rFonts w:eastAsia="Calibri"/>
                <w:b/>
                <w:bCs/>
                <w:sz w:val="20"/>
                <w:szCs w:val="20"/>
              </w:rPr>
            </w:pPr>
            <w:r w:rsidRPr="00F66A15">
              <w:rPr>
                <w:rFonts w:eastAsia="Calibri"/>
                <w:b/>
                <w:bCs/>
                <w:sz w:val="20"/>
                <w:szCs w:val="20"/>
              </w:rPr>
              <w:t>Attribute name</w:t>
            </w:r>
          </w:p>
        </w:tc>
        <w:tc>
          <w:tcPr>
            <w:tcW w:w="1807" w:type="dxa"/>
          </w:tcPr>
          <w:p w:rsidR="00F66A15" w:rsidRPr="00F66A15" w:rsidRDefault="00F66A15" w:rsidP="00F66A15">
            <w:pPr>
              <w:tabs>
                <w:tab w:val="left" w:pos="0"/>
              </w:tabs>
              <w:ind w:left="0" w:firstLine="0"/>
              <w:rPr>
                <w:rFonts w:eastAsia="Calibri"/>
                <w:b/>
                <w:bCs/>
                <w:sz w:val="20"/>
                <w:szCs w:val="20"/>
              </w:rPr>
            </w:pPr>
            <w:r w:rsidRPr="00F66A15">
              <w:rPr>
                <w:rFonts w:eastAsia="Calibri"/>
                <w:b/>
                <w:bCs/>
                <w:sz w:val="20"/>
                <w:szCs w:val="20"/>
              </w:rPr>
              <w:t>Attribute type</w:t>
            </w:r>
          </w:p>
        </w:tc>
        <w:tc>
          <w:tcPr>
            <w:tcW w:w="1156" w:type="dxa"/>
          </w:tcPr>
          <w:p w:rsidR="00F66A15" w:rsidRPr="00F66A15" w:rsidRDefault="00F66A15" w:rsidP="00F66A15">
            <w:pPr>
              <w:tabs>
                <w:tab w:val="left" w:pos="0"/>
              </w:tabs>
              <w:ind w:left="0" w:firstLine="0"/>
              <w:rPr>
                <w:rFonts w:eastAsia="Calibri"/>
                <w:b/>
                <w:bCs/>
                <w:sz w:val="20"/>
                <w:szCs w:val="20"/>
              </w:rPr>
            </w:pPr>
            <w:r w:rsidRPr="00F66A15">
              <w:rPr>
                <w:rFonts w:eastAsia="Calibri"/>
                <w:b/>
                <w:bCs/>
                <w:sz w:val="20"/>
                <w:szCs w:val="20"/>
              </w:rPr>
              <w:t>r/w</w:t>
            </w:r>
          </w:p>
        </w:tc>
        <w:tc>
          <w:tcPr>
            <w:tcW w:w="1098" w:type="dxa"/>
          </w:tcPr>
          <w:p w:rsidR="00F66A15" w:rsidRPr="00F66A15" w:rsidRDefault="00F66A15" w:rsidP="00F66A15">
            <w:pPr>
              <w:tabs>
                <w:tab w:val="left" w:pos="0"/>
              </w:tabs>
              <w:ind w:left="0" w:firstLine="0"/>
              <w:rPr>
                <w:rFonts w:eastAsia="Calibri"/>
                <w:b/>
                <w:bCs/>
                <w:sz w:val="20"/>
                <w:szCs w:val="20"/>
              </w:rPr>
            </w:pPr>
            <w:r w:rsidRPr="00F66A15">
              <w:rPr>
                <w:rFonts w:eastAsia="Calibri"/>
                <w:b/>
                <w:bCs/>
                <w:sz w:val="20"/>
                <w:szCs w:val="20"/>
              </w:rPr>
              <w:t>m</w:t>
            </w:r>
          </w:p>
        </w:tc>
        <w:tc>
          <w:tcPr>
            <w:tcW w:w="3494" w:type="dxa"/>
          </w:tcPr>
          <w:p w:rsidR="00F66A15" w:rsidRPr="00F66A15" w:rsidRDefault="00F66A15" w:rsidP="00F66A15">
            <w:pPr>
              <w:tabs>
                <w:tab w:val="left" w:pos="0"/>
              </w:tabs>
              <w:ind w:left="0" w:firstLine="0"/>
              <w:rPr>
                <w:rFonts w:eastAsia="Calibri"/>
                <w:b/>
                <w:bCs/>
                <w:sz w:val="20"/>
                <w:szCs w:val="20"/>
              </w:rPr>
            </w:pPr>
            <w:r w:rsidRPr="00F66A15">
              <w:rPr>
                <w:rFonts w:eastAsia="Calibri"/>
                <w:b/>
                <w:bCs/>
                <w:sz w:val="20"/>
                <w:szCs w:val="20"/>
              </w:rPr>
              <w:t>Value/value range/explanation</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PRIORITY</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Range of values shall be limited from 0 to 7.</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VID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Unsigned16</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Range of values shall be limited from 0 to 4 095.</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APPID</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Unsigned16</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m</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As defined in Annex C in IEC 61850-8-1</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TransportInUse</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o</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Is an enumerated value whose values are: IPv4, IPv6, and DNS assigned</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IPClassOfTraffic</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c</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If TransportInUse=IPv4, the value shall represent the IPv4 TypeOfService value.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If TransportInUse=IPv6, the value shall be the IPv6 Class of Traffic field.</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IPv6FlowLabel</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Unsigned32</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c</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If TransportInUse= IPv4, the value shall be zero</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lastRenderedPageBreak/>
              <w:t>(0) and shall be ignored.</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If the TransportInUse= IPv6, the value shall</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contain the 24 bits of the IPv6 Flow Label field in the least significant part of the unsigned value.</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lastRenderedPageBreak/>
              <w:t>IPAddressLength</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Unsigned8</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c</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If TransportInUse= IPv4, the value shall be four (4).</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If TransportInUse= IPv6, the value shall be sixteen (16).</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If TransportInUse= DNS, the value shall be the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length of the DNS string, not including terminating NULL.</w:t>
            </w:r>
          </w:p>
        </w:tc>
      </w:tr>
      <w:tr w:rsidR="00F66A15" w:rsidTr="00F66A15">
        <w:tc>
          <w:tcPr>
            <w:tcW w:w="1789"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IPAddress</w:t>
            </w:r>
          </w:p>
        </w:tc>
        <w:tc>
          <w:tcPr>
            <w:tcW w:w="1807"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OCTET-STRING</w:t>
            </w:r>
          </w:p>
        </w:tc>
        <w:tc>
          <w:tcPr>
            <w:tcW w:w="1156"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r</w:t>
            </w:r>
          </w:p>
        </w:tc>
        <w:tc>
          <w:tcPr>
            <w:tcW w:w="1098" w:type="dxa"/>
          </w:tcPr>
          <w:p w:rsidR="00F66A15" w:rsidRPr="00F66A15" w:rsidRDefault="00F66A15" w:rsidP="00F66A15">
            <w:pPr>
              <w:tabs>
                <w:tab w:val="left" w:pos="0"/>
              </w:tabs>
              <w:ind w:left="0" w:firstLine="0"/>
              <w:jc w:val="center"/>
              <w:rPr>
                <w:rFonts w:eastAsia="Calibri"/>
                <w:bCs/>
                <w:sz w:val="20"/>
                <w:szCs w:val="20"/>
              </w:rPr>
            </w:pPr>
            <w:r w:rsidRPr="00F66A15">
              <w:rPr>
                <w:rFonts w:eastAsia="Calibri"/>
                <w:bCs/>
                <w:sz w:val="20"/>
                <w:szCs w:val="20"/>
              </w:rPr>
              <w:t>c</w:t>
            </w:r>
          </w:p>
        </w:tc>
        <w:tc>
          <w:tcPr>
            <w:tcW w:w="3494" w:type="dxa"/>
          </w:tcPr>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This attribute shall be 64 octets in size.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Any unused octets, based upon the</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IPAddressLength attribute value, shall be zero (0).</w:t>
            </w:r>
          </w:p>
        </w:tc>
      </w:tr>
    </w:tbl>
    <w:p w:rsidR="00F66A15" w:rsidRDefault="00F66A15" w:rsidP="005B65AA">
      <w:pPr>
        <w:tabs>
          <w:tab w:val="left" w:pos="0"/>
        </w:tabs>
        <w:ind w:left="0" w:firstLine="0"/>
        <w:rPr>
          <w:rFonts w:eastAsia="Calibri"/>
          <w:bCs/>
        </w:rPr>
      </w:pPr>
    </w:p>
    <w:tbl>
      <w:tblPr>
        <w:tblStyle w:val="TableGrid"/>
        <w:tblW w:w="0" w:type="auto"/>
        <w:tblLook w:val="04A0" w:firstRow="1" w:lastRow="0" w:firstColumn="1" w:lastColumn="0" w:noHBand="0" w:noVBand="1"/>
      </w:tblPr>
      <w:tblGrid>
        <w:gridCol w:w="4672"/>
        <w:gridCol w:w="4672"/>
      </w:tblGrid>
      <w:tr w:rsidR="00F66A15" w:rsidTr="00F66A15">
        <w:tc>
          <w:tcPr>
            <w:tcW w:w="4672" w:type="dxa"/>
          </w:tcPr>
          <w:p w:rsidR="00F66A15" w:rsidRPr="00F66A15" w:rsidRDefault="00F66A15" w:rsidP="00F66A15">
            <w:pPr>
              <w:tabs>
                <w:tab w:val="left" w:pos="0"/>
              </w:tabs>
              <w:ind w:left="0" w:firstLine="0"/>
              <w:rPr>
                <w:rFonts w:eastAsia="Calibri"/>
                <w:bCs/>
                <w:szCs w:val="22"/>
              </w:rPr>
            </w:pPr>
            <w:r w:rsidRPr="00F66A15">
              <w:rPr>
                <w:rFonts w:eastAsia="Calibri"/>
                <w:bCs/>
                <w:szCs w:val="22"/>
              </w:rPr>
              <w:t>SCL дахь нэмэлт мэдээллийг тохируулахын тулд SCL-д дараах нэмэлтүүдийг хийх шаардлагатай. Дараах "P" төрлийг нэмэх шаардлагатай.:</w:t>
            </w:r>
          </w:p>
          <w:p w:rsidR="00F66A15" w:rsidRPr="00F66A15" w:rsidRDefault="00F66A15" w:rsidP="00472036">
            <w:pPr>
              <w:pStyle w:val="ListParagraph"/>
              <w:numPr>
                <w:ilvl w:val="5"/>
                <w:numId w:val="17"/>
              </w:numPr>
              <w:tabs>
                <w:tab w:val="left" w:pos="0"/>
              </w:tabs>
              <w:spacing w:after="0"/>
              <w:ind w:left="0" w:firstLine="0"/>
              <w:rPr>
                <w:rFonts w:eastAsia="Calibri"/>
                <w:bCs/>
                <w:szCs w:val="22"/>
              </w:rPr>
            </w:pPr>
            <w:r w:rsidRPr="00F66A15">
              <w:rPr>
                <w:rFonts w:eastAsia="Calibri"/>
                <w:bCs/>
                <w:szCs w:val="22"/>
              </w:rPr>
              <w:t>IPv6FlowLabel,</w:t>
            </w:r>
          </w:p>
          <w:p w:rsidR="00F66A15" w:rsidRPr="00F66A15" w:rsidRDefault="00F66A15" w:rsidP="00472036">
            <w:pPr>
              <w:pStyle w:val="ListParagraph"/>
              <w:numPr>
                <w:ilvl w:val="5"/>
                <w:numId w:val="17"/>
              </w:numPr>
              <w:tabs>
                <w:tab w:val="left" w:pos="0"/>
              </w:tabs>
              <w:spacing w:after="0"/>
              <w:ind w:left="0" w:firstLine="0"/>
              <w:rPr>
                <w:rFonts w:eastAsia="Calibri"/>
                <w:bCs/>
                <w:szCs w:val="22"/>
              </w:rPr>
            </w:pPr>
            <w:r w:rsidRPr="00F66A15">
              <w:rPr>
                <w:rFonts w:eastAsia="Calibri"/>
                <w:bCs/>
                <w:szCs w:val="22"/>
              </w:rPr>
              <w:t>DNS Stringaddress.</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ТАЙЛБАР: DNS мөрийг нэмэх нь IPv4 эсвэл IPv6-ийн цэгтэй аравтын тэмдэглэгээнээс гадна хаягуудыг нэрлэх боломжийг олгодог.</w:t>
            </w:r>
          </w:p>
          <w:p w:rsidR="00F66A15" w:rsidRPr="00F66A15" w:rsidRDefault="00F66A15" w:rsidP="00F66A15">
            <w:pPr>
              <w:tabs>
                <w:tab w:val="left" w:pos="0"/>
              </w:tabs>
              <w:ind w:left="0" w:firstLine="0"/>
              <w:rPr>
                <w:rFonts w:eastAsia="Calibri"/>
                <w:bCs/>
                <w:szCs w:val="22"/>
              </w:rPr>
            </w:pPr>
            <w:r w:rsidRPr="00F66A15">
              <w:rPr>
                <w:rFonts w:eastAsia="Calibri"/>
                <w:bCs/>
                <w:szCs w:val="22"/>
              </w:rPr>
              <w:t>Нэмж дурдахад, IPv4 дүрслэлээс гадна IPv6 дүрслэлийг зөвшөөрөхийн тулд tp_IP, tp_IP-SUBNET, tp_IP-GATEWAY зэрэг IPv6-ийн эквивалентуудыг үүсгэх ёстой. TransportInUse, IPClassOfTraffic ба IPAddressLength утгуудыг SCL дахь харгалзах IP хаягийн IPv4 IPv6 синтаксаар тодорхой зааж өгсөн болохыг анхаарна уу.</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bookmarkStart w:id="22" w:name="_TOC_250044"/>
            <w:r w:rsidRPr="00F66A15">
              <w:rPr>
                <w:rFonts w:ascii="Arial" w:eastAsia="Calibri" w:hAnsi="Arial" w:cs="Arial"/>
                <w:b/>
                <w:color w:val="auto"/>
                <w:szCs w:val="22"/>
                <w:lang w:val="mn-MN"/>
              </w:rPr>
              <w:t xml:space="preserve">9.3Тохируулгын хүсэлтийн </w:t>
            </w:r>
            <w:bookmarkEnd w:id="22"/>
            <w:r w:rsidRPr="00F66A15">
              <w:rPr>
                <w:rFonts w:ascii="Arial" w:eastAsia="Calibri" w:hAnsi="Arial" w:cs="Arial"/>
                <w:b/>
                <w:color w:val="auto"/>
                <w:szCs w:val="22"/>
                <w:lang w:val="mn-MN"/>
              </w:rPr>
              <w:t>сервис</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r w:rsidRPr="00F66A15">
              <w:rPr>
                <w:rFonts w:ascii="Arial" w:eastAsia="Calibri" w:hAnsi="Arial" w:cs="Arial"/>
                <w:b/>
                <w:color w:val="auto"/>
                <w:szCs w:val="22"/>
                <w:lang w:val="mn-MN"/>
              </w:rPr>
              <w:t>9.3.1Ерөнхий</w:t>
            </w:r>
          </w:p>
          <w:p w:rsidR="00F66A15" w:rsidRPr="00F66A15" w:rsidRDefault="00F66A15" w:rsidP="00F66A15">
            <w:pPr>
              <w:pStyle w:val="BodyText"/>
              <w:tabs>
                <w:tab w:val="left" w:pos="0"/>
              </w:tabs>
              <w:spacing w:before="7" w:line="276" w:lineRule="auto"/>
              <w:rPr>
                <w:rFonts w:eastAsia="Calibri"/>
                <w:sz w:val="24"/>
                <w:szCs w:val="22"/>
                <w:lang w:val="mn-MN"/>
              </w:rPr>
            </w:pPr>
            <w:r w:rsidRPr="00F66A15">
              <w:rPr>
                <w:rFonts w:eastAsia="Calibri"/>
                <w:sz w:val="24"/>
                <w:szCs w:val="22"/>
                <w:lang w:val="mn-MN"/>
              </w:rPr>
              <w:t>Энэ нь тохируулгын хүрээний гүйцэтгэсэн функцтэй ижил байх ёстой.</w:t>
            </w:r>
          </w:p>
          <w:p w:rsidR="00F66A15" w:rsidRPr="00F66A15" w:rsidRDefault="00F66A15" w:rsidP="00F66A15">
            <w:pPr>
              <w:pStyle w:val="BodyText"/>
              <w:tabs>
                <w:tab w:val="left" w:pos="0"/>
              </w:tabs>
              <w:spacing w:before="7" w:line="276" w:lineRule="auto"/>
              <w:rPr>
                <w:rFonts w:eastAsia="Calibri"/>
                <w:sz w:val="24"/>
                <w:szCs w:val="22"/>
                <w:lang w:val="mn-MN"/>
              </w:rPr>
            </w:pPr>
            <w:r w:rsidRPr="00F66A15">
              <w:rPr>
                <w:rFonts w:eastAsia="Calibri"/>
                <w:sz w:val="24"/>
                <w:szCs w:val="22"/>
                <w:lang w:val="mn-MN"/>
              </w:rPr>
              <w:t>IEEE C37.118.2-т CFG-1, CFG-2 ба CFG-3 гэсэн гурван (3) төрлийн тохируулгын мэдээлэл байдаг.</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bookmarkStart w:id="23" w:name="_TOC_250042"/>
            <w:r w:rsidRPr="00F66A15">
              <w:rPr>
                <w:rFonts w:ascii="Arial" w:eastAsia="Calibri" w:hAnsi="Arial" w:cs="Arial"/>
                <w:b/>
                <w:color w:val="auto"/>
                <w:szCs w:val="22"/>
                <w:lang w:val="mn-MN"/>
              </w:rPr>
              <w:lastRenderedPageBreak/>
              <w:t xml:space="preserve">9.3.2 CFG-1 Тохируулгын өгөгдлийн төрөл - Чадвар </w:t>
            </w:r>
            <w:bookmarkEnd w:id="23"/>
          </w:p>
          <w:p w:rsidR="00F66A15" w:rsidRPr="00F66A15" w:rsidRDefault="00F66A15" w:rsidP="00F66A15">
            <w:pPr>
              <w:tabs>
                <w:tab w:val="left" w:pos="0"/>
              </w:tabs>
              <w:ind w:left="0" w:firstLine="0"/>
              <w:rPr>
                <w:rFonts w:eastAsia="Calibri"/>
                <w:bCs/>
                <w:szCs w:val="22"/>
              </w:rPr>
            </w:pPr>
            <w:r w:rsidRPr="00F66A15">
              <w:rPr>
                <w:rFonts w:eastAsia="Calibri"/>
                <w:bCs/>
                <w:szCs w:val="22"/>
              </w:rPr>
              <w:t>Чадварууд нь SP өгөгдлийг хангадаг серверийн өгөгдлийн загварт нийцдэг.</w:t>
            </w:r>
          </w:p>
          <w:p w:rsidR="00F66A15" w:rsidRPr="00F66A15" w:rsidRDefault="00F66A15" w:rsidP="00F66A15">
            <w:pPr>
              <w:tabs>
                <w:tab w:val="left" w:pos="0"/>
              </w:tabs>
              <w:ind w:left="0" w:firstLine="0"/>
              <w:rPr>
                <w:rFonts w:eastAsia="Calibri"/>
                <w:bCs/>
                <w:szCs w:val="22"/>
              </w:rPr>
            </w:pPr>
            <w:r w:rsidRPr="00F66A15">
              <w:rPr>
                <w:rFonts w:eastAsia="Calibri"/>
                <w:bCs/>
                <w:szCs w:val="22"/>
              </w:rPr>
              <w:t>Энэхүү тохируулгын мэдээллийг авах нь серверийн өгөгдлийн загвар бүтцийг олж авахтай ижил болно.</w:t>
            </w:r>
          </w:p>
          <w:p w:rsidR="00F66A15" w:rsidRPr="00F66A15" w:rsidRDefault="00F66A15" w:rsidP="00F66A15">
            <w:pPr>
              <w:tabs>
                <w:tab w:val="left" w:pos="0"/>
              </w:tabs>
              <w:ind w:left="0" w:firstLine="0"/>
              <w:rPr>
                <w:rFonts w:eastAsia="Calibri"/>
                <w:bCs/>
                <w:szCs w:val="22"/>
              </w:rPr>
            </w:pPr>
            <w:r w:rsidRPr="00F66A15">
              <w:rPr>
                <w:rFonts w:eastAsia="Calibri"/>
                <w:bCs/>
                <w:szCs w:val="22"/>
              </w:rPr>
              <w:t>Үүний тулд IEC 61850 стандартчилагдсан аргуудаар өгдөг.</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bookmarkStart w:id="24" w:name="_TOC_250041"/>
            <w:r w:rsidRPr="00F66A15">
              <w:rPr>
                <w:rFonts w:ascii="Arial" w:eastAsia="Calibri" w:hAnsi="Arial" w:cs="Arial"/>
                <w:b/>
                <w:color w:val="auto"/>
                <w:szCs w:val="22"/>
                <w:lang w:val="mn-MN"/>
              </w:rPr>
              <w:t>9.3.3 CFG-2 баCFG-3 Тохируулгын өгөгдлийн төрөл–</w:t>
            </w:r>
            <w:bookmarkEnd w:id="24"/>
            <w:r w:rsidRPr="00F66A15">
              <w:rPr>
                <w:rFonts w:ascii="Arial" w:eastAsia="Calibri" w:hAnsi="Arial" w:cs="Arial"/>
                <w:b/>
                <w:color w:val="auto"/>
                <w:szCs w:val="22"/>
                <w:lang w:val="mn-MN"/>
              </w:rPr>
              <w:t>Хэмжилтийн</w:t>
            </w:r>
          </w:p>
          <w:p w:rsidR="00F66A15" w:rsidRPr="00F66A15" w:rsidRDefault="00F66A15" w:rsidP="00F66A15">
            <w:pPr>
              <w:tabs>
                <w:tab w:val="left" w:pos="0"/>
              </w:tabs>
              <w:ind w:left="0" w:firstLine="0"/>
              <w:rPr>
                <w:rFonts w:eastAsia="Calibri"/>
                <w:bCs/>
                <w:szCs w:val="22"/>
              </w:rPr>
            </w:pPr>
            <w:r w:rsidRPr="00F66A15">
              <w:rPr>
                <w:rFonts w:eastAsia="Calibri"/>
                <w:bCs/>
                <w:szCs w:val="22"/>
              </w:rPr>
              <w:t>Чадвар нь тодорхой удирдлагын блокийн өгөгдлийн багц гишүүний тодорхойлолтыг олж авахтай нийцдэг.</w:t>
            </w:r>
          </w:p>
          <w:p w:rsidR="00F66A15" w:rsidRPr="00F66A15" w:rsidRDefault="00F66A15" w:rsidP="00F66A15">
            <w:pPr>
              <w:tabs>
                <w:tab w:val="left" w:pos="0"/>
              </w:tabs>
              <w:ind w:left="0" w:firstLine="0"/>
              <w:rPr>
                <w:rFonts w:eastAsia="Calibri"/>
                <w:bCs/>
                <w:szCs w:val="22"/>
              </w:rPr>
            </w:pPr>
            <w:r w:rsidRPr="00F66A15">
              <w:rPr>
                <w:rFonts w:eastAsia="Calibri"/>
                <w:bCs/>
                <w:szCs w:val="22"/>
              </w:rPr>
              <w:t>Үүний тулд IEC 61850 стандартчилагдсан аргуудаар (GetDataSetDirectory, GetGOReference) өгдөг. Гэхдээ IEC 61850 нь GetSavReference-тэй дүйцэх хэмжээг тодорхойлдоггүй (жишээлбэл түүврийн утгын хувьд). Энэ баримт бичигт GetSavReference сервисийг нэмж оруулсан.</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r w:rsidRPr="00F66A15">
              <w:rPr>
                <w:rFonts w:ascii="Arial" w:eastAsia="Calibri" w:hAnsi="Arial" w:cs="Arial"/>
                <w:b/>
                <w:color w:val="auto"/>
                <w:szCs w:val="22"/>
                <w:lang w:val="mn-MN"/>
              </w:rPr>
              <w:t>9.3.4 CFG-1 тохируулгын мэдээлэлд онлайнаар нэвтрэх</w:t>
            </w:r>
          </w:p>
          <w:p w:rsidR="00F66A15" w:rsidRPr="00F66A15" w:rsidRDefault="00F66A15" w:rsidP="00F66A15">
            <w:pPr>
              <w:tabs>
                <w:tab w:val="left" w:pos="0"/>
              </w:tabs>
              <w:ind w:left="0" w:firstLine="0"/>
              <w:rPr>
                <w:rFonts w:eastAsia="Calibri"/>
                <w:bCs/>
                <w:szCs w:val="22"/>
              </w:rPr>
            </w:pPr>
            <w:r w:rsidRPr="00F66A15">
              <w:rPr>
                <w:rFonts w:eastAsia="Calibri"/>
                <w:bCs/>
                <w:szCs w:val="22"/>
              </w:rPr>
              <w:t>Үүний тулд IEC 61850 серверүүд өөрөө тодорхойлолтоо өгдөг. Клиент удирдлагын блокууд өгөгдсөн өгөгдлийн багц ба өгөгдлийн багцын талаарх мэдээллийг өөрөө авах боломжтой.</w:t>
            </w:r>
          </w:p>
          <w:p w:rsidR="00F66A15" w:rsidRPr="00F66A15" w:rsidRDefault="00F66A15" w:rsidP="00F66A15">
            <w:pPr>
              <w:tabs>
                <w:tab w:val="left" w:pos="0"/>
              </w:tabs>
              <w:ind w:left="0" w:firstLine="0"/>
              <w:rPr>
                <w:rFonts w:eastAsia="Calibri"/>
                <w:b/>
                <w:bCs/>
                <w:szCs w:val="22"/>
              </w:rPr>
            </w:pPr>
            <w:bookmarkStart w:id="25" w:name="_TOC_250039"/>
            <w:r w:rsidRPr="00F66A15">
              <w:rPr>
                <w:rFonts w:eastAsia="Calibri"/>
                <w:b/>
                <w:bCs/>
                <w:szCs w:val="22"/>
              </w:rPr>
              <w:t xml:space="preserve">9.3.5 CFG-2 and CFG-3 </w:t>
            </w:r>
            <w:bookmarkEnd w:id="25"/>
            <w:r w:rsidRPr="00F66A15">
              <w:rPr>
                <w:rFonts w:eastAsia="Calibri"/>
                <w:b/>
                <w:bCs/>
                <w:szCs w:val="22"/>
              </w:rPr>
              <w:t>CFG-1 тохируулгын мэдээлэлд оффлайнаар нэвтрэх</w:t>
            </w:r>
          </w:p>
          <w:p w:rsidR="00F66A15" w:rsidRPr="00F66A15" w:rsidRDefault="00F66A15" w:rsidP="00F66A15">
            <w:pPr>
              <w:tabs>
                <w:tab w:val="left" w:pos="0"/>
              </w:tabs>
              <w:ind w:left="0" w:firstLine="0"/>
              <w:rPr>
                <w:rFonts w:eastAsia="Calibri"/>
                <w:bCs/>
                <w:szCs w:val="22"/>
              </w:rPr>
            </w:pPr>
            <w:r w:rsidRPr="00F66A15">
              <w:rPr>
                <w:rFonts w:eastAsia="Calibri"/>
                <w:bCs/>
                <w:szCs w:val="22"/>
              </w:rPr>
              <w:t>Серверийн өгөгдлийн загвар, удирдлагын блокууд ба өгөгдлийн багцуудыг тохируулагдсан IED (SCD, CID) -ыг тодорхойлдог SCL (Substation Configuration Language) файлд тодорхойлогдсон болно.</w:t>
            </w:r>
          </w:p>
          <w:p w:rsidR="00F66A15" w:rsidRPr="00F66A15" w:rsidRDefault="00F66A15" w:rsidP="00F66A15">
            <w:pPr>
              <w:tabs>
                <w:tab w:val="left" w:pos="0"/>
              </w:tabs>
              <w:ind w:left="0" w:firstLine="0"/>
              <w:rPr>
                <w:rFonts w:eastAsia="Calibri"/>
                <w:b/>
                <w:bCs/>
                <w:szCs w:val="22"/>
              </w:rPr>
            </w:pPr>
            <w:bookmarkStart w:id="26" w:name="9.4_Header_information_service"/>
            <w:bookmarkEnd w:id="26"/>
            <w:r w:rsidRPr="00F66A15">
              <w:rPr>
                <w:rFonts w:eastAsia="Calibri"/>
                <w:b/>
                <w:bCs/>
                <w:szCs w:val="22"/>
              </w:rPr>
              <w:t>9.4 Гарчгийн мэдээллийн сервис</w:t>
            </w:r>
          </w:p>
          <w:p w:rsidR="00F66A15" w:rsidRPr="00F66A15" w:rsidRDefault="00F66A15" w:rsidP="00F66A15">
            <w:pPr>
              <w:tabs>
                <w:tab w:val="left" w:pos="0"/>
              </w:tabs>
              <w:ind w:left="0" w:firstLine="0"/>
              <w:rPr>
                <w:rFonts w:eastAsia="Calibri"/>
                <w:bCs/>
                <w:szCs w:val="22"/>
              </w:rPr>
            </w:pPr>
            <w:r w:rsidRPr="00F66A15">
              <w:rPr>
                <w:rFonts w:eastAsia="Calibri"/>
                <w:bCs/>
                <w:szCs w:val="22"/>
              </w:rPr>
              <w:t>IEEE C37.118.2-д гарчгийн хүрээ нь мэдээллийг хүн уншихад хялбар хэлбэрээр өгөх зорилготой юм.</w:t>
            </w:r>
          </w:p>
          <w:p w:rsidR="00F66A15" w:rsidRPr="00F66A15" w:rsidRDefault="00F66A15" w:rsidP="00F66A15">
            <w:pPr>
              <w:tabs>
                <w:tab w:val="left" w:pos="0"/>
              </w:tabs>
              <w:ind w:left="0" w:firstLine="0"/>
              <w:rPr>
                <w:rFonts w:eastAsia="Calibri"/>
                <w:bCs/>
                <w:szCs w:val="22"/>
              </w:rPr>
            </w:pPr>
            <w:r w:rsidRPr="00F66A15">
              <w:rPr>
                <w:rFonts w:eastAsia="Calibri"/>
                <w:bCs/>
                <w:szCs w:val="22"/>
              </w:rPr>
              <w:lastRenderedPageBreak/>
              <w:t>IEC 61850-д өгөгдсөн өгөгдлийн семантик утга нь тухайн ойлголтыг мэддэг хүний хувьд өндөр түвшинд унших чадварыг хангадаг.</w:t>
            </w:r>
          </w:p>
          <w:p w:rsidR="00F66A15" w:rsidRPr="00F66A15" w:rsidRDefault="00F66A15" w:rsidP="00F66A15">
            <w:pPr>
              <w:tabs>
                <w:tab w:val="left" w:pos="0"/>
              </w:tabs>
              <w:ind w:left="0" w:firstLine="0"/>
              <w:rPr>
                <w:rFonts w:eastAsia="Calibri"/>
                <w:bCs/>
                <w:szCs w:val="22"/>
              </w:rPr>
            </w:pPr>
            <w:r w:rsidRPr="00F66A15">
              <w:rPr>
                <w:rFonts w:eastAsia="Calibri"/>
                <w:bCs/>
                <w:szCs w:val="22"/>
              </w:rPr>
              <w:t>Нэмэлт тодорхойлогч атрибутуудыг ("d" ба dU ") өгөгдлийн атрибутын талаар нэмэлт мэдээлэл өгөхөд ашиглаж болно. Энэ нь өгөгдлийн загварын хэрэгжилтээс хамаарна. Эдгээр атрибут нь" DC"(тодорхойлогч) функциональ хязгаарлалтай байна.</w:t>
            </w:r>
          </w:p>
          <w:p w:rsidR="00F66A15" w:rsidRPr="00F66A15" w:rsidRDefault="00F66A15" w:rsidP="00F66A15">
            <w:pPr>
              <w:tabs>
                <w:tab w:val="left" w:pos="0"/>
              </w:tabs>
              <w:ind w:left="0" w:firstLine="0"/>
              <w:rPr>
                <w:rFonts w:eastAsia="Calibri"/>
                <w:bCs/>
                <w:szCs w:val="22"/>
              </w:rPr>
            </w:pPr>
            <w:r w:rsidRPr="00F66A15">
              <w:rPr>
                <w:rFonts w:eastAsia="Calibri"/>
                <w:bCs/>
                <w:szCs w:val="22"/>
              </w:rPr>
              <w:t>Тодорхойлогч өгөгдлийн хандалтын арга нь бусад тохируулгын өгөгдөлтэй ижил байна.Гарчгийн хүрээний функцтэй төстэй байхын тулд тусгай аргыг тодорхойлуулах шаардлагагүй</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9.5 Өгөгдөл дамжуулах серви</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 xml:space="preserve">9.5.1 Ерөнхий </w:t>
            </w:r>
            <w:r w:rsidR="00CC195F">
              <w:rPr>
                <w:rFonts w:eastAsia="Calibri"/>
                <w:b/>
                <w:bCs/>
                <w:szCs w:val="22"/>
              </w:rPr>
              <w:t>зүйл</w:t>
            </w:r>
          </w:p>
          <w:p w:rsidR="00F66A15" w:rsidRPr="00F66A15" w:rsidRDefault="00F66A15" w:rsidP="00F66A15">
            <w:pPr>
              <w:tabs>
                <w:tab w:val="left" w:pos="0"/>
              </w:tabs>
              <w:ind w:left="0" w:firstLine="0"/>
              <w:rPr>
                <w:rFonts w:eastAsia="Calibri"/>
                <w:bCs/>
                <w:szCs w:val="22"/>
              </w:rPr>
            </w:pPr>
            <w:r w:rsidRPr="00F66A15">
              <w:rPr>
                <w:rFonts w:eastAsia="Calibri"/>
                <w:bCs/>
                <w:szCs w:val="22"/>
              </w:rPr>
              <w:t>Энэ нь өгөгдлийн хүрээний гүйцэтгэсэн функцтэй ижил байх ёстой.</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9.5.2 Ерөнхий</w:t>
            </w:r>
            <w:r w:rsidR="00CC195F">
              <w:rPr>
                <w:rFonts w:eastAsia="Calibri"/>
                <w:b/>
                <w:bCs/>
                <w:szCs w:val="22"/>
              </w:rPr>
              <w:t xml:space="preserve"> зүйл</w:t>
            </w:r>
          </w:p>
          <w:p w:rsidR="00F66A15" w:rsidRPr="00F66A15" w:rsidRDefault="00F66A15" w:rsidP="00F66A15">
            <w:pPr>
              <w:tabs>
                <w:tab w:val="left" w:pos="0"/>
              </w:tabs>
              <w:ind w:left="0" w:firstLine="0"/>
              <w:rPr>
                <w:rFonts w:eastAsia="Calibri"/>
                <w:bCs/>
                <w:szCs w:val="22"/>
              </w:rPr>
            </w:pPr>
            <w:r w:rsidRPr="00F66A15">
              <w:rPr>
                <w:rFonts w:eastAsia="Calibri"/>
                <w:bCs/>
                <w:szCs w:val="22"/>
              </w:rPr>
              <w:t>IEEE C37.118.2 нь RS-232 цуваа буюу UDP эсвэл TCP протокол нь өгөгдөл дамжуулах хүрээнд бодит синхрофазорын өгөгдлийг нууцалдаг.RS-232 нь сүлжээнд ашиглагдахаа больж байна, тиймээс зөвхөн сүлжээний харилцаа холбоог энд авч үзэх болно.UDP ба TCP протоколууд нь ямар ч тохиолдолд IP-д суурилсан, тиймээс чиглүүлэгддэг.Өргөн хүрээний IP сүлжээнд чиглүүлэгдэх энэхүү шинж чанар нь PMU-г ашигладаг өргөн зурвасын хэрэглээнд ашиглах протоколд тохиромжтой байдаг.</w:t>
            </w:r>
          </w:p>
          <w:p w:rsidR="00F66A15" w:rsidRPr="00F66A15" w:rsidRDefault="00F66A15" w:rsidP="00F66A15">
            <w:pPr>
              <w:tabs>
                <w:tab w:val="left" w:pos="0"/>
              </w:tabs>
              <w:ind w:left="0" w:firstLine="0"/>
              <w:rPr>
                <w:rFonts w:eastAsia="Calibri"/>
                <w:bCs/>
                <w:szCs w:val="22"/>
              </w:rPr>
            </w:pPr>
            <w:r w:rsidRPr="00F66A15">
              <w:rPr>
                <w:rFonts w:eastAsia="Calibri"/>
                <w:bCs/>
                <w:szCs w:val="22"/>
              </w:rPr>
              <w:t>Тогтмол дамжуулалттай өгөгдлийн хувьд IEC 61850 түүвэрлэсэн утгын сервисээр хангадаг.</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IEC 61850-9-2-т зааснаар энэ нь давхар хоёр протокол бөгөөд ихэвчлэн дэд станцын хэрэглээнд зориулагдсан байдаг. Давхар хоёр протоколууд нь </w:t>
            </w:r>
            <w:r w:rsidRPr="00F66A15">
              <w:rPr>
                <w:rFonts w:eastAsia="Calibri"/>
                <w:bCs/>
                <w:szCs w:val="22"/>
              </w:rPr>
              <w:lastRenderedPageBreak/>
              <w:t>чиглүүлэгддэггүй тул өргөн хүрээний хэрэглээнд тохиромжгүй байдаг.</w:t>
            </w:r>
          </w:p>
          <w:p w:rsidR="00F66A15" w:rsidRPr="00F66A15" w:rsidRDefault="00F66A15" w:rsidP="00F66A15">
            <w:pPr>
              <w:tabs>
                <w:tab w:val="left" w:pos="0"/>
              </w:tabs>
              <w:ind w:left="0" w:firstLine="0"/>
              <w:rPr>
                <w:rFonts w:eastAsia="Calibri"/>
                <w:bCs/>
                <w:szCs w:val="22"/>
              </w:rPr>
            </w:pPr>
            <w:r w:rsidRPr="00F66A15">
              <w:rPr>
                <w:rFonts w:eastAsia="Calibri"/>
                <w:bCs/>
                <w:szCs w:val="22"/>
              </w:rPr>
              <w:t>Синхрофазорын талаарх IEC / TR 61850-90-1-т өгсөн тайлбарууд (5.1.1-р дэд бүлэг) нь дэд станцуудын хооронд түүвэрлэсэн утгыг солилцох арга боловч энэ нь үнэхээр синхрофазорын хэрэглээний хувьд тохиромжтой хувилбар биш юм.</w:t>
            </w:r>
          </w:p>
          <w:p w:rsidR="00F66A15" w:rsidRPr="00F66A15" w:rsidRDefault="00F66A15" w:rsidP="00F66A15">
            <w:pPr>
              <w:tabs>
                <w:tab w:val="left" w:pos="0"/>
              </w:tabs>
              <w:ind w:left="0" w:firstLine="0"/>
              <w:rPr>
                <w:rFonts w:eastAsia="Calibri"/>
                <w:bCs/>
                <w:szCs w:val="22"/>
              </w:rPr>
            </w:pPr>
            <w:r w:rsidRPr="00F66A15">
              <w:rPr>
                <w:rFonts w:eastAsia="Calibri"/>
                <w:bCs/>
                <w:szCs w:val="22"/>
              </w:rPr>
              <w:t>TCP хувилбарын хувьд IEC 61850 тайлагнах нь сонголт байна.Мэдээллийг тогтмол дамжуулахдаа бүрэн бүтэн байдлын тайланг (өгөгдлийг хэрхэн олж авах ба бүрэн бүтэн байдлын үеийг синхрончлох талаар нэмэлт тодорхойлолттой) ашиглах нь зүйтэй. Гэхдээ аппликейшнууд харуулж байгаагаар IEEE C37.118.2 дахь TCP сонголт бодит аппликейшнуудад өргөн хэрэглэгдэхгүй.</w:t>
            </w:r>
          </w:p>
          <w:p w:rsidR="00F66A15" w:rsidRPr="00F66A15" w:rsidRDefault="00F66A15" w:rsidP="00F66A15">
            <w:pPr>
              <w:tabs>
                <w:tab w:val="left" w:pos="0"/>
              </w:tabs>
              <w:ind w:left="0" w:firstLine="0"/>
              <w:rPr>
                <w:rFonts w:eastAsia="Calibri"/>
                <w:bCs/>
                <w:szCs w:val="22"/>
              </w:rPr>
            </w:pPr>
            <w:r w:rsidRPr="00F66A15">
              <w:rPr>
                <w:rFonts w:eastAsia="Calibri"/>
                <w:bCs/>
                <w:szCs w:val="22"/>
              </w:rPr>
              <w:t>Тодорхой шалтгааны улмаас аппликейшнуудын дийлэнх нь UDP ашиглан өгөгдлийн хүрээг дамжуулдаг ба энэхүү баримт бичиг нь энэ тохиолдолд тохирох IEC 61850 механизмыг өгөхөд чиглэгдсэн.</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9.5.3 Синхрофазорын өгөгдлийг кодлох</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9.5.3.1 Ерөнхий</w:t>
            </w:r>
            <w:r w:rsidR="00CC195F">
              <w:rPr>
                <w:rFonts w:eastAsia="Calibri"/>
                <w:b/>
                <w:bCs/>
                <w:szCs w:val="22"/>
              </w:rPr>
              <w:t xml:space="preserve"> зүйл</w:t>
            </w:r>
          </w:p>
          <w:p w:rsidR="00F66A15" w:rsidRPr="00F66A15" w:rsidRDefault="00F66A15" w:rsidP="00F66A15">
            <w:pPr>
              <w:tabs>
                <w:tab w:val="left" w:pos="0"/>
              </w:tabs>
              <w:ind w:left="0" w:firstLine="0"/>
              <w:rPr>
                <w:rFonts w:eastAsia="Calibri"/>
                <w:bCs/>
                <w:szCs w:val="22"/>
              </w:rPr>
            </w:pPr>
            <w:r w:rsidRPr="00F66A15">
              <w:rPr>
                <w:rFonts w:eastAsia="Calibri"/>
                <w:bCs/>
                <w:szCs w:val="22"/>
              </w:rPr>
              <w:t>Өгөгдлийн багцын утгыг кодлоход GOOSE ба SV гэсэн хоёр сонголт байдаг. Эдгээрийн аль нь ч IEEE C37.118.2-ээр дамжуулсан байтын үр ашгийг санал болгодоггүй. Гэсэн хэдий ч тодорхой үр дүнтэй байдаг.</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9.5.3.2 GOOSE өгөгдлийг кодлох</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GOOSE APDU-ийн кодчилох хоёр сонголтыг санал болгож байна.Нэг нь ерөнхий ASN.1, нөгөө нь Тогтмол Урттай Кодчилол (Fixed Length Encoding) юм.Хэдийгээр механизм нь дамжуулагдсан октетуудын нэмэлт чухал үр ашгийг өгдөггүй, гэхдээFixed </w:t>
            </w:r>
            <w:r w:rsidRPr="00F66A15">
              <w:rPr>
                <w:rFonts w:eastAsia="Calibri"/>
                <w:bCs/>
                <w:szCs w:val="22"/>
              </w:rPr>
              <w:lastRenderedPageBreak/>
              <w:t>Length Encoding сонголт (IEC 61850-8-1-ийг үзнэ үү) нь илүү үр дүнтэй боловсруулалт хийх боломжийг олгодог.</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9.6 Тодорхой өгөгдлийн зураглал</w:t>
            </w:r>
          </w:p>
          <w:p w:rsidR="00F66A15" w:rsidRPr="00F66A15" w:rsidRDefault="00F66A15" w:rsidP="00F66A15">
            <w:pPr>
              <w:tabs>
                <w:tab w:val="left" w:pos="0"/>
              </w:tabs>
              <w:ind w:left="0" w:firstLine="0"/>
              <w:rPr>
                <w:rFonts w:eastAsia="Calibri"/>
                <w:bCs/>
                <w:szCs w:val="22"/>
              </w:rPr>
            </w:pPr>
            <w:r w:rsidRPr="00F66A15">
              <w:rPr>
                <w:rFonts w:eastAsia="Calibri"/>
                <w:bCs/>
                <w:szCs w:val="22"/>
              </w:rPr>
              <w:t>SV-ийн хувьд IEC 61850-9-2 кодчиллын дүрэм нь үр дүнтэй бөгөөд байтын бүтээмжийг оновчтой болгодог. Түүврийн утгуудыг UCA-ийн хэрэгжүүлэх удирдамжид өгөгдлийн зураглалд синхрофазорын мэдээллийг дамжуулж өгөх тохиолдолд илүү оновчтой болгох боломжтой (жишээ нь, UCA Хэрэглэгчийн бүлэг 61850-9-2LE).</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9.7 Нийтлэг өгөгдлийн талбарууд</w:t>
            </w:r>
          </w:p>
          <w:p w:rsidR="00F66A15" w:rsidRPr="00F66A15" w:rsidRDefault="00F66A15" w:rsidP="00F66A15">
            <w:pPr>
              <w:tabs>
                <w:tab w:val="left" w:pos="0"/>
              </w:tabs>
              <w:ind w:left="0" w:firstLine="0"/>
              <w:rPr>
                <w:rFonts w:eastAsia="Calibri"/>
                <w:bCs/>
                <w:szCs w:val="22"/>
              </w:rPr>
            </w:pPr>
            <w:r w:rsidRPr="00F66A15">
              <w:rPr>
                <w:rFonts w:eastAsia="Calibri"/>
                <w:bCs/>
                <w:szCs w:val="22"/>
              </w:rPr>
              <w:t>Ашигтай синхрофазор протоколыг бүтээхийн тулд ямар ч тохиолдолд зарим өгөгдөл заавал байх ёстой. Энэ өгөгдөл нь өгөгдлийн багцийн эхэнд тодорхой дарааллаар байрлах ёстой.</w:t>
            </w:r>
          </w:p>
          <w:p w:rsidR="00F66A15" w:rsidRPr="00F66A15" w:rsidRDefault="00F66A15" w:rsidP="00F66A15">
            <w:pPr>
              <w:tabs>
                <w:tab w:val="left" w:pos="0"/>
              </w:tabs>
              <w:ind w:left="0" w:firstLine="0"/>
              <w:rPr>
                <w:rFonts w:eastAsia="Calibri"/>
                <w:bCs/>
                <w:szCs w:val="22"/>
              </w:rPr>
            </w:pPr>
            <w:r w:rsidRPr="00F66A15">
              <w:rPr>
                <w:rFonts w:eastAsia="Calibri"/>
                <w:bCs/>
                <w:szCs w:val="22"/>
              </w:rPr>
              <w:t>Эдгээр талбарууд нь дараахь зүйлсийг агуулдаг, гэхдээ эдгээрээр хязгаарлагдахгүй:</w:t>
            </w:r>
          </w:p>
          <w:p w:rsidR="00F66A15" w:rsidRPr="00F66A15" w:rsidRDefault="00F66A15" w:rsidP="00472036">
            <w:pPr>
              <w:pStyle w:val="ListParagraph"/>
              <w:numPr>
                <w:ilvl w:val="5"/>
                <w:numId w:val="17"/>
              </w:numPr>
              <w:tabs>
                <w:tab w:val="left" w:pos="0"/>
              </w:tabs>
              <w:spacing w:after="0"/>
              <w:ind w:left="0" w:firstLine="0"/>
              <w:rPr>
                <w:rFonts w:eastAsia="Calibri"/>
                <w:bCs/>
                <w:szCs w:val="22"/>
              </w:rPr>
            </w:pPr>
            <w:r w:rsidRPr="00F66A15">
              <w:rPr>
                <w:rFonts w:eastAsia="Calibri"/>
                <w:bCs/>
                <w:szCs w:val="22"/>
              </w:rPr>
              <w:t>цаг хугацааны тэмдэг;</w:t>
            </w:r>
          </w:p>
          <w:p w:rsidR="00F66A15" w:rsidRPr="00F66A15" w:rsidRDefault="00F66A15" w:rsidP="00472036">
            <w:pPr>
              <w:pStyle w:val="ListParagraph"/>
              <w:numPr>
                <w:ilvl w:val="5"/>
                <w:numId w:val="17"/>
              </w:numPr>
              <w:tabs>
                <w:tab w:val="left" w:pos="0"/>
              </w:tabs>
              <w:spacing w:after="0"/>
              <w:ind w:left="0" w:firstLine="0"/>
              <w:rPr>
                <w:rFonts w:eastAsia="Calibri"/>
                <w:bCs/>
                <w:szCs w:val="22"/>
              </w:rPr>
            </w:pPr>
            <w:r w:rsidRPr="00F66A15">
              <w:rPr>
                <w:rFonts w:eastAsia="Calibri"/>
                <w:bCs/>
                <w:szCs w:val="22"/>
              </w:rPr>
              <w:t>цаг хугацааны үүсгүүр ба синхрончлолын төлөвийн мэдээлэл.</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9.8 Хугацааны синхрончлол</w:t>
            </w:r>
          </w:p>
          <w:p w:rsidR="00F66A15" w:rsidRPr="00F66A15" w:rsidRDefault="00F66A15" w:rsidP="00F66A15">
            <w:pPr>
              <w:tabs>
                <w:tab w:val="left" w:pos="0"/>
              </w:tabs>
              <w:ind w:left="0" w:firstLine="0"/>
              <w:rPr>
                <w:rFonts w:eastAsia="Calibri"/>
                <w:bCs/>
                <w:szCs w:val="22"/>
              </w:rPr>
            </w:pPr>
            <w:r w:rsidRPr="00F66A15">
              <w:rPr>
                <w:rFonts w:eastAsia="Calibri"/>
                <w:bCs/>
                <w:szCs w:val="22"/>
              </w:rPr>
              <w:t>Синхрофазорын хэмжилт хийхэд UTC цаг шаардлагатай.Нарийвчлал нь IEEE Синхрофазорын хэмжилтийн стандартын IEEE C37.118.1-т заасан шаардлагыг хангасан.Хүлээгдэж буй нарийвчлал нь 1 мкс байх ба бусад хэмжилтүүд нь алдаагүйбайвал хэмжилт нь26 мкс-ын (60 Гц) хугацааны алдаатайгаар шаардлагатай нарийвчлалыг хангаж чадна.Хэмжилтийг тасралтгүй хийдэг бөгөөд ердийн хэмжилтийн систем нь 5 мкс ба түүнээс дээш хэмжилтийн хугацааны нарийвчлал шаарддаг.UTC цагийг шаардлагатай нарийвчлалтай, найдвартай дамжуулах аливаа үүсгүүрээр цагыг хангаж өгч болно.</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lastRenderedPageBreak/>
              <w:t>9.9 Нөөцлөлт</w:t>
            </w:r>
          </w:p>
          <w:p w:rsidR="00F66A15" w:rsidRPr="00F66A15" w:rsidRDefault="00F66A15" w:rsidP="00F66A15">
            <w:pPr>
              <w:tabs>
                <w:tab w:val="left" w:pos="0"/>
              </w:tabs>
              <w:ind w:left="0" w:firstLine="0"/>
              <w:rPr>
                <w:rFonts w:eastAsia="Calibri"/>
                <w:bCs/>
                <w:szCs w:val="22"/>
              </w:rPr>
            </w:pPr>
            <w:r w:rsidRPr="00F66A15">
              <w:rPr>
                <w:rFonts w:eastAsia="Calibri"/>
                <w:bCs/>
                <w:szCs w:val="22"/>
              </w:rPr>
              <w:t>5-р зүйлд ашигласан тохиолдлуудыг үндэслэн нөөцлөх механизмыг тодорхой зааж өгөх шаардлагатай.Өргөн хүрээний нөхцөл байдлын талаархи ойлголт баудирдалагад шаардлагатай синхрофазорын мэдээллийг олж авах нь наад захын мэдээлэл дамжуулах нөөцийг хангахыг шаарддаг.LAN-д суурилсан нөөцлөлтийн хэрэгжилтийг IEC/TR 61850-90-4-өөс сонгосон механизм/архитектур байх ёстой.</w:t>
            </w:r>
          </w:p>
          <w:p w:rsidR="00F66A15" w:rsidRPr="00F66A15" w:rsidRDefault="00F66A15" w:rsidP="00F66A15">
            <w:pPr>
              <w:tabs>
                <w:tab w:val="left" w:pos="0"/>
              </w:tabs>
              <w:ind w:left="0" w:firstLine="0"/>
              <w:rPr>
                <w:rFonts w:eastAsia="Calibri"/>
                <w:bCs/>
                <w:szCs w:val="22"/>
              </w:rPr>
            </w:pPr>
            <w:r w:rsidRPr="00F66A15">
              <w:rPr>
                <w:rFonts w:eastAsia="Calibri"/>
                <w:bCs/>
                <w:szCs w:val="22"/>
              </w:rPr>
              <w:t>Өргөн хүрээний мэдээлэл дамжуулах үүднээс (жишээ нь дэд станцаас дэд станц, дэд станцаас удирдлагын төв, удирдлагын төвөөс удирдлагын төв гэх мэт) хэд хэдэн мэдээлэл дамжуулах системийн архитектурыг анхаарч үзэх шаардлагатай. Эдгээр архитектурыг дараах дэд хэсэгт авч үзнэ.</w:t>
            </w:r>
          </w:p>
          <w:p w:rsidR="00F66A15" w:rsidRPr="00F66A15" w:rsidRDefault="00F66A15" w:rsidP="00F66A15">
            <w:pPr>
              <w:tabs>
                <w:tab w:val="left" w:pos="0"/>
              </w:tabs>
              <w:ind w:left="0" w:firstLine="0"/>
              <w:rPr>
                <w:rFonts w:eastAsia="Calibri"/>
                <w:bCs/>
                <w:szCs w:val="22"/>
              </w:rPr>
            </w:pPr>
            <w:r w:rsidRPr="00F66A15">
              <w:rPr>
                <w:rFonts w:eastAsia="Calibri"/>
                <w:bCs/>
                <w:szCs w:val="22"/>
              </w:rPr>
              <w:t>Харилцаа холбооны нөөцлөлт:</w:t>
            </w:r>
          </w:p>
          <w:p w:rsidR="00F66A15" w:rsidRPr="00F66A15" w:rsidRDefault="00F66A15" w:rsidP="00F66A15">
            <w:pPr>
              <w:tabs>
                <w:tab w:val="left" w:pos="0"/>
              </w:tabs>
              <w:ind w:left="0" w:firstLine="0"/>
              <w:rPr>
                <w:rFonts w:eastAsia="Calibri"/>
                <w:bCs/>
                <w:szCs w:val="22"/>
              </w:rPr>
            </w:pPr>
            <w:r w:rsidRPr="00F66A15">
              <w:rPr>
                <w:rFonts w:eastAsia="Calibri"/>
                <w:bCs/>
                <w:szCs w:val="22"/>
              </w:rPr>
              <w:t>Архитектур нь хоёр (2) бие даасан харилцаа холбооны медиа дэд бүтцэд (ж.нь, T1 ба богино долгионы буюутоолуур эргэдэг токентой Sonet Ring) холбогдоход нэг мэдээлэл дамжуулах зангилаа(ж.нь, чиглүүлэгч гэх мэт) ашигладаг.</w:t>
            </w:r>
          </w:p>
          <w:p w:rsidR="00F66A15" w:rsidRPr="00F66A15" w:rsidRDefault="00F66A15" w:rsidP="00F66A15">
            <w:pPr>
              <w:tabs>
                <w:tab w:val="left" w:pos="0"/>
              </w:tabs>
              <w:ind w:left="0" w:firstLine="0"/>
              <w:rPr>
                <w:rFonts w:eastAsia="Calibri"/>
                <w:bCs/>
                <w:szCs w:val="22"/>
              </w:rPr>
            </w:pPr>
            <w:r w:rsidRPr="00F66A15">
              <w:rPr>
                <w:rFonts w:eastAsia="Calibri"/>
                <w:bCs/>
                <w:szCs w:val="22"/>
              </w:rPr>
              <w:t>Энэхүү архитектур нь мэдээлэл дамжуулах замын гэмтлээс хамгаалах нөөцлөлтөөр хангадаг.</w:t>
            </w:r>
          </w:p>
          <w:p w:rsidR="00F66A15" w:rsidRPr="00F66A15" w:rsidRDefault="00F66A15" w:rsidP="00F66A15">
            <w:pPr>
              <w:tabs>
                <w:tab w:val="left" w:pos="0"/>
              </w:tabs>
              <w:ind w:left="0" w:firstLine="0"/>
              <w:rPr>
                <w:rFonts w:eastAsia="Calibri"/>
                <w:bCs/>
                <w:szCs w:val="22"/>
              </w:rPr>
            </w:pPr>
            <w:r w:rsidRPr="00F66A15">
              <w:rPr>
                <w:rFonts w:eastAsia="Calibri"/>
                <w:bCs/>
                <w:szCs w:val="22"/>
              </w:rPr>
              <w:t>Энэхүү нөөцлөх механизм нь системийн дизайны асуудал ба энэ баримт бичигт хамаарахгүй болно.</w:t>
            </w:r>
          </w:p>
          <w:p w:rsidR="00F66A15" w:rsidRPr="00F66A15" w:rsidRDefault="00F66A15" w:rsidP="00F66A15">
            <w:pPr>
              <w:tabs>
                <w:tab w:val="left" w:pos="0"/>
              </w:tabs>
              <w:ind w:left="0" w:firstLine="0"/>
              <w:rPr>
                <w:rFonts w:eastAsia="Calibri"/>
                <w:bCs/>
                <w:szCs w:val="22"/>
              </w:rPr>
            </w:pPr>
            <w:r w:rsidRPr="00F66A15">
              <w:rPr>
                <w:rFonts w:eastAsia="Calibri"/>
                <w:bCs/>
                <w:szCs w:val="22"/>
              </w:rPr>
              <w:t>Олон замаар хүргэх:</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Архитектур нь торон сүлжээнд багц илгээхдээ нэг мэдээлэл дамжуулах порт бүхий нэг мэдээлэл дамжуулах зангилаа(жишээ нь, чиглүүлэгч)  ашигладаг. </w:t>
            </w:r>
          </w:p>
          <w:p w:rsidR="00F66A15" w:rsidRPr="00F66A15" w:rsidRDefault="00F66A15" w:rsidP="00F66A15">
            <w:pPr>
              <w:tabs>
                <w:tab w:val="left" w:pos="0"/>
              </w:tabs>
              <w:ind w:left="0" w:firstLine="0"/>
              <w:rPr>
                <w:rFonts w:eastAsia="Calibri"/>
                <w:bCs/>
                <w:szCs w:val="22"/>
              </w:rPr>
            </w:pPr>
            <w:r w:rsidRPr="00F66A15">
              <w:rPr>
                <w:rFonts w:eastAsia="Calibri"/>
                <w:bCs/>
                <w:szCs w:val="22"/>
              </w:rPr>
              <w:t>Дараа нь торон сүлжээ нь багцыг зэрэгцээ олон замаар хүргэх боломжийг олгодог.</w:t>
            </w:r>
          </w:p>
          <w:p w:rsidR="00F66A15" w:rsidRPr="00F66A15" w:rsidRDefault="00F66A15" w:rsidP="00F66A15">
            <w:pPr>
              <w:tabs>
                <w:tab w:val="left" w:pos="0"/>
              </w:tabs>
              <w:ind w:left="0" w:firstLine="0"/>
              <w:rPr>
                <w:rFonts w:eastAsia="Calibri"/>
                <w:bCs/>
                <w:szCs w:val="22"/>
              </w:rPr>
            </w:pPr>
            <w:r w:rsidRPr="00F66A15">
              <w:rPr>
                <w:rFonts w:eastAsia="Calibri"/>
                <w:bCs/>
                <w:szCs w:val="22"/>
              </w:rPr>
              <w:lastRenderedPageBreak/>
              <w:t>мэдээлэл дамжуулах гэмтлийг илрүүлэх зорилгоор энэхүү баримт бичигт заасны дагуу мэдээлэл дамжуулах профайлын багц хүлээн авагчид хүлээгдэж буй багцуудыг цаг тухайд нь хүргэхгүй эсвэл протоколын хүлээлт(жишээ нь: GOOSE APDUs) дээр үндэслэсэн асуудлуудыг тодорхойлох үүрэгтэй.Хүлээн авагч нь тодорхой хугацаанд өгөгдөөгүй өгөгдлийн багцын гишүүдийн чанарын үзүүлэлт “invalid” эсвэл “questionable”-ын quality.validityба“oldData”-ын quality.detailedQual гэсэн үзүүлэлтүүдээр тэмдэглэнэ.</w:t>
            </w:r>
          </w:p>
          <w:p w:rsidR="00F66A15" w:rsidRPr="00F66A15" w:rsidRDefault="00F66A15" w:rsidP="00F66A15">
            <w:pPr>
              <w:tabs>
                <w:tab w:val="left" w:pos="0"/>
              </w:tabs>
              <w:ind w:left="0" w:firstLine="0"/>
              <w:rPr>
                <w:rFonts w:eastAsia="Calibri"/>
                <w:bCs/>
                <w:szCs w:val="22"/>
              </w:rPr>
            </w:pPr>
            <w:r w:rsidRPr="00F66A15">
              <w:rPr>
                <w:rFonts w:eastAsia="Calibri"/>
                <w:bCs/>
                <w:szCs w:val="22"/>
              </w:rPr>
              <w:t>Энэхүү баримт бичигт заасан профайлуудын хувьд олон замаар хүргэлтийг ашиглах нь зохих замыг тодорхойлохын тулд IP-д суурилсан хэрэгслийг ашигладаг. Ийм замын тодорхойлолтыг RFC 2991 стандартын дагуу гүйцэтгэх ёстой.</w:t>
            </w:r>
          </w:p>
          <w:p w:rsidR="00F66A15" w:rsidRPr="00F66A15" w:rsidRDefault="00F66A15" w:rsidP="00F66A15">
            <w:pPr>
              <w:tabs>
                <w:tab w:val="left" w:pos="0"/>
              </w:tabs>
              <w:ind w:left="0" w:firstLine="0"/>
              <w:rPr>
                <w:rFonts w:eastAsia="Calibri"/>
                <w:bCs/>
                <w:szCs w:val="22"/>
              </w:rPr>
            </w:pPr>
            <w:r w:rsidRPr="00F66A15">
              <w:rPr>
                <w:rFonts w:eastAsia="Calibri"/>
                <w:bCs/>
                <w:szCs w:val="22"/>
              </w:rPr>
              <w:t>Хуулбар багц хүргэлтийг илрүүлэх зорилгоор хүлээн авах аппликейшний эх IP хаяг ба SPDU дугаарын хослол өвөрмөц байх ёстой. Багцыг хуулбарлахаас өмнө хуулбарыг баталгаажуулах шаардлагатай. Хуулбар багцыг хасахаас өмнө аюулгүй байдлын баталгаажуулалтыг хийх шаардлагатай.</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10 Синхрофазорын хэмжилт хийх ОУЦТК-ын логик зангилааны загварчлал</w:t>
            </w:r>
          </w:p>
          <w:p w:rsidR="00F66A15" w:rsidRPr="00F66A15" w:rsidRDefault="00F66A15" w:rsidP="00F66A15">
            <w:pPr>
              <w:tabs>
                <w:tab w:val="left" w:pos="0"/>
              </w:tabs>
              <w:ind w:left="0" w:firstLine="0"/>
              <w:rPr>
                <w:rFonts w:eastAsia="Calibri"/>
                <w:bCs/>
                <w:szCs w:val="22"/>
              </w:rPr>
            </w:pPr>
            <w:r w:rsidRPr="00F66A15">
              <w:rPr>
                <w:rFonts w:eastAsia="Calibri"/>
                <w:bCs/>
                <w:szCs w:val="22"/>
              </w:rPr>
              <w:t>Энэхүү стандарт нь IEEE C37.118.1-ийн хэмжилтийн арга техник ба шүүлтүүрийн шаардлагад хамаарах тул хамгаалалт ба хэмжилтийн гүйцэтгэлийн ангиудын семантикаар илэрхийлэгдэнэ.</w:t>
            </w:r>
          </w:p>
          <w:p w:rsidR="00F66A15" w:rsidRPr="00F66A15" w:rsidRDefault="00F66A15" w:rsidP="00F66A15">
            <w:pPr>
              <w:tabs>
                <w:tab w:val="left" w:pos="0"/>
              </w:tabs>
              <w:ind w:left="0" w:firstLine="0"/>
              <w:rPr>
                <w:rFonts w:eastAsia="Calibri"/>
                <w:bCs/>
                <w:szCs w:val="22"/>
              </w:rPr>
            </w:pPr>
            <w:r w:rsidRPr="00F66A15">
              <w:rPr>
                <w:rFonts w:eastAsia="Calibri"/>
                <w:bCs/>
                <w:szCs w:val="22"/>
              </w:rPr>
              <w:t>IEEE C37.118.1-ээс (Мэдээллийн):</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"P ангилал нь хурдан хариу үйлдэл шаарддаг хэрэглээнүүдэд зориулагдсан; Энэ нь тодорхой </w:t>
            </w:r>
            <w:r w:rsidRPr="00F66A15">
              <w:rPr>
                <w:rFonts w:eastAsia="Calibri"/>
                <w:bCs/>
                <w:szCs w:val="22"/>
              </w:rPr>
              <w:lastRenderedPageBreak/>
              <w:t>шүүлтүүр хийх шаардлагагүй. M анги нь гажилттай (aliased) дохионуудад сөргөөр нөлөөлж болох хэрэглээнүүдэд зориулагдсан боловч хамгийн хурдан тайлагнах хурдыг шаарддаггүй."</w:t>
            </w:r>
          </w:p>
          <w:p w:rsidR="00F66A15" w:rsidRPr="00F66A15" w:rsidRDefault="00F66A15" w:rsidP="00F66A15">
            <w:pPr>
              <w:tabs>
                <w:tab w:val="left" w:pos="0"/>
              </w:tabs>
              <w:ind w:left="0" w:firstLine="0"/>
              <w:rPr>
                <w:rFonts w:eastAsia="Calibri"/>
                <w:bCs/>
                <w:szCs w:val="22"/>
              </w:rPr>
            </w:pPr>
            <w:r w:rsidRPr="00F66A15">
              <w:rPr>
                <w:rFonts w:eastAsia="Calibri"/>
                <w:bCs/>
                <w:szCs w:val="22"/>
              </w:rPr>
              <w:t>Энэхүү стандарт нь дохионы шүүлтүүрийг тайлангийн хурдтай холбодоггүй. Тиймээс энэ стандарт нь дараахь зүйлийг тодорхойлдог:</w:t>
            </w:r>
          </w:p>
          <w:p w:rsidR="00F66A15" w:rsidRPr="00F66A15" w:rsidRDefault="00F66A15" w:rsidP="00472036">
            <w:pPr>
              <w:pStyle w:val="ListParagraph"/>
              <w:numPr>
                <w:ilvl w:val="5"/>
                <w:numId w:val="17"/>
              </w:numPr>
              <w:tabs>
                <w:tab w:val="left" w:pos="0"/>
              </w:tabs>
              <w:spacing w:after="0"/>
              <w:ind w:left="0" w:firstLine="0"/>
              <w:rPr>
                <w:rFonts w:eastAsia="Calibri"/>
                <w:bCs/>
                <w:szCs w:val="22"/>
              </w:rPr>
            </w:pPr>
            <w:r w:rsidRPr="00F66A15">
              <w:rPr>
                <w:rFonts w:eastAsia="Calibri"/>
                <w:bCs/>
                <w:szCs w:val="22"/>
              </w:rPr>
              <w:t>P-Ангилал нь тодорхой дохионы шүүлтүүргүй бөгөөд хамгийн богино хугацаанд хариу дохио өгдөг,</w:t>
            </w:r>
          </w:p>
          <w:p w:rsidR="00F66A15" w:rsidRPr="00F66A15" w:rsidRDefault="00F66A15" w:rsidP="00472036">
            <w:pPr>
              <w:pStyle w:val="ListParagraph"/>
              <w:numPr>
                <w:ilvl w:val="5"/>
                <w:numId w:val="17"/>
              </w:numPr>
              <w:tabs>
                <w:tab w:val="left" w:pos="0"/>
              </w:tabs>
              <w:spacing w:after="0"/>
              <w:ind w:left="0" w:firstLine="0"/>
              <w:rPr>
                <w:rFonts w:eastAsia="Calibri"/>
                <w:bCs/>
                <w:szCs w:val="22"/>
              </w:rPr>
            </w:pPr>
            <w:r w:rsidRPr="00F66A15">
              <w:rPr>
                <w:rFonts w:eastAsia="Calibri"/>
                <w:bCs/>
                <w:szCs w:val="22"/>
              </w:rPr>
              <w:t xml:space="preserve">M-Ангилал нь гажилт засах (anti-alias) шүүлтүүр шаарддаг бөгөөд энэ нь удаан хугацаанд хариу дохио өгдөг. </w:t>
            </w:r>
          </w:p>
          <w:p w:rsidR="00F66A15" w:rsidRPr="00F66A15" w:rsidRDefault="00F66A15" w:rsidP="00F66A15">
            <w:pPr>
              <w:tabs>
                <w:tab w:val="left" w:pos="0"/>
              </w:tabs>
              <w:ind w:left="0" w:firstLine="0"/>
              <w:rPr>
                <w:rFonts w:eastAsia="Calibri"/>
                <w:bCs/>
                <w:szCs w:val="22"/>
              </w:rPr>
            </w:pPr>
            <w:r w:rsidRPr="00F66A15">
              <w:rPr>
                <w:rFonts w:eastAsia="Calibri"/>
                <w:bCs/>
                <w:szCs w:val="22"/>
              </w:rPr>
              <w:t>P-Ангилал ба M-Ангиллын шинж чанаруудыг IEEE C37.118.1-т заасны дагуу тодорхойлно.</w:t>
            </w:r>
          </w:p>
          <w:p w:rsidR="00F66A15" w:rsidRPr="00F66A15" w:rsidRDefault="00F66A15" w:rsidP="00F66A15">
            <w:pPr>
              <w:tabs>
                <w:tab w:val="left" w:pos="0"/>
              </w:tabs>
              <w:ind w:left="0" w:firstLine="0"/>
              <w:rPr>
                <w:rFonts w:eastAsia="Calibri"/>
                <w:bCs/>
                <w:szCs w:val="22"/>
              </w:rPr>
            </w:pPr>
            <w:r w:rsidRPr="00F66A15">
              <w:rPr>
                <w:rFonts w:eastAsia="Calibri"/>
                <w:bCs/>
                <w:szCs w:val="22"/>
              </w:rPr>
              <w:t>P-Ангилал ба M-Ангиллын бүтцийг IEC 61850-ийн хүрээнд зааж өгөхийн тулд IEC 61850-7-4 ClcMth-ийг ашиглана. Зөвшөөрөгдсөн утгуудын багцыг Хүснэгт 6-т харуулсны дагуу өргөтгөнө.</w:t>
            </w:r>
          </w:p>
        </w:tc>
        <w:tc>
          <w:tcPr>
            <w:tcW w:w="4672" w:type="dxa"/>
          </w:tcPr>
          <w:p w:rsidR="00F66A15" w:rsidRPr="00F66A15" w:rsidRDefault="00F66A15" w:rsidP="00F66A15">
            <w:pPr>
              <w:tabs>
                <w:tab w:val="left" w:pos="0"/>
              </w:tabs>
              <w:ind w:left="0" w:firstLine="0"/>
              <w:rPr>
                <w:rFonts w:eastAsia="Calibri"/>
                <w:bCs/>
                <w:szCs w:val="22"/>
              </w:rPr>
            </w:pPr>
            <w:r w:rsidRPr="00F66A15">
              <w:rPr>
                <w:rFonts w:eastAsia="Calibri"/>
                <w:bCs/>
                <w:szCs w:val="22"/>
              </w:rPr>
              <w:lastRenderedPageBreak/>
              <w:t>In order to configure the additional information in SCL, the following additions to SCL need to be made. The following “P” types need to be added:</w:t>
            </w:r>
          </w:p>
          <w:p w:rsidR="00F66A15" w:rsidRPr="00F66A15" w:rsidRDefault="00F66A15" w:rsidP="00472036">
            <w:pPr>
              <w:pStyle w:val="ListParagraph"/>
              <w:numPr>
                <w:ilvl w:val="5"/>
                <w:numId w:val="22"/>
              </w:numPr>
              <w:tabs>
                <w:tab w:val="left" w:pos="0"/>
              </w:tabs>
              <w:spacing w:after="0"/>
              <w:ind w:left="0" w:firstLine="0"/>
              <w:rPr>
                <w:rFonts w:eastAsia="Calibri"/>
                <w:bCs/>
                <w:szCs w:val="22"/>
              </w:rPr>
            </w:pPr>
            <w:r w:rsidRPr="00F66A15">
              <w:rPr>
                <w:rFonts w:eastAsia="Calibri"/>
                <w:bCs/>
                <w:szCs w:val="22"/>
              </w:rPr>
              <w:t>IPv6FlowLabel,</w:t>
            </w:r>
          </w:p>
          <w:p w:rsidR="00F66A15" w:rsidRPr="00F66A15" w:rsidRDefault="00F66A15" w:rsidP="00472036">
            <w:pPr>
              <w:pStyle w:val="ListParagraph"/>
              <w:numPr>
                <w:ilvl w:val="5"/>
                <w:numId w:val="22"/>
              </w:numPr>
              <w:tabs>
                <w:tab w:val="left" w:pos="0"/>
              </w:tabs>
              <w:spacing w:after="0"/>
              <w:ind w:left="0" w:firstLine="0"/>
              <w:rPr>
                <w:rFonts w:eastAsia="Calibri"/>
                <w:bCs/>
                <w:szCs w:val="22"/>
              </w:rPr>
            </w:pPr>
            <w:r w:rsidRPr="00F66A15">
              <w:rPr>
                <w:rFonts w:eastAsia="Calibri"/>
                <w:bCs/>
                <w:szCs w:val="22"/>
              </w:rPr>
              <w:t>DNS String address.</w:t>
            </w:r>
          </w:p>
          <w:p w:rsidR="00F66A15" w:rsidRPr="00F66A15" w:rsidRDefault="00F66A15" w:rsidP="00F66A15">
            <w:pPr>
              <w:tabs>
                <w:tab w:val="left" w:pos="0"/>
              </w:tabs>
              <w:ind w:left="0" w:firstLine="0"/>
              <w:rPr>
                <w:rFonts w:eastAsia="Calibri"/>
                <w:bCs/>
                <w:sz w:val="20"/>
                <w:szCs w:val="20"/>
              </w:rPr>
            </w:pPr>
            <w:r w:rsidRPr="00F66A15">
              <w:rPr>
                <w:rFonts w:eastAsia="Calibri"/>
                <w:bCs/>
                <w:sz w:val="20"/>
                <w:szCs w:val="20"/>
              </w:rPr>
              <w:t>NOTE The addition of the DNS string allows names to be used for addressing in addition to the dotted-decimal notations of IPv4 or IPv6.</w:t>
            </w:r>
          </w:p>
          <w:p w:rsidR="00F66A15" w:rsidRPr="00F66A15" w:rsidRDefault="00F66A15" w:rsidP="00F66A15">
            <w:pPr>
              <w:tabs>
                <w:tab w:val="left" w:pos="0"/>
              </w:tabs>
              <w:ind w:left="0" w:firstLine="0"/>
              <w:rPr>
                <w:rFonts w:eastAsia="Calibri"/>
                <w:bCs/>
                <w:szCs w:val="22"/>
              </w:rPr>
            </w:pPr>
            <w:r w:rsidRPr="00F66A15">
              <w:rPr>
                <w:rFonts w:eastAsia="Calibri"/>
                <w:bCs/>
                <w:szCs w:val="22"/>
              </w:rPr>
              <w:t>Additionally, the IPv6 equivalents of tp_IP, tp_IP-SUBNET, and tp_IP-GATEWAY need to be created to allow IPv6 representations in addition to IPv4 representations. Observe that the values of transportInUse, IPClassOfTraffic and IPAddressLength are implicitly given by the IPv4 respective IPv6 syntax of the IP address in SCL.</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r w:rsidRPr="00F66A15">
              <w:rPr>
                <w:rFonts w:ascii="Arial" w:eastAsia="Calibri" w:hAnsi="Arial" w:cs="Arial"/>
                <w:b/>
                <w:color w:val="auto"/>
                <w:szCs w:val="22"/>
                <w:lang w:val="mn-MN"/>
              </w:rPr>
              <w:t>9.3Configuration request service</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bookmarkStart w:id="27" w:name="_TOC_250043"/>
            <w:r w:rsidRPr="00F66A15">
              <w:rPr>
                <w:rFonts w:ascii="Arial" w:eastAsia="Calibri" w:hAnsi="Arial" w:cs="Arial"/>
                <w:b/>
                <w:color w:val="auto"/>
                <w:szCs w:val="22"/>
                <w:lang w:val="mn-MN"/>
              </w:rPr>
              <w:t>9.3.1G</w:t>
            </w:r>
            <w:bookmarkEnd w:id="27"/>
            <w:r w:rsidRPr="00F66A15">
              <w:rPr>
                <w:rFonts w:ascii="Arial" w:eastAsia="Calibri" w:hAnsi="Arial" w:cs="Arial"/>
                <w:b/>
                <w:color w:val="auto"/>
                <w:szCs w:val="22"/>
                <w:lang w:val="mn-MN"/>
              </w:rPr>
              <w:t>eneral</w:t>
            </w:r>
          </w:p>
          <w:p w:rsidR="00F66A15" w:rsidRPr="00F66A15" w:rsidRDefault="00F66A15" w:rsidP="00F66A15">
            <w:pPr>
              <w:tabs>
                <w:tab w:val="left" w:pos="0"/>
              </w:tabs>
              <w:ind w:left="0" w:firstLine="0"/>
              <w:rPr>
                <w:rFonts w:eastAsia="Calibri"/>
                <w:bCs/>
                <w:szCs w:val="22"/>
              </w:rPr>
            </w:pPr>
            <w:r w:rsidRPr="00F66A15">
              <w:rPr>
                <w:rFonts w:eastAsia="Calibri"/>
                <w:bCs/>
                <w:szCs w:val="22"/>
              </w:rPr>
              <w:t>This shall be the equivalent to the functions performed by the configuration frames.</w:t>
            </w:r>
          </w:p>
          <w:p w:rsidR="00F66A15" w:rsidRPr="00F66A15" w:rsidRDefault="00F66A15" w:rsidP="00F66A15">
            <w:pPr>
              <w:tabs>
                <w:tab w:val="left" w:pos="0"/>
              </w:tabs>
              <w:ind w:left="0" w:firstLine="0"/>
              <w:rPr>
                <w:rFonts w:eastAsia="Calibri"/>
                <w:bCs/>
                <w:szCs w:val="22"/>
              </w:rPr>
            </w:pPr>
            <w:r w:rsidRPr="00F66A15">
              <w:rPr>
                <w:rFonts w:eastAsia="Calibri"/>
                <w:bCs/>
                <w:szCs w:val="22"/>
              </w:rPr>
              <w:t>There are three (3) kinds of configuration information in IEEE C37.118.2, named CFG-1, CFG-2, and CFG-3.</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r w:rsidRPr="00F66A15">
              <w:rPr>
                <w:rFonts w:ascii="Arial" w:eastAsia="Calibri" w:hAnsi="Arial" w:cs="Arial"/>
                <w:b/>
                <w:color w:val="auto"/>
                <w:szCs w:val="22"/>
                <w:lang w:val="mn-MN"/>
              </w:rPr>
              <w:lastRenderedPageBreak/>
              <w:t>9.3.2 CFG-1 Type of configuration data – Capabilities</w:t>
            </w:r>
          </w:p>
          <w:p w:rsidR="00F66A15" w:rsidRPr="00F66A15" w:rsidRDefault="00F66A15" w:rsidP="00F66A15">
            <w:pPr>
              <w:tabs>
                <w:tab w:val="left" w:pos="0"/>
              </w:tabs>
              <w:ind w:left="0" w:firstLine="0"/>
              <w:rPr>
                <w:rFonts w:eastAsia="Calibri"/>
                <w:bCs/>
                <w:szCs w:val="22"/>
              </w:rPr>
            </w:pPr>
            <w:r w:rsidRPr="00F66A15">
              <w:rPr>
                <w:rFonts w:eastAsia="Calibri"/>
                <w:bCs/>
                <w:szCs w:val="22"/>
              </w:rPr>
              <w:t>The capabilities correspond to the data model of the server that provides the SP data.</w:t>
            </w:r>
          </w:p>
          <w:p w:rsidR="00F66A15" w:rsidRPr="00F66A15" w:rsidRDefault="00F66A15" w:rsidP="00F66A15">
            <w:pPr>
              <w:tabs>
                <w:tab w:val="left" w:pos="0"/>
              </w:tabs>
              <w:ind w:left="0" w:firstLine="0"/>
              <w:rPr>
                <w:rFonts w:eastAsia="Calibri"/>
                <w:bCs/>
                <w:szCs w:val="22"/>
              </w:rPr>
            </w:pPr>
            <w:r w:rsidRPr="00F66A15">
              <w:rPr>
                <w:rFonts w:eastAsia="Calibri"/>
                <w:bCs/>
                <w:szCs w:val="22"/>
              </w:rPr>
              <w:t>Getting this configuration information is equivalent to obtaining the data model structure of the server.</w:t>
            </w:r>
          </w:p>
          <w:p w:rsidR="00F66A15" w:rsidRPr="00F66A15" w:rsidRDefault="00F66A15" w:rsidP="00F66A15">
            <w:pPr>
              <w:tabs>
                <w:tab w:val="left" w:pos="0"/>
              </w:tabs>
              <w:ind w:left="0" w:firstLine="0"/>
              <w:rPr>
                <w:rFonts w:eastAsia="Calibri"/>
                <w:bCs/>
                <w:szCs w:val="22"/>
              </w:rPr>
            </w:pPr>
            <w:r w:rsidRPr="00F66A15">
              <w:rPr>
                <w:rFonts w:eastAsia="Calibri"/>
                <w:bCs/>
                <w:szCs w:val="22"/>
              </w:rPr>
              <w:t>For this, IEC 61850 provides standardized methods.</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r w:rsidRPr="00F66A15">
              <w:rPr>
                <w:rFonts w:ascii="Arial" w:eastAsia="Calibri" w:hAnsi="Arial" w:cs="Arial"/>
                <w:b/>
                <w:color w:val="auto"/>
                <w:szCs w:val="22"/>
                <w:lang w:val="mn-MN"/>
              </w:rPr>
              <w:t>9.3.3 CFG-2 or CFG-3 Type of configuration data – Measurements</w:t>
            </w:r>
          </w:p>
          <w:p w:rsidR="00F66A15" w:rsidRPr="00F66A15" w:rsidRDefault="00F66A15" w:rsidP="00F66A15">
            <w:pPr>
              <w:tabs>
                <w:tab w:val="left" w:pos="0"/>
              </w:tabs>
              <w:ind w:left="0" w:firstLine="0"/>
              <w:rPr>
                <w:rFonts w:eastAsia="Calibri"/>
                <w:bCs/>
                <w:szCs w:val="22"/>
              </w:rPr>
            </w:pPr>
            <w:r w:rsidRPr="00F66A15">
              <w:rPr>
                <w:rFonts w:eastAsia="Calibri"/>
                <w:bCs/>
                <w:szCs w:val="22"/>
              </w:rPr>
              <w:t>The capabilities correspond to acquiring the data set member definitions  of  a  particular  control block.</w:t>
            </w:r>
          </w:p>
          <w:p w:rsidR="00F66A15" w:rsidRPr="00F66A15" w:rsidRDefault="00F66A15" w:rsidP="00F66A15">
            <w:pPr>
              <w:tabs>
                <w:tab w:val="left" w:pos="0"/>
              </w:tabs>
              <w:ind w:left="0" w:firstLine="0"/>
              <w:rPr>
                <w:rFonts w:eastAsia="Calibri"/>
                <w:bCs/>
                <w:szCs w:val="22"/>
              </w:rPr>
            </w:pPr>
            <w:r w:rsidRPr="00F66A15">
              <w:rPr>
                <w:rFonts w:eastAsia="Calibri"/>
                <w:bCs/>
                <w:szCs w:val="22"/>
              </w:rPr>
              <w:t>For this, IEC 61850 provides standardized methods (GetDataSetDirectory, and GetGOReference). However,  IEC 61850 does  not currently define  the  equivalent of GetSavReference (e.g. for Sampled Values). This document adds the GetSavReference service.</w:t>
            </w:r>
          </w:p>
          <w:p w:rsidR="00F66A15" w:rsidRPr="00F66A15" w:rsidRDefault="00F66A15" w:rsidP="00F66A15">
            <w:pPr>
              <w:pStyle w:val="Heading5"/>
              <w:tabs>
                <w:tab w:val="left" w:pos="0"/>
                <w:tab w:val="left" w:pos="1182"/>
                <w:tab w:val="left" w:pos="1183"/>
              </w:tabs>
              <w:spacing w:line="276" w:lineRule="auto"/>
              <w:outlineLvl w:val="4"/>
              <w:rPr>
                <w:rFonts w:ascii="Arial" w:eastAsia="Calibri" w:hAnsi="Arial" w:cs="Arial"/>
                <w:b/>
                <w:color w:val="auto"/>
                <w:szCs w:val="22"/>
                <w:lang w:val="mn-MN"/>
              </w:rPr>
            </w:pPr>
            <w:bookmarkStart w:id="28" w:name="_TOC_250040"/>
            <w:r w:rsidRPr="00F66A15">
              <w:rPr>
                <w:rFonts w:ascii="Arial" w:eastAsia="Calibri" w:hAnsi="Arial" w:cs="Arial"/>
                <w:b/>
                <w:color w:val="auto"/>
                <w:szCs w:val="22"/>
                <w:lang w:val="mn-MN"/>
              </w:rPr>
              <w:t xml:space="preserve">9.3.4 Online access to CFG-1 configuration </w:t>
            </w:r>
            <w:bookmarkEnd w:id="28"/>
            <w:r w:rsidRPr="00F66A15">
              <w:rPr>
                <w:rFonts w:ascii="Arial" w:eastAsia="Calibri" w:hAnsi="Arial" w:cs="Arial"/>
                <w:b/>
                <w:color w:val="auto"/>
                <w:szCs w:val="22"/>
                <w:lang w:val="mn-MN"/>
              </w:rPr>
              <w:t>information</w:t>
            </w:r>
          </w:p>
          <w:p w:rsidR="00F66A15" w:rsidRPr="00F66A15" w:rsidRDefault="00F66A15" w:rsidP="00F66A15">
            <w:pPr>
              <w:tabs>
                <w:tab w:val="left" w:pos="0"/>
              </w:tabs>
              <w:ind w:left="0" w:firstLine="0"/>
              <w:rPr>
                <w:rFonts w:eastAsia="Calibri"/>
                <w:bCs/>
                <w:szCs w:val="22"/>
              </w:rPr>
            </w:pPr>
            <w:r w:rsidRPr="00F66A15">
              <w:rPr>
                <w:rFonts w:eastAsia="Calibri"/>
                <w:bCs/>
                <w:szCs w:val="22"/>
              </w:rPr>
              <w:t>For this, IEC 61850 servers provide the self-description. A client  can  request  information about the control blocks, the assigned datasets and the datasets themselves.</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9.3.5 Offline access to CFG-2 and CFG-3 configuration information</w:t>
            </w:r>
          </w:p>
          <w:p w:rsidR="00F66A15" w:rsidRPr="00F66A15" w:rsidRDefault="00F66A15" w:rsidP="00F66A15">
            <w:pPr>
              <w:tabs>
                <w:tab w:val="left" w:pos="0"/>
              </w:tabs>
              <w:ind w:left="0" w:firstLine="0"/>
              <w:rPr>
                <w:rFonts w:eastAsia="Calibri"/>
                <w:bCs/>
                <w:szCs w:val="22"/>
              </w:rPr>
            </w:pPr>
            <w:r w:rsidRPr="00F66A15">
              <w:rPr>
                <w:rFonts w:eastAsia="Calibri"/>
                <w:bCs/>
                <w:szCs w:val="22"/>
              </w:rPr>
              <w:t>The data model of the server, the control blocks, and the datasets are described in SCL (Substation Configuration Language) files that describe the configured IED (SCD, CID).</w:t>
            </w:r>
          </w:p>
          <w:p w:rsidR="00F66A15" w:rsidRPr="00F66A15" w:rsidRDefault="00F66A15" w:rsidP="00F66A15">
            <w:pPr>
              <w:tabs>
                <w:tab w:val="left" w:pos="0"/>
              </w:tabs>
              <w:ind w:left="0" w:firstLine="0"/>
              <w:rPr>
                <w:rFonts w:eastAsia="Calibri"/>
                <w:b/>
                <w:bCs/>
                <w:szCs w:val="22"/>
              </w:rPr>
            </w:pPr>
            <w:bookmarkStart w:id="29" w:name="_TOC_250038"/>
            <w:r w:rsidRPr="00F66A15">
              <w:rPr>
                <w:rFonts w:eastAsia="Calibri"/>
                <w:b/>
                <w:bCs/>
                <w:szCs w:val="22"/>
              </w:rPr>
              <w:t xml:space="preserve">9.4 Header information </w:t>
            </w:r>
            <w:bookmarkEnd w:id="29"/>
            <w:r w:rsidRPr="00F66A15">
              <w:rPr>
                <w:rFonts w:eastAsia="Calibri"/>
                <w:b/>
                <w:bCs/>
                <w:szCs w:val="22"/>
              </w:rPr>
              <w:t>service</w:t>
            </w:r>
          </w:p>
          <w:p w:rsidR="00F66A15" w:rsidRPr="00F66A15" w:rsidRDefault="00F66A15" w:rsidP="00F66A15">
            <w:pPr>
              <w:tabs>
                <w:tab w:val="left" w:pos="0"/>
              </w:tabs>
              <w:ind w:left="0" w:firstLine="0"/>
              <w:rPr>
                <w:rFonts w:eastAsia="Calibri"/>
                <w:bCs/>
                <w:szCs w:val="22"/>
              </w:rPr>
            </w:pPr>
            <w:r w:rsidRPr="00F66A15">
              <w:rPr>
                <w:rFonts w:eastAsia="Calibri"/>
                <w:bCs/>
                <w:szCs w:val="22"/>
              </w:rPr>
              <w:t>The header frames in IEEE C37.118.2 are intended to provide information in human readable form.</w:t>
            </w:r>
          </w:p>
          <w:p w:rsidR="00F66A15" w:rsidRPr="00F66A15" w:rsidRDefault="00F66A15" w:rsidP="00F66A15">
            <w:pPr>
              <w:tabs>
                <w:tab w:val="left" w:pos="0"/>
              </w:tabs>
              <w:ind w:left="0" w:firstLine="0"/>
              <w:rPr>
                <w:rFonts w:eastAsia="Calibri"/>
                <w:bCs/>
                <w:szCs w:val="22"/>
              </w:rPr>
            </w:pPr>
            <w:r w:rsidRPr="00F66A15">
              <w:rPr>
                <w:rFonts w:eastAsia="Calibri"/>
                <w:bCs/>
                <w:szCs w:val="22"/>
              </w:rPr>
              <w:t>The defined semantics of the data in IEC 61850 provide a high  degree  of  readability  for human users that are familiar with the concept.</w:t>
            </w:r>
          </w:p>
          <w:p w:rsidR="00F66A15" w:rsidRPr="00F66A15" w:rsidRDefault="00F66A15" w:rsidP="00F66A15">
            <w:pPr>
              <w:tabs>
                <w:tab w:val="left" w:pos="0"/>
              </w:tabs>
              <w:ind w:left="0" w:firstLine="0"/>
              <w:rPr>
                <w:rFonts w:eastAsia="Calibri"/>
                <w:bCs/>
                <w:szCs w:val="22"/>
              </w:rPr>
            </w:pPr>
            <w:r w:rsidRPr="00F66A15">
              <w:rPr>
                <w:rFonts w:eastAsia="Calibri"/>
                <w:bCs/>
                <w:szCs w:val="22"/>
              </w:rPr>
              <w:lastRenderedPageBreak/>
              <w:t>Additional description attributes ("d" and dU") can be used to provide further  information on  the data attributes. This depends on the implementation of the data model. These attributes reside under the functional constraint "DC" (description).</w:t>
            </w:r>
          </w:p>
          <w:p w:rsidR="00F66A15" w:rsidRPr="00F66A15" w:rsidRDefault="00F66A15" w:rsidP="00F66A15">
            <w:pPr>
              <w:tabs>
                <w:tab w:val="left" w:pos="0"/>
              </w:tabs>
              <w:ind w:left="0" w:firstLine="0"/>
              <w:rPr>
                <w:rFonts w:eastAsia="Calibri"/>
                <w:bCs/>
                <w:szCs w:val="22"/>
              </w:rPr>
            </w:pPr>
            <w:r w:rsidRPr="00F66A15">
              <w:rPr>
                <w:rFonts w:eastAsia="Calibri"/>
                <w:bCs/>
                <w:szCs w:val="22"/>
              </w:rPr>
              <w:t>The access methods to the description data are the same as for the other configuration data.</w:t>
            </w:r>
          </w:p>
          <w:p w:rsidR="00F66A15" w:rsidRPr="00F66A15" w:rsidRDefault="00F66A15" w:rsidP="00F66A15">
            <w:pPr>
              <w:tabs>
                <w:tab w:val="left" w:pos="0"/>
              </w:tabs>
              <w:ind w:left="0" w:firstLine="0"/>
              <w:rPr>
                <w:rFonts w:eastAsia="Calibri"/>
                <w:bCs/>
                <w:szCs w:val="22"/>
              </w:rPr>
            </w:pPr>
            <w:r w:rsidRPr="00F66A15">
              <w:rPr>
                <w:rFonts w:eastAsia="Calibri"/>
                <w:bCs/>
                <w:szCs w:val="22"/>
              </w:rPr>
              <w:t>No special methods need to be defined to resemble the function of the header frames.</w:t>
            </w:r>
          </w:p>
          <w:p w:rsidR="00F66A15" w:rsidRPr="00F66A15" w:rsidRDefault="00F66A15" w:rsidP="00F66A15">
            <w:pPr>
              <w:tabs>
                <w:tab w:val="left" w:pos="0"/>
              </w:tabs>
              <w:ind w:left="0" w:firstLine="0"/>
              <w:rPr>
                <w:rFonts w:eastAsia="Calibri"/>
                <w:b/>
                <w:bCs/>
                <w:szCs w:val="22"/>
              </w:rPr>
            </w:pPr>
            <w:bookmarkStart w:id="30" w:name="_TOC_250037"/>
            <w:r w:rsidRPr="00F66A15">
              <w:rPr>
                <w:rFonts w:eastAsia="Calibri"/>
                <w:b/>
                <w:bCs/>
                <w:szCs w:val="22"/>
              </w:rPr>
              <w:t xml:space="preserve">9.5 Data transmission </w:t>
            </w:r>
            <w:bookmarkEnd w:id="30"/>
            <w:r w:rsidRPr="00F66A15">
              <w:rPr>
                <w:rFonts w:eastAsia="Calibri"/>
                <w:b/>
                <w:bCs/>
                <w:szCs w:val="22"/>
              </w:rPr>
              <w:t>service</w:t>
            </w:r>
          </w:p>
          <w:p w:rsidR="00F66A15" w:rsidRPr="00F66A15" w:rsidRDefault="00F66A15" w:rsidP="00F66A15">
            <w:pPr>
              <w:tabs>
                <w:tab w:val="left" w:pos="0"/>
              </w:tabs>
              <w:ind w:left="0" w:firstLine="0"/>
              <w:rPr>
                <w:rFonts w:eastAsia="Calibri"/>
                <w:b/>
                <w:bCs/>
                <w:szCs w:val="22"/>
              </w:rPr>
            </w:pPr>
            <w:bookmarkStart w:id="31" w:name="_TOC_250036"/>
            <w:r w:rsidRPr="00F66A15">
              <w:rPr>
                <w:rFonts w:eastAsia="Calibri"/>
                <w:b/>
                <w:bCs/>
                <w:szCs w:val="22"/>
              </w:rPr>
              <w:t>9.5.1 G</w:t>
            </w:r>
            <w:bookmarkEnd w:id="31"/>
            <w:r w:rsidRPr="00F66A15">
              <w:rPr>
                <w:rFonts w:eastAsia="Calibri"/>
                <w:b/>
                <w:bCs/>
                <w:szCs w:val="22"/>
              </w:rPr>
              <w:t>eneral</w:t>
            </w:r>
          </w:p>
          <w:p w:rsidR="00F66A15" w:rsidRPr="00F66A15" w:rsidRDefault="00F66A15" w:rsidP="00F66A15">
            <w:pPr>
              <w:tabs>
                <w:tab w:val="left" w:pos="0"/>
              </w:tabs>
              <w:ind w:left="0" w:firstLine="0"/>
              <w:rPr>
                <w:rFonts w:eastAsia="Calibri"/>
                <w:bCs/>
                <w:szCs w:val="22"/>
              </w:rPr>
            </w:pPr>
            <w:r w:rsidRPr="00F66A15">
              <w:rPr>
                <w:rFonts w:eastAsia="Calibri"/>
                <w:bCs/>
                <w:szCs w:val="22"/>
              </w:rPr>
              <w:t>This shall be the equivalent to the functions performed by the data frames.</w:t>
            </w:r>
          </w:p>
          <w:p w:rsidR="00F66A15" w:rsidRPr="00F66A15" w:rsidRDefault="00F66A15" w:rsidP="00F66A15">
            <w:pPr>
              <w:tabs>
                <w:tab w:val="left" w:pos="0"/>
              </w:tabs>
              <w:ind w:left="0" w:firstLine="0"/>
              <w:rPr>
                <w:rFonts w:eastAsia="Calibri"/>
                <w:b/>
                <w:bCs/>
                <w:szCs w:val="22"/>
              </w:rPr>
            </w:pPr>
            <w:bookmarkStart w:id="32" w:name="_TOC_250035"/>
            <w:r w:rsidRPr="00F66A15">
              <w:rPr>
                <w:rFonts w:eastAsia="Calibri"/>
                <w:b/>
                <w:bCs/>
                <w:szCs w:val="22"/>
              </w:rPr>
              <w:t>9.5.2 G</w:t>
            </w:r>
            <w:bookmarkEnd w:id="32"/>
            <w:r w:rsidRPr="00F66A15">
              <w:rPr>
                <w:rFonts w:eastAsia="Calibri"/>
                <w:b/>
                <w:bCs/>
                <w:szCs w:val="22"/>
              </w:rPr>
              <w:t>eneral</w:t>
            </w:r>
          </w:p>
          <w:p w:rsidR="00F66A15" w:rsidRPr="00F66A15" w:rsidRDefault="00F66A15" w:rsidP="00F66A15">
            <w:pPr>
              <w:tabs>
                <w:tab w:val="left" w:pos="0"/>
              </w:tabs>
              <w:ind w:left="0" w:firstLine="0"/>
              <w:rPr>
                <w:rFonts w:eastAsia="Calibri"/>
                <w:bCs/>
                <w:szCs w:val="22"/>
              </w:rPr>
            </w:pPr>
            <w:r w:rsidRPr="00F66A15">
              <w:rPr>
                <w:rFonts w:eastAsia="Calibri"/>
                <w:bCs/>
                <w:szCs w:val="22"/>
              </w:rPr>
              <w:t>IEEE C37.118.2 allows RS-232 serial or a UDP or TCP protocol for the  transmission of  the data frames, which hold the actual synchrophasor data. RS-232 is becoming less used  in favour of networks, so only network communication will be addressed here. UDP and TCP protocols are in any case IP-based and therefore routable. This  property of  being routable  over wide area IP networks is necessary and suited for a protocol to be  used  with for  wide area applications, where PMUs are applied.</w:t>
            </w:r>
          </w:p>
          <w:p w:rsidR="00F66A15" w:rsidRPr="00F66A15" w:rsidRDefault="00F66A15" w:rsidP="00F66A15">
            <w:pPr>
              <w:tabs>
                <w:tab w:val="left" w:pos="0"/>
              </w:tabs>
              <w:ind w:left="0" w:firstLine="0"/>
              <w:rPr>
                <w:rFonts w:eastAsia="Calibri"/>
                <w:bCs/>
                <w:szCs w:val="22"/>
              </w:rPr>
            </w:pPr>
            <w:r w:rsidRPr="00F66A15">
              <w:rPr>
                <w:rFonts w:eastAsia="Calibri"/>
                <w:bCs/>
                <w:szCs w:val="22"/>
              </w:rPr>
              <w:t>For data with periodic transmission, IEC 61850 provides the sampled value service.</w:t>
            </w:r>
          </w:p>
          <w:p w:rsidR="00F66A15" w:rsidRPr="00F66A15" w:rsidRDefault="00F66A15" w:rsidP="00F66A15">
            <w:pPr>
              <w:tabs>
                <w:tab w:val="left" w:pos="0"/>
              </w:tabs>
              <w:ind w:left="0" w:firstLine="0"/>
              <w:rPr>
                <w:rFonts w:eastAsia="Calibri"/>
                <w:bCs/>
                <w:szCs w:val="22"/>
              </w:rPr>
            </w:pPr>
            <w:r w:rsidRPr="00F66A15">
              <w:rPr>
                <w:rFonts w:eastAsia="Calibri"/>
                <w:bCs/>
                <w:szCs w:val="22"/>
              </w:rPr>
              <w:t>As described in IEC 61850-9-2, this is a layer two protocol, mainly intended for applications within a substation. As a layer two protocol, it is not routable and therefore not suited for wide area applications.</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The remarks in IEC/TR 61850-90-1 on Synchrophasors (Subclause 5.1.1) are an approach for exchanging the sampled values between substations, but this is not </w:t>
            </w:r>
            <w:r w:rsidRPr="00F66A15">
              <w:rPr>
                <w:rFonts w:eastAsia="Calibri"/>
                <w:bCs/>
                <w:szCs w:val="22"/>
              </w:rPr>
              <w:lastRenderedPageBreak/>
              <w:t>really a useful option solution for synchrophasor applications.</w:t>
            </w:r>
          </w:p>
          <w:p w:rsidR="00F66A15" w:rsidRPr="00F66A15" w:rsidRDefault="00F66A15" w:rsidP="00F66A15">
            <w:pPr>
              <w:tabs>
                <w:tab w:val="left" w:pos="0"/>
              </w:tabs>
              <w:ind w:left="0" w:firstLine="0"/>
              <w:rPr>
                <w:rFonts w:eastAsia="Calibri"/>
                <w:bCs/>
                <w:szCs w:val="22"/>
              </w:rPr>
            </w:pPr>
            <w:r w:rsidRPr="00F66A15">
              <w:rPr>
                <w:rFonts w:eastAsia="Calibri"/>
                <w:bCs/>
                <w:szCs w:val="22"/>
              </w:rPr>
              <w:t>As far as the TCP option is concerned, IEC 61850 reporting would be an option. It would be imaginable to use integrity reports (with some additional definitions on how data are retrieved and synchronized with the integrity period) for the periodic transmission of  the data. But as   the applications show, the TCP option in IEEE C37.118.2 is rarely applied in real applications.</w:t>
            </w:r>
          </w:p>
          <w:p w:rsidR="00F66A15" w:rsidRPr="00F66A15" w:rsidRDefault="00F66A15" w:rsidP="00F66A15">
            <w:pPr>
              <w:tabs>
                <w:tab w:val="left" w:pos="0"/>
              </w:tabs>
              <w:ind w:left="0" w:firstLine="0"/>
              <w:rPr>
                <w:rFonts w:eastAsia="Calibri"/>
                <w:bCs/>
                <w:szCs w:val="22"/>
              </w:rPr>
            </w:pPr>
            <w:r w:rsidRPr="00F66A15">
              <w:rPr>
                <w:rFonts w:eastAsia="Calibri"/>
                <w:bCs/>
                <w:szCs w:val="22"/>
              </w:rPr>
              <w:t>For obvious reasons, the bulk of the applications transfer the data frames using UDP, and this document focuses on providing an IEC 61850 mechanism exactly for this case.</w:t>
            </w:r>
          </w:p>
          <w:p w:rsidR="00F66A15" w:rsidRPr="00F66A15" w:rsidRDefault="00F66A15" w:rsidP="00F66A15">
            <w:pPr>
              <w:tabs>
                <w:tab w:val="left" w:pos="0"/>
              </w:tabs>
              <w:ind w:left="0" w:firstLine="0"/>
              <w:rPr>
                <w:rFonts w:eastAsia="Calibri"/>
                <w:b/>
                <w:bCs/>
                <w:szCs w:val="22"/>
              </w:rPr>
            </w:pPr>
            <w:bookmarkStart w:id="33" w:name="_TOC_250034"/>
            <w:r w:rsidRPr="00F66A15">
              <w:rPr>
                <w:rFonts w:eastAsia="Calibri"/>
                <w:b/>
                <w:bCs/>
                <w:szCs w:val="22"/>
              </w:rPr>
              <w:t xml:space="preserve">9.5.3 Coding synchrophasors </w:t>
            </w:r>
            <w:bookmarkEnd w:id="33"/>
            <w:r w:rsidRPr="00F66A15">
              <w:rPr>
                <w:rFonts w:eastAsia="Calibri"/>
                <w:b/>
                <w:bCs/>
                <w:szCs w:val="22"/>
              </w:rPr>
              <w:t>data</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9.5.3.1 General</w:t>
            </w:r>
          </w:p>
          <w:p w:rsidR="00F66A15" w:rsidRPr="00F66A15" w:rsidRDefault="00F66A15" w:rsidP="00F66A15">
            <w:pPr>
              <w:tabs>
                <w:tab w:val="left" w:pos="0"/>
              </w:tabs>
              <w:ind w:left="0" w:firstLine="0"/>
              <w:rPr>
                <w:rFonts w:eastAsia="Calibri"/>
                <w:bCs/>
                <w:szCs w:val="22"/>
              </w:rPr>
            </w:pPr>
            <w:r w:rsidRPr="00F66A15">
              <w:rPr>
                <w:rFonts w:eastAsia="Calibri"/>
                <w:bCs/>
                <w:szCs w:val="22"/>
              </w:rPr>
              <w:t>For the coding of the values of datasets, there are two options possible: for GOOSE and SV. Neither of these offers the efficiencies of bytes transmitted as IEEE C37.118.2. However, certain efficiencies are available.</w:t>
            </w:r>
          </w:p>
          <w:p w:rsidR="00F66A15" w:rsidRPr="00F66A15" w:rsidRDefault="00F66A15" w:rsidP="00F66A15">
            <w:pPr>
              <w:tabs>
                <w:tab w:val="left" w:pos="0"/>
              </w:tabs>
              <w:ind w:left="0" w:firstLine="0"/>
              <w:rPr>
                <w:rFonts w:eastAsia="Calibri"/>
                <w:b/>
                <w:bCs/>
                <w:szCs w:val="22"/>
              </w:rPr>
            </w:pPr>
            <w:r w:rsidRPr="00F66A15">
              <w:rPr>
                <w:rFonts w:eastAsia="Calibri"/>
                <w:b/>
                <w:bCs/>
                <w:szCs w:val="22"/>
              </w:rPr>
              <w:t>9.5.3.2 GOOSE data coding</w:t>
            </w:r>
          </w:p>
          <w:p w:rsidR="00F66A15" w:rsidRPr="00F66A15" w:rsidRDefault="00F66A15" w:rsidP="00F66A15">
            <w:pPr>
              <w:tabs>
                <w:tab w:val="left" w:pos="0"/>
              </w:tabs>
              <w:ind w:left="0" w:firstLine="0"/>
              <w:rPr>
                <w:rFonts w:eastAsia="Calibri"/>
                <w:bCs/>
                <w:szCs w:val="22"/>
              </w:rPr>
            </w:pPr>
            <w:r w:rsidRPr="00F66A15">
              <w:rPr>
                <w:rFonts w:eastAsia="Calibri"/>
                <w:bCs/>
                <w:szCs w:val="22"/>
              </w:rPr>
              <w:t>There are two options provided for the encoding of GOOSE APDUs. One is the generic ASN.1 and the other is Fixed Length Encoding. Although neither mechanism provides any additional significant  efficiency  of  octets  transmitted,   the   Fixed   Length   encoding   option  (see IEC 61850-8-1) allows more efficient processing.</w:t>
            </w:r>
          </w:p>
          <w:p w:rsidR="00F66A15" w:rsidRPr="00F66A15" w:rsidRDefault="00F66A15" w:rsidP="00F66A15">
            <w:pPr>
              <w:tabs>
                <w:tab w:val="left" w:pos="0"/>
              </w:tabs>
              <w:ind w:left="0" w:firstLine="0"/>
              <w:rPr>
                <w:rFonts w:eastAsia="Calibri"/>
                <w:b/>
                <w:bCs/>
                <w:szCs w:val="22"/>
              </w:rPr>
            </w:pPr>
            <w:bookmarkStart w:id="34" w:name="_TOC_250033"/>
            <w:r w:rsidRPr="00F66A15">
              <w:rPr>
                <w:rFonts w:eastAsia="Calibri"/>
                <w:b/>
                <w:bCs/>
                <w:szCs w:val="22"/>
              </w:rPr>
              <w:t xml:space="preserve">9.6 Specific data </w:t>
            </w:r>
            <w:bookmarkEnd w:id="34"/>
            <w:r w:rsidRPr="00F66A15">
              <w:rPr>
                <w:rFonts w:eastAsia="Calibri"/>
                <w:b/>
                <w:bCs/>
                <w:szCs w:val="22"/>
              </w:rPr>
              <w:t>mapping</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The IEC 61850-9-2 encoding rules, for SV, are efficient and are largely optimized for byte efficiency. There is a further optimization available should the synchrophasor information be able to be conveyed in the data mapping of the UCA implementation guideline for sampled </w:t>
            </w:r>
            <w:r w:rsidRPr="00F66A15">
              <w:rPr>
                <w:rFonts w:eastAsia="Calibri"/>
                <w:bCs/>
                <w:szCs w:val="22"/>
              </w:rPr>
              <w:lastRenderedPageBreak/>
              <w:t>values (e.g. UCA User’s Group 61850-9-2LE).</w:t>
            </w:r>
          </w:p>
          <w:p w:rsidR="00F66A15" w:rsidRPr="00F66A15" w:rsidRDefault="00F66A15" w:rsidP="00F66A15">
            <w:pPr>
              <w:tabs>
                <w:tab w:val="left" w:pos="0"/>
              </w:tabs>
              <w:ind w:left="0" w:firstLine="0"/>
              <w:rPr>
                <w:rFonts w:eastAsia="Calibri"/>
                <w:b/>
                <w:bCs/>
                <w:szCs w:val="22"/>
              </w:rPr>
            </w:pPr>
            <w:bookmarkStart w:id="35" w:name="_TOC_250032"/>
            <w:r w:rsidRPr="00F66A15">
              <w:rPr>
                <w:rFonts w:eastAsia="Calibri"/>
                <w:b/>
                <w:bCs/>
                <w:szCs w:val="22"/>
              </w:rPr>
              <w:t xml:space="preserve">9.7 Common data </w:t>
            </w:r>
            <w:bookmarkEnd w:id="35"/>
            <w:r w:rsidRPr="00F66A15">
              <w:rPr>
                <w:rFonts w:eastAsia="Calibri"/>
                <w:b/>
                <w:bCs/>
                <w:szCs w:val="22"/>
              </w:rPr>
              <w:t>fields</w:t>
            </w:r>
          </w:p>
          <w:p w:rsidR="00F66A15" w:rsidRPr="00F66A15" w:rsidRDefault="00F66A15" w:rsidP="00F66A15">
            <w:pPr>
              <w:tabs>
                <w:tab w:val="left" w:pos="0"/>
              </w:tabs>
              <w:ind w:left="0" w:firstLine="0"/>
              <w:rPr>
                <w:rFonts w:eastAsia="Calibri"/>
                <w:bCs/>
                <w:szCs w:val="22"/>
              </w:rPr>
            </w:pPr>
            <w:r w:rsidRPr="00F66A15">
              <w:rPr>
                <w:rFonts w:eastAsia="Calibri"/>
                <w:bCs/>
                <w:szCs w:val="22"/>
              </w:rPr>
              <w:t>There are some data which must be present in any case to make up a useful synchrophasor protocol. These data shall be arranged at the beginning of the dataset in a defined order.</w:t>
            </w:r>
          </w:p>
          <w:p w:rsidR="00F66A15" w:rsidRPr="00F66A15" w:rsidRDefault="00F66A15" w:rsidP="00F66A15">
            <w:pPr>
              <w:tabs>
                <w:tab w:val="left" w:pos="0"/>
              </w:tabs>
              <w:ind w:left="0" w:firstLine="0"/>
              <w:rPr>
                <w:rFonts w:eastAsia="Calibri"/>
                <w:bCs/>
                <w:szCs w:val="22"/>
              </w:rPr>
            </w:pPr>
            <w:r w:rsidRPr="00F66A15">
              <w:rPr>
                <w:rFonts w:eastAsia="Calibri"/>
                <w:bCs/>
                <w:szCs w:val="22"/>
              </w:rPr>
              <w:t>These fields include, but are not limited to:</w:t>
            </w:r>
          </w:p>
          <w:p w:rsidR="00F66A15" w:rsidRPr="00F66A15" w:rsidRDefault="00F66A15" w:rsidP="00472036">
            <w:pPr>
              <w:pStyle w:val="ListParagraph"/>
              <w:numPr>
                <w:ilvl w:val="5"/>
                <w:numId w:val="22"/>
              </w:numPr>
              <w:tabs>
                <w:tab w:val="left" w:pos="0"/>
              </w:tabs>
              <w:spacing w:after="0"/>
              <w:ind w:left="0" w:firstLine="0"/>
              <w:rPr>
                <w:rFonts w:eastAsia="Calibri"/>
                <w:bCs/>
                <w:szCs w:val="22"/>
              </w:rPr>
            </w:pPr>
            <w:r w:rsidRPr="00F66A15">
              <w:rPr>
                <w:rFonts w:eastAsia="Calibri"/>
                <w:bCs/>
                <w:szCs w:val="22"/>
              </w:rPr>
              <w:t>time stamp;</w:t>
            </w:r>
          </w:p>
          <w:p w:rsidR="00F66A15" w:rsidRPr="00F66A15" w:rsidRDefault="00F66A15" w:rsidP="00472036">
            <w:pPr>
              <w:pStyle w:val="ListParagraph"/>
              <w:numPr>
                <w:ilvl w:val="5"/>
                <w:numId w:val="22"/>
              </w:numPr>
              <w:tabs>
                <w:tab w:val="left" w:pos="0"/>
              </w:tabs>
              <w:spacing w:after="0"/>
              <w:ind w:left="0" w:firstLine="0"/>
              <w:rPr>
                <w:rFonts w:eastAsia="Calibri"/>
                <w:bCs/>
                <w:szCs w:val="22"/>
              </w:rPr>
            </w:pPr>
            <w:r w:rsidRPr="00F66A15">
              <w:rPr>
                <w:rFonts w:eastAsia="Calibri"/>
                <w:bCs/>
                <w:szCs w:val="22"/>
              </w:rPr>
              <w:t>time source and synchronization status information.</w:t>
            </w:r>
          </w:p>
          <w:p w:rsidR="00F66A15" w:rsidRPr="00F66A15" w:rsidRDefault="00F66A15" w:rsidP="00F66A15">
            <w:pPr>
              <w:tabs>
                <w:tab w:val="left" w:pos="0"/>
              </w:tabs>
              <w:ind w:left="0" w:firstLine="0"/>
              <w:rPr>
                <w:rFonts w:eastAsia="Calibri"/>
                <w:b/>
                <w:bCs/>
                <w:szCs w:val="22"/>
              </w:rPr>
            </w:pPr>
            <w:bookmarkStart w:id="36" w:name="_TOC_250031"/>
            <w:r w:rsidRPr="00F66A15">
              <w:rPr>
                <w:rFonts w:eastAsia="Calibri"/>
                <w:b/>
                <w:bCs/>
                <w:szCs w:val="22"/>
              </w:rPr>
              <w:t xml:space="preserve">9.8 Time </w:t>
            </w:r>
            <w:bookmarkEnd w:id="36"/>
            <w:r w:rsidRPr="00F66A15">
              <w:rPr>
                <w:rFonts w:eastAsia="Calibri"/>
                <w:b/>
                <w:bCs/>
                <w:szCs w:val="22"/>
              </w:rPr>
              <w:t>synchronization</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UTC time is required for making synchrophasor measurements. Accuracy is dictated by the requirements specified in the IEEE Synchrophasor Measurement Standard, IEEE C37.118.1. The expected accuracy is 1 </w:t>
            </w:r>
            <w:r w:rsidRPr="00F66A15">
              <w:rPr>
                <w:rFonts w:eastAsia="Calibri"/>
                <w:bCs/>
                <w:szCs w:val="22"/>
              </w:rPr>
              <w:t xml:space="preserve">s though the measurement can meet required accuracy with a timing error of 26 </w:t>
            </w:r>
            <w:r w:rsidRPr="00F66A15">
              <w:rPr>
                <w:rFonts w:eastAsia="Calibri"/>
                <w:bCs/>
                <w:szCs w:val="22"/>
              </w:rPr>
              <w:t xml:space="preserve">s (at 60 Hz) if all other measurements are perfect. The measurement is made continuously and a  typical measurement system requires continuous time accuracy at    5 </w:t>
            </w:r>
            <w:r w:rsidRPr="00F66A15">
              <w:rPr>
                <w:rFonts w:eastAsia="Calibri"/>
                <w:bCs/>
                <w:szCs w:val="22"/>
              </w:rPr>
              <w:t>s or better. Time can be provided by any source that can deliver UTC time at the required accuracy and reliability.</w:t>
            </w:r>
          </w:p>
          <w:p w:rsidR="00F66A15" w:rsidRPr="00F66A15" w:rsidRDefault="00F66A15" w:rsidP="00F66A15">
            <w:pPr>
              <w:tabs>
                <w:tab w:val="left" w:pos="0"/>
              </w:tabs>
              <w:ind w:left="0" w:firstLine="0"/>
              <w:rPr>
                <w:rFonts w:eastAsia="Calibri"/>
                <w:b/>
                <w:bCs/>
                <w:szCs w:val="22"/>
              </w:rPr>
            </w:pPr>
            <w:bookmarkStart w:id="37" w:name="_TOC_250030"/>
            <w:r w:rsidRPr="00F66A15">
              <w:rPr>
                <w:rFonts w:eastAsia="Calibri"/>
                <w:b/>
                <w:bCs/>
                <w:szCs w:val="22"/>
              </w:rPr>
              <w:t>9.9 R</w:t>
            </w:r>
            <w:bookmarkEnd w:id="37"/>
            <w:r w:rsidRPr="00F66A15">
              <w:rPr>
                <w:rFonts w:eastAsia="Calibri"/>
                <w:b/>
                <w:bCs/>
                <w:szCs w:val="22"/>
              </w:rPr>
              <w:t>edundancy</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Based upon the use cases in Clause </w:t>
            </w:r>
            <w:hyperlink w:anchor="_bookmark0" w:history="1">
              <w:r w:rsidRPr="00F66A15">
                <w:rPr>
                  <w:rFonts w:eastAsia="Calibri"/>
                  <w:bCs/>
                  <w:szCs w:val="22"/>
                </w:rPr>
                <w:t xml:space="preserve">5, </w:t>
              </w:r>
            </w:hyperlink>
            <w:r w:rsidRPr="00F66A15">
              <w:rPr>
                <w:rFonts w:eastAsia="Calibri"/>
                <w:bCs/>
                <w:szCs w:val="22"/>
              </w:rPr>
              <w:t>there is a need to specify mechanisms for redundancy. The necessary availability of synchrophasor information for Wide Area Situational Awareness and</w:t>
            </w:r>
            <w:r w:rsidRPr="00F66A15">
              <w:rPr>
                <w:rFonts w:eastAsia="Calibri"/>
                <w:bCs/>
                <w:szCs w:val="22"/>
              </w:rPr>
              <w:tab/>
              <w:t>Control</w:t>
            </w:r>
            <w:r w:rsidRPr="00F66A15">
              <w:rPr>
                <w:rFonts w:eastAsia="Calibri"/>
                <w:bCs/>
                <w:szCs w:val="22"/>
              </w:rPr>
              <w:tab/>
              <w:t>requires</w:t>
            </w:r>
            <w:r w:rsidRPr="00F66A15">
              <w:rPr>
                <w:rFonts w:eastAsia="Calibri"/>
                <w:bCs/>
                <w:szCs w:val="22"/>
              </w:rPr>
              <w:tab/>
              <w:t>that</w:t>
            </w:r>
            <w:r w:rsidRPr="00F66A15">
              <w:rPr>
                <w:rFonts w:eastAsia="Calibri"/>
                <w:bCs/>
                <w:szCs w:val="22"/>
              </w:rPr>
              <w:tab/>
              <w:t>at</w:t>
            </w:r>
            <w:r w:rsidRPr="00F66A15">
              <w:rPr>
                <w:rFonts w:eastAsia="Calibri"/>
                <w:bCs/>
                <w:szCs w:val="22"/>
              </w:rPr>
              <w:tab/>
              <w:t>least</w:t>
            </w:r>
            <w:r w:rsidRPr="00F66A15">
              <w:rPr>
                <w:rFonts w:eastAsia="Calibri"/>
                <w:bCs/>
                <w:szCs w:val="22"/>
              </w:rPr>
              <w:tab/>
              <w:t>communication</w:t>
            </w:r>
            <w:r w:rsidRPr="00F66A15">
              <w:rPr>
                <w:rFonts w:eastAsia="Calibri"/>
                <w:bCs/>
                <w:szCs w:val="22"/>
              </w:rPr>
              <w:tab/>
              <w:t>redundancy</w:t>
            </w:r>
            <w:r w:rsidRPr="00F66A15">
              <w:rPr>
                <w:rFonts w:eastAsia="Calibri"/>
                <w:bCs/>
                <w:szCs w:val="22"/>
              </w:rPr>
              <w:tab/>
              <w:t>be</w:t>
            </w:r>
            <w:r w:rsidRPr="00F66A15">
              <w:rPr>
                <w:rFonts w:eastAsia="Calibri"/>
                <w:bCs/>
                <w:szCs w:val="22"/>
              </w:rPr>
              <w:tab/>
              <w:t>provided.</w:t>
            </w:r>
            <w:r w:rsidRPr="00F66A15">
              <w:rPr>
                <w:rFonts w:eastAsia="Calibri"/>
                <w:bCs/>
                <w:szCs w:val="22"/>
              </w:rPr>
              <w:tab/>
              <w:t>The implementation of LAN-based redundancy shall be a selected mechanism/architecture from IEC/TR 61850-90-4.</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From a wide area communication perspective (e.g. substation-to-substation, substation-to- control center, control </w:t>
            </w:r>
            <w:r w:rsidRPr="00F66A15">
              <w:rPr>
                <w:rFonts w:eastAsia="Calibri"/>
                <w:bCs/>
                <w:szCs w:val="22"/>
              </w:rPr>
              <w:lastRenderedPageBreak/>
              <w:t>center-to-control center, etc.), there are several communication system architectures that need to be considered. These architectures are discussed in the following subclauses.</w:t>
            </w:r>
          </w:p>
          <w:p w:rsidR="00F66A15" w:rsidRPr="00F66A15" w:rsidRDefault="00F66A15" w:rsidP="00F66A15">
            <w:pPr>
              <w:tabs>
                <w:tab w:val="left" w:pos="0"/>
              </w:tabs>
              <w:ind w:left="0" w:firstLine="0"/>
              <w:rPr>
                <w:rFonts w:eastAsia="Calibri"/>
                <w:bCs/>
                <w:szCs w:val="22"/>
              </w:rPr>
            </w:pPr>
            <w:r w:rsidRPr="00F66A15">
              <w:rPr>
                <w:rFonts w:eastAsia="Calibri"/>
                <w:bCs/>
                <w:szCs w:val="22"/>
              </w:rPr>
              <w:t>Communication redundancy:</w:t>
            </w:r>
          </w:p>
          <w:p w:rsidR="00F66A15" w:rsidRPr="00F66A15" w:rsidRDefault="00F66A15" w:rsidP="00F66A15">
            <w:pPr>
              <w:tabs>
                <w:tab w:val="left" w:pos="0"/>
              </w:tabs>
              <w:ind w:left="0" w:firstLine="0"/>
              <w:rPr>
                <w:rFonts w:eastAsia="Calibri"/>
                <w:bCs/>
                <w:szCs w:val="22"/>
              </w:rPr>
            </w:pPr>
            <w:r w:rsidRPr="00F66A15">
              <w:rPr>
                <w:rFonts w:eastAsia="Calibri"/>
                <w:bCs/>
                <w:szCs w:val="22"/>
              </w:rPr>
              <w:t>The architecture uses a single communication node (e.g. router, etc.) to connect to two (2) independent communication media infrastructures (e.g. T1 and Microwave or Sonet Ring with counter rotating tokens).</w:t>
            </w:r>
          </w:p>
          <w:p w:rsidR="00F66A15" w:rsidRPr="00F66A15" w:rsidRDefault="00F66A15" w:rsidP="00F66A15">
            <w:pPr>
              <w:tabs>
                <w:tab w:val="left" w:pos="0"/>
              </w:tabs>
              <w:ind w:left="0" w:firstLine="0"/>
              <w:rPr>
                <w:rFonts w:eastAsia="Calibri"/>
                <w:bCs/>
                <w:szCs w:val="22"/>
              </w:rPr>
            </w:pPr>
            <w:r w:rsidRPr="00F66A15">
              <w:rPr>
                <w:rFonts w:eastAsia="Calibri"/>
                <w:bCs/>
                <w:szCs w:val="22"/>
              </w:rPr>
              <w:t>This architecture provides redundancy protection from communication path failure.</w:t>
            </w:r>
          </w:p>
          <w:p w:rsidR="00F66A15" w:rsidRPr="00F66A15" w:rsidRDefault="00F66A15" w:rsidP="00F66A15">
            <w:pPr>
              <w:tabs>
                <w:tab w:val="left" w:pos="0"/>
              </w:tabs>
              <w:ind w:left="0" w:firstLine="0"/>
              <w:rPr>
                <w:rFonts w:eastAsia="Calibri"/>
                <w:bCs/>
                <w:szCs w:val="22"/>
              </w:rPr>
            </w:pPr>
            <w:r w:rsidRPr="00F66A15">
              <w:rPr>
                <w:rFonts w:eastAsia="Calibri"/>
                <w:bCs/>
                <w:szCs w:val="22"/>
              </w:rPr>
              <w:t>This redundancy mechanism is a system design issue and is out of the scope of  this  document.</w:t>
            </w: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r w:rsidRPr="00F66A15">
              <w:rPr>
                <w:rFonts w:eastAsia="Calibri"/>
                <w:bCs/>
                <w:szCs w:val="22"/>
              </w:rPr>
              <w:t>Multi-path delivery:</w:t>
            </w:r>
          </w:p>
          <w:p w:rsidR="00F66A15" w:rsidRPr="00F66A15" w:rsidRDefault="00F66A15" w:rsidP="00F66A15">
            <w:pPr>
              <w:tabs>
                <w:tab w:val="left" w:pos="0"/>
              </w:tabs>
              <w:ind w:left="0" w:firstLine="0"/>
              <w:rPr>
                <w:rFonts w:eastAsia="Calibri"/>
                <w:bCs/>
                <w:szCs w:val="22"/>
              </w:rPr>
            </w:pPr>
            <w:r w:rsidRPr="00F66A15">
              <w:rPr>
                <w:rFonts w:eastAsia="Calibri"/>
                <w:bCs/>
                <w:szCs w:val="22"/>
              </w:rPr>
              <w:t>The architecture uses a single communication node (e.g. router), with a single communication port, to send packets into a mesh network.</w:t>
            </w:r>
          </w:p>
          <w:p w:rsidR="00F66A15" w:rsidRPr="00F66A15" w:rsidRDefault="00F66A15" w:rsidP="00F66A15">
            <w:pPr>
              <w:tabs>
                <w:tab w:val="left" w:pos="0"/>
              </w:tabs>
              <w:ind w:left="0" w:firstLine="0"/>
              <w:rPr>
                <w:rFonts w:eastAsia="Calibri"/>
                <w:bCs/>
                <w:szCs w:val="22"/>
              </w:rPr>
            </w:pPr>
            <w:r w:rsidRPr="00F66A15">
              <w:rPr>
                <w:rFonts w:eastAsia="Calibri"/>
                <w:bCs/>
                <w:szCs w:val="22"/>
              </w:rPr>
              <w:t>The mesh network then provides parallel multi-path delivery of the packets.</w:t>
            </w:r>
          </w:p>
          <w:p w:rsidR="00F66A15" w:rsidRPr="00F66A15" w:rsidRDefault="00F66A15" w:rsidP="00F66A15">
            <w:pPr>
              <w:tabs>
                <w:tab w:val="left" w:pos="0"/>
              </w:tabs>
              <w:ind w:left="0" w:firstLine="0"/>
              <w:rPr>
                <w:rFonts w:eastAsia="Calibri"/>
                <w:bCs/>
                <w:szCs w:val="22"/>
              </w:rPr>
            </w:pPr>
            <w:r w:rsidRPr="00F66A15">
              <w:rPr>
                <w:rFonts w:eastAsia="Calibri"/>
                <w:bCs/>
                <w:szCs w:val="22"/>
              </w:rPr>
              <w:t>For the purposes of communication failure detection, it is the responsibility of the receivers of the communication profile packets, as defined in this document, to enunciate problems when the expected packets are not delivered in a timely manner or based upon protocol  expectations (e.g. GOOSE APDUs). Receivers shall mark the quality of the dataset members that have not been delivered within the appropriate time with a quality.validity of “invalid” or “questionable” and a quality.detailedQual of “oldData”.</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In the case of the profiles specified in this document, the use of multi-path delivery makes use  of IP based facilities to determine the appropriate paths. Such </w:t>
            </w:r>
            <w:r w:rsidRPr="00F66A15">
              <w:rPr>
                <w:rFonts w:eastAsia="Calibri"/>
                <w:bCs/>
                <w:szCs w:val="22"/>
              </w:rPr>
              <w:lastRenderedPageBreak/>
              <w:t>path determination shall be performed per RFC 2991. In order to provide duplicate packet delivery detection, at the receiving application the combination of source IP address and SPDU number shall be unique. Security authentication must be performed prior to duplicate packet discard.</w:t>
            </w: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
                <w:bCs/>
                <w:szCs w:val="22"/>
              </w:rPr>
            </w:pPr>
            <w:bookmarkStart w:id="38" w:name="_TOC_250029"/>
            <w:r w:rsidRPr="00F66A15">
              <w:rPr>
                <w:rFonts w:eastAsia="Calibri"/>
                <w:b/>
                <w:bCs/>
                <w:szCs w:val="22"/>
              </w:rPr>
              <w:t xml:space="preserve">10 IEC logical node modelling for synchrophasor </w:t>
            </w:r>
            <w:bookmarkEnd w:id="38"/>
            <w:r w:rsidRPr="00F66A15">
              <w:rPr>
                <w:rFonts w:eastAsia="Calibri"/>
                <w:b/>
                <w:bCs/>
                <w:szCs w:val="22"/>
              </w:rPr>
              <w:t>measurements</w:t>
            </w:r>
          </w:p>
          <w:p w:rsidR="00F66A15" w:rsidRPr="00F66A15" w:rsidRDefault="00F66A15" w:rsidP="00F66A15">
            <w:pPr>
              <w:tabs>
                <w:tab w:val="left" w:pos="0"/>
              </w:tabs>
              <w:ind w:left="0" w:firstLine="0"/>
              <w:rPr>
                <w:rFonts w:eastAsia="Calibri"/>
                <w:bCs/>
                <w:szCs w:val="22"/>
              </w:rPr>
            </w:pPr>
            <w:r w:rsidRPr="00F66A15">
              <w:rPr>
                <w:rFonts w:eastAsia="Calibri"/>
                <w:bCs/>
                <w:szCs w:val="22"/>
              </w:rPr>
              <w:t>Since this standard refers to the measurement techniques  and  filtering  requirements  of  IEEE C37.118.1, it is the semantics of the performance classes  of protection and measurement that shall be expressed.</w:t>
            </w:r>
          </w:p>
          <w:p w:rsidR="00F66A15" w:rsidRPr="00F66A15" w:rsidRDefault="00F66A15" w:rsidP="00F66A15">
            <w:pPr>
              <w:tabs>
                <w:tab w:val="left" w:pos="0"/>
              </w:tabs>
              <w:ind w:left="0" w:firstLine="0"/>
              <w:rPr>
                <w:rFonts w:eastAsia="Calibri"/>
                <w:bCs/>
                <w:szCs w:val="22"/>
              </w:rPr>
            </w:pPr>
            <w:r w:rsidRPr="00F66A15">
              <w:rPr>
                <w:rFonts w:eastAsia="Calibri"/>
                <w:bCs/>
                <w:szCs w:val="22"/>
              </w:rPr>
              <w:t>From IEEE C37.118.1 (Informative):</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"P class is  intended for applications requiring fast response; it mandates no  explicit filtering.  M class is intended for applications  which could be  adversely </w:t>
            </w:r>
            <w:r w:rsidRPr="00F66A15">
              <w:rPr>
                <w:rFonts w:eastAsia="Calibri"/>
                <w:bCs/>
                <w:szCs w:val="22"/>
              </w:rPr>
              <w:lastRenderedPageBreak/>
              <w:t>affected by aliased signals but do not require the fastest reporting speed. “</w:t>
            </w:r>
          </w:p>
          <w:p w:rsidR="00F66A15" w:rsidRPr="00F66A15" w:rsidRDefault="00F66A15" w:rsidP="00F66A15">
            <w:pPr>
              <w:tabs>
                <w:tab w:val="left" w:pos="0"/>
              </w:tabs>
              <w:ind w:left="0" w:firstLine="0"/>
              <w:rPr>
                <w:rFonts w:eastAsia="Calibri"/>
                <w:bCs/>
                <w:szCs w:val="22"/>
              </w:rPr>
            </w:pPr>
            <w:r w:rsidRPr="00F66A15">
              <w:rPr>
                <w:rFonts w:eastAsia="Calibri"/>
                <w:bCs/>
                <w:szCs w:val="22"/>
              </w:rPr>
              <w:t>This standard does not correlate signal filtering with reporting rate. Therefore, this standard defines:</w:t>
            </w:r>
          </w:p>
          <w:p w:rsidR="00F66A15" w:rsidRPr="00F66A15" w:rsidRDefault="00F66A15" w:rsidP="00472036">
            <w:pPr>
              <w:pStyle w:val="ListParagraph"/>
              <w:numPr>
                <w:ilvl w:val="5"/>
                <w:numId w:val="22"/>
              </w:numPr>
              <w:tabs>
                <w:tab w:val="left" w:pos="0"/>
              </w:tabs>
              <w:spacing w:after="0"/>
              <w:ind w:left="0" w:firstLine="0"/>
              <w:rPr>
                <w:rFonts w:eastAsia="Calibri"/>
                <w:bCs/>
                <w:szCs w:val="22"/>
              </w:rPr>
            </w:pPr>
            <w:r w:rsidRPr="00F66A15">
              <w:rPr>
                <w:rFonts w:eastAsia="Calibri"/>
                <w:bCs/>
                <w:szCs w:val="22"/>
              </w:rPr>
              <w:t>P-Class mandates no explicit signal filtering and provides the shortest signal response times,</w:t>
            </w:r>
          </w:p>
          <w:p w:rsidR="00F66A15" w:rsidRPr="00F66A15" w:rsidRDefault="00F66A15" w:rsidP="00472036">
            <w:pPr>
              <w:pStyle w:val="ListParagraph"/>
              <w:numPr>
                <w:ilvl w:val="5"/>
                <w:numId w:val="22"/>
              </w:numPr>
              <w:tabs>
                <w:tab w:val="left" w:pos="0"/>
              </w:tabs>
              <w:spacing w:after="0"/>
              <w:ind w:left="0" w:firstLine="0"/>
              <w:rPr>
                <w:rFonts w:eastAsia="Calibri"/>
                <w:bCs/>
                <w:szCs w:val="22"/>
              </w:rPr>
            </w:pPr>
            <w:r w:rsidRPr="00F66A15">
              <w:rPr>
                <w:rFonts w:eastAsia="Calibri"/>
                <w:bCs/>
                <w:szCs w:val="22"/>
              </w:rPr>
              <w:t>M-Class requires anti-alias filtering which could result in longer signal response times. The characteristics of P-Class and M-Class shall be as defined in IEEE C37.118.1.</w:t>
            </w:r>
          </w:p>
          <w:p w:rsidR="00F66A15" w:rsidRPr="00F66A15" w:rsidRDefault="00F66A15" w:rsidP="00F66A15">
            <w:pPr>
              <w:tabs>
                <w:tab w:val="left" w:pos="0"/>
              </w:tabs>
              <w:ind w:left="0" w:firstLine="0"/>
              <w:rPr>
                <w:rFonts w:eastAsia="Calibri"/>
                <w:bCs/>
                <w:szCs w:val="22"/>
              </w:rPr>
            </w:pPr>
            <w:r w:rsidRPr="00F66A15">
              <w:rPr>
                <w:rFonts w:eastAsia="Calibri"/>
                <w:bCs/>
                <w:szCs w:val="22"/>
              </w:rPr>
              <w:t xml:space="preserve">In  order to allow the construct of  P-Class and M-Class to be specified within the context of  IEC 61850, the IEC 61850-7-4 ClcMth shall be used. The set of allowed values shall be expanded as shown in </w:t>
            </w:r>
            <w:hyperlink w:anchor="_bookmark35" w:history="1">
              <w:r w:rsidRPr="00F66A15">
                <w:rPr>
                  <w:rFonts w:eastAsia="Calibri"/>
                  <w:bCs/>
                  <w:szCs w:val="22"/>
                </w:rPr>
                <w:t>Table 6.</w:t>
              </w:r>
            </w:hyperlink>
          </w:p>
          <w:p w:rsidR="00F66A15" w:rsidRPr="00F66A15" w:rsidRDefault="00F66A15" w:rsidP="00F66A15">
            <w:pPr>
              <w:tabs>
                <w:tab w:val="left" w:pos="0"/>
              </w:tabs>
              <w:ind w:left="0" w:firstLine="0"/>
              <w:rPr>
                <w:rFonts w:eastAsia="Calibri"/>
                <w:bCs/>
                <w:szCs w:val="22"/>
              </w:rPr>
            </w:pPr>
          </w:p>
          <w:p w:rsidR="00F66A15" w:rsidRPr="00F66A15" w:rsidRDefault="00F66A15" w:rsidP="00F66A15">
            <w:pPr>
              <w:tabs>
                <w:tab w:val="left" w:pos="0"/>
              </w:tabs>
              <w:ind w:left="0" w:firstLine="0"/>
              <w:rPr>
                <w:rFonts w:eastAsia="Calibri"/>
                <w:bCs/>
                <w:szCs w:val="22"/>
              </w:rPr>
            </w:pPr>
          </w:p>
        </w:tc>
      </w:tr>
    </w:tbl>
    <w:p w:rsidR="00F66A15" w:rsidRPr="004F2A61" w:rsidRDefault="00F66A15" w:rsidP="004F2A61">
      <w:pPr>
        <w:tabs>
          <w:tab w:val="left" w:pos="0"/>
        </w:tabs>
        <w:ind w:left="0" w:firstLine="0"/>
        <w:jc w:val="center"/>
        <w:rPr>
          <w:rFonts w:eastAsia="Calibri"/>
          <w:b/>
          <w:bCs/>
          <w:lang w:val="en-US"/>
        </w:rPr>
      </w:pPr>
    </w:p>
    <w:p w:rsidR="004F2A61" w:rsidRDefault="004F2A61" w:rsidP="004F2A61">
      <w:pPr>
        <w:tabs>
          <w:tab w:val="left" w:pos="0"/>
        </w:tabs>
        <w:ind w:left="0" w:firstLine="0"/>
        <w:jc w:val="center"/>
        <w:rPr>
          <w:rFonts w:eastAsia="Calibri"/>
          <w:b/>
          <w:bCs/>
          <w:lang w:val="en-US"/>
        </w:rPr>
      </w:pPr>
      <w:r w:rsidRPr="004F2A61">
        <w:rPr>
          <w:rFonts w:eastAsia="Calibri"/>
          <w:b/>
          <w:bCs/>
        </w:rPr>
        <w:t xml:space="preserve">6-р хүснэгт – Ангилал ба М-Ангилалд зөвшөөрөгддөг </w:t>
      </w:r>
      <w:r w:rsidRPr="004F2A61">
        <w:rPr>
          <w:rFonts w:eastAsia="Calibri"/>
          <w:b/>
          <w:bCs/>
          <w:lang w:val="en-US"/>
        </w:rPr>
        <w:t>CLcMth</w:t>
      </w:r>
    </w:p>
    <w:tbl>
      <w:tblPr>
        <w:tblStyle w:val="TableGrid"/>
        <w:tblW w:w="0" w:type="auto"/>
        <w:tblLook w:val="04A0" w:firstRow="1" w:lastRow="0" w:firstColumn="1" w:lastColumn="0" w:noHBand="0" w:noVBand="1"/>
      </w:tblPr>
      <w:tblGrid>
        <w:gridCol w:w="950"/>
        <w:gridCol w:w="8394"/>
      </w:tblGrid>
      <w:tr w:rsidR="004F2A61" w:rsidRPr="004F2A61" w:rsidTr="009E4499">
        <w:tc>
          <w:tcPr>
            <w:tcW w:w="562" w:type="dxa"/>
          </w:tcPr>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Default="004F2A61" w:rsidP="009E4499">
            <w:pPr>
              <w:tabs>
                <w:tab w:val="left" w:pos="0"/>
              </w:tabs>
              <w:ind w:left="0" w:firstLine="0"/>
              <w:jc w:val="center"/>
              <w:rPr>
                <w:rFonts w:eastAsia="Calibri"/>
                <w:b/>
                <w:bCs/>
                <w:sz w:val="20"/>
                <w:szCs w:val="20"/>
                <w:lang w:val="en-US"/>
              </w:rPr>
            </w:pPr>
          </w:p>
          <w:p w:rsidR="004F2A61" w:rsidRPr="004F2A61" w:rsidRDefault="004F2A61" w:rsidP="009E4499">
            <w:pPr>
              <w:tabs>
                <w:tab w:val="left" w:pos="0"/>
              </w:tabs>
              <w:ind w:left="0" w:firstLine="0"/>
              <w:jc w:val="center"/>
              <w:rPr>
                <w:rFonts w:eastAsia="Calibri"/>
                <w:b/>
                <w:bCs/>
                <w:sz w:val="20"/>
                <w:szCs w:val="20"/>
                <w:lang w:val="en-US"/>
              </w:rPr>
            </w:pPr>
            <w:r w:rsidRPr="004F2A61">
              <w:rPr>
                <w:rFonts w:eastAsia="Calibri"/>
                <w:b/>
                <w:bCs/>
                <w:sz w:val="20"/>
                <w:szCs w:val="20"/>
                <w:lang w:val="en-US"/>
              </w:rPr>
              <w:t>CLcMth</w:t>
            </w:r>
          </w:p>
        </w:tc>
        <w:tc>
          <w:tcPr>
            <w:tcW w:w="8782"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Тооцоолох арга нь аналог утгыг илэрхийлж буй Өгөгдлийн Атрибутуудыг хэрхэн тооцоолохыгзааж өгдөг. Тооцоолох арга нь өгөгдсөн логик зангилааны бүх Өгөгдлийн Объектод ижил байна.</w:t>
            </w:r>
          </w:p>
          <w:p w:rsidR="004F2A61" w:rsidRPr="004F2A61" w:rsidRDefault="004F2A61" w:rsidP="009E4499">
            <w:pPr>
              <w:tabs>
                <w:tab w:val="left" w:pos="0"/>
              </w:tabs>
              <w:ind w:left="0" w:firstLine="0"/>
              <w:rPr>
                <w:rFonts w:eastAsia="Calibri"/>
                <w:bCs/>
                <w:sz w:val="20"/>
                <w:szCs w:val="20"/>
              </w:rPr>
            </w:pPr>
            <w:r w:rsidRPr="004F2A61">
              <w:rPr>
                <w:rFonts w:eastAsia="Calibri"/>
                <w:bCs/>
                <w:sz w:val="20"/>
                <w:szCs w:val="20"/>
              </w:rPr>
              <w:t>Боломжит утгууд нь:</w:t>
            </w:r>
          </w:p>
          <w:tbl>
            <w:tblPr>
              <w:tblStyle w:val="TableGrid"/>
              <w:tblW w:w="0" w:type="auto"/>
              <w:tblLook w:val="04A0" w:firstRow="1" w:lastRow="0" w:firstColumn="1" w:lastColumn="0" w:noHBand="0" w:noVBand="1"/>
            </w:tblPr>
            <w:tblGrid>
              <w:gridCol w:w="4127"/>
              <w:gridCol w:w="4041"/>
            </w:tblGrid>
            <w:tr w:rsidR="004F2A61" w:rsidTr="004F2A61">
              <w:tc>
                <w:tcPr>
                  <w:tcW w:w="4127" w:type="dxa"/>
                </w:tcPr>
                <w:p w:rsidR="004F2A61" w:rsidRPr="00EF2D2B" w:rsidRDefault="004F2A61" w:rsidP="004F2A61">
                  <w:pPr>
                    <w:tabs>
                      <w:tab w:val="left" w:pos="0"/>
                    </w:tabs>
                    <w:spacing w:after="0"/>
                    <w:jc w:val="center"/>
                    <w:rPr>
                      <w:b/>
                      <w:sz w:val="20"/>
                      <w:shd w:val="clear" w:color="auto" w:fill="FFFFFF"/>
                    </w:rPr>
                  </w:pPr>
                  <w:r w:rsidRPr="00EF2D2B">
                    <w:rPr>
                      <w:b/>
                      <w:sz w:val="20"/>
                      <w:shd w:val="clear" w:color="auto" w:fill="FFFFFF"/>
                    </w:rPr>
                    <w:t>Утга</w:t>
                  </w:r>
                </w:p>
              </w:tc>
              <w:tc>
                <w:tcPr>
                  <w:tcW w:w="4041" w:type="dxa"/>
                </w:tcPr>
                <w:p w:rsidR="004F2A61" w:rsidRPr="00EF2D2B" w:rsidRDefault="004F2A61" w:rsidP="004F2A61">
                  <w:pPr>
                    <w:tabs>
                      <w:tab w:val="left" w:pos="0"/>
                    </w:tabs>
                    <w:spacing w:after="0"/>
                    <w:jc w:val="center"/>
                    <w:rPr>
                      <w:b/>
                      <w:sz w:val="20"/>
                      <w:shd w:val="clear" w:color="auto" w:fill="FFFFFF"/>
                    </w:rPr>
                  </w:pPr>
                  <w:r w:rsidRPr="00EF2D2B">
                    <w:rPr>
                      <w:b/>
                      <w:sz w:val="20"/>
                      <w:shd w:val="clear" w:color="auto" w:fill="FFFFFF"/>
                    </w:rPr>
                    <w:t>Тайлбар</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PRES_OR_U NKNOWN</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илүү нарийвчлалтай бодит утгуудыг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TRUE_RMS</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ньзөв дундаж квадрат язгуур (r.m.s)утгуудыг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PEAK_FUND AMENTAL</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үндсэн утгуудын оргил(peak)-ыг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RMS_FUNDA MENTAL</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үндсэн утгуудын r.m.s.-ыг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MIN</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хамгийн бага утгуудыг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lastRenderedPageBreak/>
                    <w:t>MAX</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хамгийн их утгуудыг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AVG</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дундаж утгуудыг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SDV</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стандарт хазайлтыг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PREDICTION</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урт хугацааны туршид өөрчлөгдөхийг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RATE</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 нь өмнөх утга ба бодит утгын тооцоологдсон хугацааны бодит өөрчлөлтүүдийг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P-CLASS</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f)P-ангилалд тодорхойлогдсон IEEE C37.118.1-т заасан түүвэр ба шүүлтүүрийн шинж чанартай нийцэж байгааг илтгэнэ.</w:t>
                  </w:r>
                </w:p>
              </w:tc>
            </w:tr>
            <w:tr w:rsidR="004F2A61" w:rsidTr="004F2A61">
              <w:tc>
                <w:tcPr>
                  <w:tcW w:w="4127" w:type="dxa"/>
                </w:tcPr>
                <w:p w:rsidR="004F2A61" w:rsidRPr="004F2A61" w:rsidRDefault="004F2A61" w:rsidP="004F2A61">
                  <w:pPr>
                    <w:tabs>
                      <w:tab w:val="left" w:pos="0"/>
                    </w:tabs>
                    <w:ind w:left="0" w:firstLine="0"/>
                    <w:jc w:val="center"/>
                    <w:rPr>
                      <w:rFonts w:eastAsia="Calibri"/>
                      <w:bCs/>
                      <w:sz w:val="20"/>
                      <w:szCs w:val="20"/>
                    </w:rPr>
                  </w:pPr>
                  <w:r w:rsidRPr="004F2A61">
                    <w:rPr>
                      <w:rFonts w:eastAsia="Calibri"/>
                      <w:bCs/>
                      <w:sz w:val="20"/>
                      <w:szCs w:val="20"/>
                    </w:rPr>
                    <w:t>M-CLASS</w:t>
                  </w:r>
                </w:p>
              </w:tc>
              <w:tc>
                <w:tcPr>
                  <w:tcW w:w="4041"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Бүх аналог утга (жишээ нь бүх нийтлэг атрибутуудI ба f)M-ангилалд тодорхойлогдсон IEEE C37.118.1-т заасан түүвэр ба шүүлтүүрийн шинж чанартай нийцэж байгааг илтгэнэ.</w:t>
                  </w:r>
                </w:p>
              </w:tc>
            </w:tr>
          </w:tbl>
          <w:p w:rsidR="004F2A61" w:rsidRPr="004F2A61" w:rsidRDefault="004F2A61" w:rsidP="009E4499">
            <w:pPr>
              <w:tabs>
                <w:tab w:val="left" w:pos="0"/>
              </w:tabs>
              <w:ind w:left="0" w:firstLine="0"/>
              <w:rPr>
                <w:rFonts w:eastAsia="Calibri"/>
                <w:bCs/>
                <w:sz w:val="20"/>
                <w:szCs w:val="20"/>
                <w:lang w:val="en-US"/>
              </w:rPr>
            </w:pP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Энэхүү DATA OBJECT нь нийтлэг өгөгдлийн ангиудад заасан, жишээ нь CDC MV, CMV, WYE гэх мэт статистик өгөгдлийг харуулах зорилготой бүх логик зангилаанд заавал байх ёстой.</w:t>
            </w: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ТАЙЛБАР 1 Хэрэв логик зангилааны өгөгдлийн обьектуудад өөр тооцооллын хугацаа шаардлагатай бол өөр өөр логик зангилаагаар тооцно – тооцооллын өөр хугацаатай.</w:t>
            </w:r>
          </w:p>
          <w:p w:rsidR="004F2A61" w:rsidRPr="004F2A61" w:rsidRDefault="004F2A61" w:rsidP="009E4499">
            <w:pPr>
              <w:tabs>
                <w:tab w:val="left" w:pos="0"/>
              </w:tabs>
              <w:ind w:left="0" w:firstLine="0"/>
              <w:rPr>
                <w:rFonts w:eastAsia="Calibri"/>
                <w:bCs/>
                <w:sz w:val="20"/>
                <w:szCs w:val="20"/>
              </w:rPr>
            </w:pPr>
            <w:r w:rsidRPr="004F2A61">
              <w:rPr>
                <w:rFonts w:eastAsia="Calibri"/>
                <w:bCs/>
                <w:sz w:val="20"/>
                <w:szCs w:val="20"/>
              </w:rPr>
              <w:t>ТАЙЛБАР 2 Тооцоолох алгоритм ба тооцоололд ашигласан дээжийн тоо нь хэрэгжүүлэх асуудал юм.</w:t>
            </w:r>
          </w:p>
        </w:tc>
      </w:tr>
    </w:tbl>
    <w:p w:rsidR="004F2A61" w:rsidRDefault="004F2A61" w:rsidP="004F2A61">
      <w:pPr>
        <w:tabs>
          <w:tab w:val="left" w:pos="0"/>
        </w:tabs>
        <w:ind w:left="0" w:firstLine="0"/>
        <w:jc w:val="center"/>
        <w:rPr>
          <w:rFonts w:eastAsia="Calibri"/>
          <w:b/>
          <w:bCs/>
          <w:lang w:val="en-US"/>
        </w:rPr>
      </w:pPr>
    </w:p>
    <w:p w:rsidR="004F2A61" w:rsidRDefault="004F2A61" w:rsidP="004F2A61">
      <w:pPr>
        <w:tabs>
          <w:tab w:val="left" w:pos="0"/>
        </w:tabs>
        <w:ind w:left="0" w:firstLine="0"/>
        <w:jc w:val="center"/>
        <w:rPr>
          <w:rFonts w:eastAsia="Calibri"/>
          <w:b/>
          <w:bCs/>
          <w:lang w:val="en-US"/>
        </w:rPr>
      </w:pPr>
      <w:r w:rsidRPr="00EF2D2B">
        <w:rPr>
          <w:b/>
        </w:rPr>
        <w:t>Table 6 – Extension to ClcMth to allow P-Class and</w:t>
      </w:r>
      <w:r>
        <w:rPr>
          <w:rFonts w:eastAsia="Calibri"/>
          <w:b/>
          <w:bCs/>
          <w:lang w:val="en-US"/>
        </w:rPr>
        <w:t xml:space="preserve"> M-Class</w:t>
      </w:r>
    </w:p>
    <w:tbl>
      <w:tblPr>
        <w:tblStyle w:val="TableGrid"/>
        <w:tblW w:w="0" w:type="auto"/>
        <w:tblLook w:val="04A0" w:firstRow="1" w:lastRow="0" w:firstColumn="1" w:lastColumn="0" w:noHBand="0" w:noVBand="1"/>
      </w:tblPr>
      <w:tblGrid>
        <w:gridCol w:w="950"/>
        <w:gridCol w:w="8394"/>
      </w:tblGrid>
      <w:tr w:rsidR="004F2A61" w:rsidTr="004F2A61">
        <w:tc>
          <w:tcPr>
            <w:tcW w:w="562" w:type="dxa"/>
          </w:tcPr>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Default="004F2A61" w:rsidP="004F2A61">
            <w:pPr>
              <w:tabs>
                <w:tab w:val="left" w:pos="0"/>
              </w:tabs>
              <w:ind w:left="0" w:firstLine="0"/>
              <w:jc w:val="center"/>
              <w:rPr>
                <w:rFonts w:eastAsia="Calibri"/>
                <w:b/>
                <w:bCs/>
                <w:sz w:val="20"/>
                <w:szCs w:val="20"/>
                <w:lang w:val="en-US"/>
              </w:rPr>
            </w:pPr>
          </w:p>
          <w:p w:rsidR="004F2A61" w:rsidRPr="004F2A61" w:rsidRDefault="004F2A61" w:rsidP="004F2A61">
            <w:pPr>
              <w:tabs>
                <w:tab w:val="left" w:pos="0"/>
              </w:tabs>
              <w:ind w:left="0" w:firstLine="0"/>
              <w:jc w:val="center"/>
              <w:rPr>
                <w:rFonts w:eastAsia="Calibri"/>
                <w:b/>
                <w:bCs/>
                <w:sz w:val="20"/>
                <w:szCs w:val="20"/>
                <w:lang w:val="en-US"/>
              </w:rPr>
            </w:pPr>
            <w:r w:rsidRPr="004F2A61">
              <w:rPr>
                <w:rFonts w:eastAsia="Calibri"/>
                <w:b/>
                <w:bCs/>
                <w:sz w:val="20"/>
                <w:szCs w:val="20"/>
                <w:lang w:val="en-US"/>
              </w:rPr>
              <w:t>CLcMth</w:t>
            </w:r>
          </w:p>
        </w:tc>
        <w:tc>
          <w:tcPr>
            <w:tcW w:w="8782"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lastRenderedPageBreak/>
              <w:t>The calculation method specifies how the Data Attributes that represent analogue values have</w:t>
            </w:r>
          </w:p>
          <w:p w:rsidR="004F2A61" w:rsidRDefault="004F2A61" w:rsidP="004F2A61">
            <w:pPr>
              <w:tabs>
                <w:tab w:val="left" w:pos="0"/>
              </w:tabs>
              <w:ind w:left="0" w:firstLine="0"/>
              <w:rPr>
                <w:rFonts w:eastAsia="Calibri"/>
                <w:bCs/>
                <w:sz w:val="20"/>
                <w:szCs w:val="20"/>
              </w:rPr>
            </w:pPr>
            <w:r w:rsidRPr="004F2A61">
              <w:rPr>
                <w:rFonts w:eastAsia="Calibri"/>
                <w:bCs/>
                <w:sz w:val="20"/>
                <w:szCs w:val="20"/>
              </w:rPr>
              <w:t>been calculated. The calculation method shall be the same for all Data Objects of a given logical node instance.</w:t>
            </w:r>
          </w:p>
          <w:p w:rsidR="004F2A61" w:rsidRDefault="004F2A61" w:rsidP="004F2A61">
            <w:pPr>
              <w:tabs>
                <w:tab w:val="left" w:pos="0"/>
              </w:tabs>
              <w:ind w:left="0" w:firstLine="0"/>
              <w:rPr>
                <w:rFonts w:eastAsia="Calibri"/>
                <w:bCs/>
                <w:sz w:val="20"/>
                <w:szCs w:val="20"/>
                <w:lang w:val="en-US"/>
              </w:rPr>
            </w:pPr>
            <w:r>
              <w:rPr>
                <w:rFonts w:eastAsia="Calibri"/>
                <w:bCs/>
                <w:sz w:val="20"/>
                <w:szCs w:val="20"/>
                <w:lang w:val="en-US"/>
              </w:rPr>
              <w:t>the possible values shall be:</w:t>
            </w:r>
          </w:p>
          <w:tbl>
            <w:tblPr>
              <w:tblStyle w:val="TableGrid"/>
              <w:tblW w:w="0" w:type="auto"/>
              <w:tblLook w:val="04A0" w:firstRow="1" w:lastRow="0" w:firstColumn="1" w:lastColumn="0" w:noHBand="0" w:noVBand="1"/>
            </w:tblPr>
            <w:tblGrid>
              <w:gridCol w:w="4127"/>
              <w:gridCol w:w="4041"/>
            </w:tblGrid>
            <w:tr w:rsidR="004F2A61" w:rsidTr="004F2A61">
              <w:tc>
                <w:tcPr>
                  <w:tcW w:w="4278" w:type="dxa"/>
                </w:tcPr>
                <w:p w:rsidR="004F2A61" w:rsidRPr="00EF2D2B" w:rsidRDefault="004F2A61" w:rsidP="004F2A61">
                  <w:pPr>
                    <w:tabs>
                      <w:tab w:val="left" w:pos="0"/>
                    </w:tabs>
                    <w:spacing w:after="0"/>
                    <w:jc w:val="center"/>
                    <w:rPr>
                      <w:b/>
                      <w:sz w:val="20"/>
                      <w:shd w:val="clear" w:color="auto" w:fill="FFFFFF"/>
                    </w:rPr>
                  </w:pPr>
                  <w:r w:rsidRPr="00EF2D2B">
                    <w:rPr>
                      <w:b/>
                      <w:sz w:val="20"/>
                      <w:shd w:val="clear" w:color="auto" w:fill="FFFFFF"/>
                    </w:rPr>
                    <w:t>Value</w:t>
                  </w:r>
                </w:p>
              </w:tc>
              <w:tc>
                <w:tcPr>
                  <w:tcW w:w="4278" w:type="dxa"/>
                </w:tcPr>
                <w:p w:rsidR="004F2A61" w:rsidRPr="00EF2D2B" w:rsidRDefault="004F2A61" w:rsidP="004F2A61">
                  <w:pPr>
                    <w:tabs>
                      <w:tab w:val="left" w:pos="0"/>
                    </w:tabs>
                    <w:spacing w:after="0"/>
                    <w:jc w:val="center"/>
                    <w:rPr>
                      <w:b/>
                      <w:sz w:val="20"/>
                      <w:shd w:val="clear" w:color="auto" w:fill="FFFFFF"/>
                    </w:rPr>
                  </w:pPr>
                  <w:r w:rsidRPr="00EF2D2B">
                    <w:rPr>
                      <w:b/>
                      <w:sz w:val="20"/>
                      <w:shd w:val="clear" w:color="auto" w:fill="FFFFFF"/>
                    </w:rPr>
                    <w:t>Description</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PRES_OR_U NKNOWN</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present or, more precisely, actual values.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TRUE_RMS</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true r.m.s. values.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PEAK_FUND AMENTAL</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peak fundamental values.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lastRenderedPageBreak/>
                    <w:t>RMS_FUNDA MENTAL</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w:t>
                  </w: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r.m.s. fundamental values.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MIN</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minimum values.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MAX</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maximum values.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AVG</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average values.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SDV</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standard deviation values.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PREDICTION</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long term changes over time.</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RATE</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are actual changes over time calculated with the actual value and value</w:t>
                  </w: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before.</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P-CLASS</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meet the sampling and filtering characteristics specified in</w:t>
                  </w: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IEEE C37.118.1 for P-class.</w:t>
                  </w:r>
                </w:p>
              </w:tc>
            </w:tr>
            <w:tr w:rsidR="004F2A61" w:rsidTr="004F2A61">
              <w:tc>
                <w:tcPr>
                  <w:tcW w:w="4278" w:type="dxa"/>
                </w:tcPr>
                <w:p w:rsidR="004F2A61" w:rsidRPr="00731F96" w:rsidRDefault="004F2A61" w:rsidP="004F2A61">
                  <w:pPr>
                    <w:tabs>
                      <w:tab w:val="left" w:pos="0"/>
                    </w:tabs>
                    <w:spacing w:after="0"/>
                    <w:jc w:val="center"/>
                    <w:rPr>
                      <w:sz w:val="20"/>
                      <w:shd w:val="clear" w:color="auto" w:fill="FFFFFF"/>
                    </w:rPr>
                  </w:pPr>
                  <w:r w:rsidRPr="00EF2D2B">
                    <w:rPr>
                      <w:sz w:val="20"/>
                      <w:shd w:val="clear" w:color="auto" w:fill="FFFFFF"/>
                    </w:rPr>
                    <w:t>M-CLASS</w:t>
                  </w:r>
                </w:p>
              </w:tc>
              <w:tc>
                <w:tcPr>
                  <w:tcW w:w="4278" w:type="dxa"/>
                </w:tcPr>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Indicates that all analogue values (i.e. all common attributes i and f) meet the sampling and filtering characteristics specified in</w:t>
                  </w: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IEEE C37.118.1 for M-class.</w:t>
                  </w:r>
                </w:p>
              </w:tc>
            </w:tr>
          </w:tbl>
          <w:p w:rsidR="004F2A61" w:rsidRPr="004F2A61" w:rsidRDefault="004F2A61" w:rsidP="004F2A61">
            <w:pPr>
              <w:tabs>
                <w:tab w:val="left" w:pos="0"/>
              </w:tabs>
              <w:ind w:left="0" w:firstLine="0"/>
              <w:rPr>
                <w:rFonts w:eastAsia="Calibri"/>
                <w:bCs/>
                <w:sz w:val="20"/>
                <w:szCs w:val="20"/>
                <w:lang w:val="en-US"/>
              </w:rPr>
            </w:pP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This DATA OBJECT shall be mandatory for all logical nodes that are intended to represent  statistical data, indicated by the common data classes, for example, CDC MV, CMV, WYE, etc</w:t>
            </w: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NOTE 1 If different calculation periods are required for the Data Objects of a logical node, then different logical nodes could be instantiated – with different calculation periods.</w:t>
            </w:r>
          </w:p>
          <w:p w:rsidR="004F2A61" w:rsidRPr="004F2A61" w:rsidRDefault="004F2A61" w:rsidP="004F2A61">
            <w:pPr>
              <w:tabs>
                <w:tab w:val="left" w:pos="0"/>
              </w:tabs>
              <w:ind w:left="0" w:firstLine="0"/>
              <w:rPr>
                <w:rFonts w:eastAsia="Calibri"/>
                <w:bCs/>
                <w:sz w:val="20"/>
                <w:szCs w:val="20"/>
              </w:rPr>
            </w:pPr>
            <w:r w:rsidRPr="004F2A61">
              <w:rPr>
                <w:rFonts w:eastAsia="Calibri"/>
                <w:bCs/>
                <w:sz w:val="20"/>
                <w:szCs w:val="20"/>
              </w:rPr>
              <w:t>NOTE 2 The calculation algorithm and number of samples used for the calculation is an implementation issue.</w:t>
            </w:r>
          </w:p>
        </w:tc>
      </w:tr>
    </w:tbl>
    <w:p w:rsidR="004F2A61" w:rsidRDefault="004F2A61" w:rsidP="004F2A61">
      <w:pPr>
        <w:tabs>
          <w:tab w:val="left" w:pos="0"/>
        </w:tabs>
        <w:ind w:left="0" w:firstLine="0"/>
        <w:jc w:val="center"/>
        <w:rPr>
          <w:rFonts w:eastAsia="Calibri"/>
          <w:b/>
          <w:bCs/>
          <w:lang w:val="en-US"/>
        </w:rPr>
      </w:pPr>
    </w:p>
    <w:tbl>
      <w:tblPr>
        <w:tblStyle w:val="TableGrid"/>
        <w:tblW w:w="0" w:type="auto"/>
        <w:tblLook w:val="04A0" w:firstRow="1" w:lastRow="0" w:firstColumn="1" w:lastColumn="0" w:noHBand="0" w:noVBand="1"/>
      </w:tblPr>
      <w:tblGrid>
        <w:gridCol w:w="4672"/>
        <w:gridCol w:w="4672"/>
      </w:tblGrid>
      <w:tr w:rsidR="004F2A61" w:rsidTr="004F2A61">
        <w:tc>
          <w:tcPr>
            <w:tcW w:w="4672" w:type="dxa"/>
          </w:tcPr>
          <w:p w:rsidR="004F2A61" w:rsidRPr="004F2A61" w:rsidRDefault="004F2A61" w:rsidP="004F2A61">
            <w:pPr>
              <w:tabs>
                <w:tab w:val="left" w:pos="0"/>
              </w:tabs>
              <w:ind w:left="0" w:firstLine="0"/>
              <w:rPr>
                <w:rFonts w:eastAsia="Calibri"/>
                <w:bCs/>
                <w:szCs w:val="22"/>
              </w:rPr>
            </w:pPr>
            <w:r w:rsidRPr="004F2A61">
              <w:rPr>
                <w:rFonts w:eastAsia="Calibri"/>
                <w:bCs/>
                <w:szCs w:val="22"/>
              </w:rPr>
              <w:t>Мөн LN нь M эсвэл P ангилалтай эсэхийг тодорхойлохын тулд LN угтварын сүүлчийн тэмдэгтийг ашиглахыг зөвлөж байна. Тэмдэгт нь хэмжилтийн зохих ангилалыг илэрхийлэх 'M' эсвэл 'P' байх ёстой.</w:t>
            </w:r>
          </w:p>
          <w:p w:rsidR="004F2A61" w:rsidRPr="004F2A61" w:rsidRDefault="004F2A61" w:rsidP="004F2A61">
            <w:pPr>
              <w:tabs>
                <w:tab w:val="left" w:pos="0"/>
              </w:tabs>
              <w:ind w:left="0" w:firstLine="0"/>
              <w:rPr>
                <w:rFonts w:eastAsia="Calibri"/>
                <w:bCs/>
                <w:szCs w:val="22"/>
              </w:rPr>
            </w:pPr>
            <w:r w:rsidRPr="004F2A61">
              <w:rPr>
                <w:rFonts w:eastAsia="Calibri"/>
                <w:bCs/>
                <w:szCs w:val="22"/>
              </w:rPr>
              <w:t>P-CLASS ба M-CLASS ClcMth утгуудын хувьд дараах атрибут утгууд байна.:</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lastRenderedPageBreak/>
              <w:t>ClcMod: PERIOD утгад тохируулна.</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ClcIntvTyp: MS, PER-CYCLE, эсвэл CYCLE утгууд байх ёстой.</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ClcIntvPer: Зохих ёсоор тохируулна.</w:t>
            </w:r>
          </w:p>
          <w:p w:rsidR="004F2A61" w:rsidRPr="004F2A61" w:rsidRDefault="004F2A61" w:rsidP="004F2A61">
            <w:pPr>
              <w:tabs>
                <w:tab w:val="left" w:pos="0"/>
              </w:tabs>
              <w:ind w:left="0" w:firstLine="0"/>
              <w:rPr>
                <w:rFonts w:eastAsia="Calibri"/>
                <w:b/>
                <w:bCs/>
                <w:szCs w:val="22"/>
              </w:rPr>
            </w:pPr>
            <w:r w:rsidRPr="004F2A61">
              <w:rPr>
                <w:rFonts w:eastAsia="Calibri"/>
                <w:b/>
                <w:bCs/>
                <w:szCs w:val="22"/>
              </w:rPr>
              <w:t>11 Синхрофазор профайл зураглал</w:t>
            </w:r>
          </w:p>
          <w:p w:rsidR="004F2A61" w:rsidRPr="004F2A61" w:rsidRDefault="004F2A61" w:rsidP="004F2A61">
            <w:pPr>
              <w:tabs>
                <w:tab w:val="left" w:pos="0"/>
              </w:tabs>
              <w:ind w:left="0" w:firstLine="0"/>
              <w:rPr>
                <w:rFonts w:eastAsia="Calibri"/>
                <w:b/>
                <w:bCs/>
                <w:szCs w:val="22"/>
              </w:rPr>
            </w:pPr>
            <w:r w:rsidRPr="004F2A61">
              <w:rPr>
                <w:rFonts w:eastAsia="Calibri"/>
                <w:b/>
                <w:bCs/>
                <w:szCs w:val="22"/>
              </w:rPr>
              <w:t>11.1 Ерөнхий тойм</w:t>
            </w:r>
          </w:p>
          <w:p w:rsidR="004F2A61" w:rsidRPr="004F2A61" w:rsidRDefault="004F2A61" w:rsidP="004F2A61">
            <w:pPr>
              <w:tabs>
                <w:tab w:val="left" w:pos="0"/>
              </w:tabs>
              <w:ind w:left="0" w:firstLine="0"/>
              <w:rPr>
                <w:rFonts w:eastAsia="Calibri"/>
                <w:bCs/>
                <w:szCs w:val="22"/>
              </w:rPr>
            </w:pPr>
            <w:r w:rsidRPr="004F2A61">
              <w:rPr>
                <w:rFonts w:eastAsia="Calibri"/>
                <w:bCs/>
                <w:szCs w:val="22"/>
              </w:rPr>
              <w:t>Удирдлага ба тохируулгын сервесүүд нь TCP/IP-ээр дамжуулан MMS-тэй нийтлэг IEC 61850 аргыг ашигладаг. Үүнд ямар ч өргөтгөл хийх шаардлагагүй.</w:t>
            </w:r>
          </w:p>
          <w:p w:rsidR="004F2A61" w:rsidRPr="004F2A61" w:rsidRDefault="004F2A61" w:rsidP="004F2A61">
            <w:pPr>
              <w:tabs>
                <w:tab w:val="left" w:pos="0"/>
              </w:tabs>
              <w:ind w:left="0" w:firstLine="0"/>
              <w:rPr>
                <w:rFonts w:eastAsia="Calibri"/>
                <w:bCs/>
                <w:szCs w:val="22"/>
              </w:rPr>
            </w:pPr>
            <w:r w:rsidRPr="004F2A61">
              <w:rPr>
                <w:rFonts w:eastAsia="Calibri"/>
                <w:bCs/>
                <w:szCs w:val="22"/>
              </w:rPr>
              <w:t>Өгөгдөл дамжуулахын тулд шинэ UDP зураглалыг хийх шаардлагатай. Гэсэн хэдий ч одоо байгаа GOOSE ба SV протоколуудыг өөрчлөлтгүйгээр ашиглах/нэгтгэх боломжтой байх нь зүйтэй юм.Ийнхүү одоо байгаа Этернэттэй холбогдсон GOOSE ба SV багцуудыг UDP/IP-ээр "туннел" таниулах боломжтой болсон..</w:t>
            </w:r>
          </w:p>
          <w:p w:rsidR="004F2A61" w:rsidRPr="004F2A61" w:rsidRDefault="004F2A61" w:rsidP="004F2A61">
            <w:pPr>
              <w:tabs>
                <w:tab w:val="left" w:pos="0"/>
              </w:tabs>
              <w:ind w:left="0" w:firstLine="0"/>
              <w:rPr>
                <w:rFonts w:eastAsia="Calibri"/>
                <w:bCs/>
                <w:szCs w:val="22"/>
              </w:rPr>
            </w:pPr>
            <w:r w:rsidRPr="004F2A61">
              <w:rPr>
                <w:rFonts w:eastAsia="Calibri"/>
                <w:bCs/>
                <w:szCs w:val="22"/>
              </w:rPr>
              <w:t>Зураг 22-т синхрофазорсервесийн зураглалын ерөнхий тоймыг харуулав. 9.2-т заасан сервес нь IEC 61850-8-1-т заасны дагуу клиент/серверийн A- Профайл</w:t>
            </w:r>
            <w:r w:rsidRPr="004F2A61" w:rsidDel="004B5E1C">
              <w:rPr>
                <w:rFonts w:eastAsia="Calibri"/>
                <w:bCs/>
                <w:szCs w:val="22"/>
              </w:rPr>
              <w:t xml:space="preserve"> </w:t>
            </w:r>
            <w:r w:rsidRPr="004F2A61">
              <w:rPr>
                <w:rFonts w:eastAsia="Calibri"/>
                <w:bCs/>
                <w:szCs w:val="22"/>
              </w:rPr>
              <w:t>ийг ашиглана (IEC 61850-8-1-ийн 6.2.2-р дэд хэсэг).</w:t>
            </w:r>
          </w:p>
          <w:p w:rsidR="004F2A61" w:rsidRPr="004F2A61" w:rsidRDefault="004F2A61" w:rsidP="004F2A61">
            <w:pPr>
              <w:tabs>
                <w:tab w:val="left" w:pos="0"/>
              </w:tabs>
              <w:ind w:left="0" w:firstLine="0"/>
              <w:rPr>
                <w:rFonts w:eastAsia="Calibri"/>
                <w:bCs/>
                <w:szCs w:val="22"/>
              </w:rPr>
            </w:pPr>
            <w:r w:rsidRPr="004F2A61">
              <w:rPr>
                <w:rFonts w:eastAsia="Calibri"/>
                <w:bCs/>
                <w:szCs w:val="22"/>
              </w:rPr>
              <w:t>IEEE C37.118.2 нь урсгал механизм ашиглан синхрофазорын мэдээллийг хүргэхийг дэмждэг.Энэ төрлийн мэдээллийг IEC 61850-9-2 багц болон урсгал механизмын дагуу амархан дүрсэлсэн боловч UDP/IP дээр суурилсан T-Profile-ийг ашигладаг.Хэрэглээний хэд хэдэн тохиолдлын дүн шинжилгээ хийхэд үйл явдлын удирдлагатай харилцаа холбоо (жишээлбэл, тодорхой шийдвэрлэх удирдлагын аппликейшинууд) шаардлагатай байгааг харуулж байна.Тиймээс GOOSE сервесийг дэмждэг байх шаардлагатай.</w:t>
            </w:r>
          </w:p>
        </w:tc>
        <w:tc>
          <w:tcPr>
            <w:tcW w:w="4672" w:type="dxa"/>
          </w:tcPr>
          <w:p w:rsidR="004F2A61" w:rsidRPr="004F2A61" w:rsidRDefault="004F2A61" w:rsidP="004F2A61">
            <w:pPr>
              <w:tabs>
                <w:tab w:val="left" w:pos="0"/>
              </w:tabs>
              <w:ind w:left="0" w:firstLine="0"/>
              <w:rPr>
                <w:rFonts w:eastAsia="Calibri"/>
                <w:bCs/>
                <w:szCs w:val="22"/>
              </w:rPr>
            </w:pPr>
            <w:r w:rsidRPr="004F2A61">
              <w:rPr>
                <w:rFonts w:eastAsia="Calibri"/>
                <w:bCs/>
                <w:szCs w:val="22"/>
              </w:rPr>
              <w:lastRenderedPageBreak/>
              <w:t>It is also recommended that the last character of  the LN prefix be utilized to indicate if  the LN  is M or P class. The character should be ‘M’ or ‘P’ representing the appropriate class of measurement.</w:t>
            </w:r>
          </w:p>
          <w:p w:rsidR="004F2A61" w:rsidRPr="004F2A61" w:rsidRDefault="004F2A61" w:rsidP="004F2A61">
            <w:pPr>
              <w:tabs>
                <w:tab w:val="left" w:pos="0"/>
              </w:tabs>
              <w:ind w:left="0" w:firstLine="0"/>
              <w:rPr>
                <w:rFonts w:eastAsia="Calibri"/>
                <w:bCs/>
                <w:szCs w:val="22"/>
              </w:rPr>
            </w:pPr>
            <w:r w:rsidRPr="004F2A61">
              <w:rPr>
                <w:rFonts w:eastAsia="Calibri"/>
                <w:bCs/>
                <w:szCs w:val="22"/>
              </w:rPr>
              <w:t>For P-CLASS and M-CLASS ClcMth values, the following attribute values shall be:</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lastRenderedPageBreak/>
              <w:t>ClcMod: Shall be set to a value of PERIOD.</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ClcIntvTyp: Shall be a value of MS, PER-CYCLE, or CYCLE.</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ClcIntvPer: Shall be set appropriately.</w:t>
            </w:r>
          </w:p>
          <w:p w:rsidR="004F2A61" w:rsidRPr="004F2A61" w:rsidRDefault="004F2A61" w:rsidP="004F2A61">
            <w:pPr>
              <w:tabs>
                <w:tab w:val="left" w:pos="0"/>
              </w:tabs>
              <w:ind w:left="0" w:firstLine="0"/>
              <w:rPr>
                <w:rFonts w:eastAsia="Calibri"/>
                <w:b/>
                <w:bCs/>
                <w:szCs w:val="22"/>
              </w:rPr>
            </w:pPr>
            <w:bookmarkStart w:id="39" w:name="_TOC_250028"/>
            <w:r w:rsidRPr="004F2A61">
              <w:rPr>
                <w:rFonts w:eastAsia="Calibri"/>
                <w:b/>
                <w:bCs/>
                <w:szCs w:val="22"/>
              </w:rPr>
              <w:t xml:space="preserve">11 Synchrophasor profile </w:t>
            </w:r>
            <w:bookmarkEnd w:id="39"/>
            <w:r w:rsidRPr="004F2A61">
              <w:rPr>
                <w:rFonts w:eastAsia="Calibri"/>
                <w:b/>
                <w:bCs/>
                <w:szCs w:val="22"/>
              </w:rPr>
              <w:t>mappings</w:t>
            </w:r>
          </w:p>
          <w:p w:rsidR="004F2A61" w:rsidRPr="004F2A61" w:rsidRDefault="004F2A61" w:rsidP="004F2A61">
            <w:pPr>
              <w:tabs>
                <w:tab w:val="left" w:pos="0"/>
              </w:tabs>
              <w:ind w:left="0" w:firstLine="0"/>
              <w:rPr>
                <w:rFonts w:eastAsia="Calibri"/>
                <w:b/>
                <w:bCs/>
                <w:szCs w:val="22"/>
              </w:rPr>
            </w:pPr>
            <w:bookmarkStart w:id="40" w:name="11.1_General_overview"/>
            <w:bookmarkStart w:id="41" w:name="_TOC_250027"/>
            <w:bookmarkEnd w:id="40"/>
            <w:r w:rsidRPr="004F2A61">
              <w:rPr>
                <w:rFonts w:eastAsia="Calibri"/>
                <w:b/>
                <w:bCs/>
                <w:szCs w:val="22"/>
              </w:rPr>
              <w:t xml:space="preserve">11.1 General </w:t>
            </w:r>
            <w:bookmarkEnd w:id="41"/>
            <w:r w:rsidRPr="004F2A61">
              <w:rPr>
                <w:rFonts w:eastAsia="Calibri"/>
                <w:b/>
                <w:bCs/>
                <w:szCs w:val="22"/>
              </w:rPr>
              <w:t>overview</w:t>
            </w:r>
          </w:p>
          <w:p w:rsidR="004F2A61" w:rsidRPr="004F2A61" w:rsidRDefault="004F2A61" w:rsidP="004F2A61">
            <w:pPr>
              <w:tabs>
                <w:tab w:val="left" w:pos="0"/>
              </w:tabs>
              <w:ind w:left="0" w:firstLine="0"/>
              <w:rPr>
                <w:rFonts w:eastAsia="Calibri"/>
                <w:bCs/>
                <w:szCs w:val="22"/>
              </w:rPr>
            </w:pPr>
            <w:r w:rsidRPr="004F2A61">
              <w:rPr>
                <w:rFonts w:eastAsia="Calibri"/>
                <w:bCs/>
                <w:szCs w:val="22"/>
              </w:rPr>
              <w:t>The control and configuration services use conventional IEC 61850 methods with MMS over TCP/IP. No extensions are required for this.</w:t>
            </w:r>
          </w:p>
          <w:p w:rsidR="004F2A61" w:rsidRPr="004F2A61" w:rsidRDefault="004F2A61" w:rsidP="004F2A61">
            <w:pPr>
              <w:tabs>
                <w:tab w:val="left" w:pos="0"/>
              </w:tabs>
              <w:ind w:left="0" w:firstLine="0"/>
              <w:rPr>
                <w:rFonts w:eastAsia="Calibri"/>
                <w:bCs/>
                <w:szCs w:val="22"/>
              </w:rPr>
            </w:pPr>
            <w:r w:rsidRPr="004F2A61">
              <w:rPr>
                <w:rFonts w:eastAsia="Calibri"/>
                <w:bCs/>
                <w:szCs w:val="22"/>
              </w:rPr>
              <w:t>For data transmission, new UDP mappings are required. However, it is also desirable to be able to utilize/integrate the currently existing GOOSE and SV protocols without change. Therefore, an ability to “tunnel” the currently existing Ethernet bound GOOSE and SV packets over UDP/IP have been identified.</w:t>
            </w:r>
          </w:p>
          <w:p w:rsidR="004F2A61" w:rsidRPr="004F2A61" w:rsidRDefault="00D80958" w:rsidP="004F2A61">
            <w:pPr>
              <w:tabs>
                <w:tab w:val="left" w:pos="0"/>
              </w:tabs>
              <w:ind w:left="0" w:firstLine="0"/>
              <w:rPr>
                <w:rFonts w:eastAsia="Calibri"/>
                <w:bCs/>
                <w:szCs w:val="22"/>
              </w:rPr>
            </w:pPr>
            <w:hyperlink w:anchor="_bookmark37" w:history="1">
              <w:r w:rsidR="004F2A61" w:rsidRPr="004F2A61">
                <w:rPr>
                  <w:rFonts w:eastAsia="Calibri"/>
                  <w:bCs/>
                  <w:szCs w:val="22"/>
                </w:rPr>
                <w:t xml:space="preserve">Figure 22 </w:t>
              </w:r>
            </w:hyperlink>
            <w:r w:rsidR="004F2A61" w:rsidRPr="004F2A61">
              <w:rPr>
                <w:rFonts w:eastAsia="Calibri"/>
                <w:bCs/>
                <w:szCs w:val="22"/>
              </w:rPr>
              <w:t xml:space="preserve">depicts a general overview of the mapping of Synchrophasor Services. The services identified in </w:t>
            </w:r>
            <w:hyperlink w:anchor="_bookmark26" w:history="1">
              <w:r w:rsidR="004F2A61" w:rsidRPr="004F2A61">
                <w:rPr>
                  <w:rFonts w:eastAsia="Calibri"/>
                  <w:bCs/>
                  <w:szCs w:val="22"/>
                </w:rPr>
                <w:t>9.2</w:t>
              </w:r>
            </w:hyperlink>
            <w:r w:rsidR="004F2A61" w:rsidRPr="004F2A61">
              <w:rPr>
                <w:rFonts w:eastAsia="Calibri"/>
                <w:bCs/>
                <w:szCs w:val="22"/>
              </w:rPr>
              <w:t xml:space="preserve">  will utilize  the client/server A-Profile as specified in  IEC 61850-8-1 (Subclause 6.2.2 of IEC 61850-8-1).</w:t>
            </w:r>
          </w:p>
          <w:p w:rsidR="004F2A61" w:rsidRPr="004F2A61" w:rsidRDefault="004F2A61" w:rsidP="004F2A61">
            <w:pPr>
              <w:tabs>
                <w:tab w:val="left" w:pos="0"/>
              </w:tabs>
              <w:ind w:left="0" w:firstLine="0"/>
              <w:rPr>
                <w:rFonts w:eastAsia="Calibri"/>
                <w:bCs/>
                <w:szCs w:val="22"/>
              </w:rPr>
            </w:pPr>
            <w:r w:rsidRPr="004F2A61">
              <w:rPr>
                <w:rFonts w:eastAsia="Calibri"/>
                <w:bCs/>
                <w:szCs w:val="22"/>
              </w:rPr>
              <w:t>IEEE C37.118.2 supports the delivery of synchrophasor information using a streaming mechanism. This type of information naturally maps into the IEC 61850-9-2 packet and streaming mechanisms, however utilizing a T-Profile based upon UDP/IP. Analysis of several use-cases has indicated that there is also a need for event driven communications (e.g. for certain critical control applications). Therefore, GOOSE services also need to be supported.</w:t>
            </w:r>
          </w:p>
          <w:p w:rsidR="004F2A61" w:rsidRPr="004F2A61" w:rsidRDefault="004F2A61" w:rsidP="004F2A61">
            <w:pPr>
              <w:tabs>
                <w:tab w:val="left" w:pos="0"/>
              </w:tabs>
              <w:ind w:left="0" w:firstLine="0"/>
              <w:rPr>
                <w:rFonts w:eastAsia="Calibri"/>
                <w:bCs/>
                <w:szCs w:val="22"/>
              </w:rPr>
            </w:pPr>
          </w:p>
        </w:tc>
      </w:tr>
    </w:tbl>
    <w:p w:rsidR="004F2A61" w:rsidRDefault="004F2A61" w:rsidP="004F2A61">
      <w:pPr>
        <w:tabs>
          <w:tab w:val="left" w:pos="0"/>
        </w:tabs>
        <w:ind w:left="0" w:firstLine="0"/>
        <w:jc w:val="center"/>
        <w:rPr>
          <w:rFonts w:eastAsia="Calibri"/>
          <w:b/>
          <w:bCs/>
          <w:lang w:val="en-US"/>
        </w:rPr>
      </w:pPr>
    </w:p>
    <w:p w:rsidR="004F2A61" w:rsidRDefault="004F2A61" w:rsidP="004F2A61">
      <w:pPr>
        <w:tabs>
          <w:tab w:val="left" w:pos="0"/>
        </w:tabs>
        <w:ind w:left="0" w:firstLine="0"/>
        <w:jc w:val="center"/>
        <w:rPr>
          <w:rFonts w:eastAsia="Calibri"/>
          <w:b/>
          <w:bCs/>
          <w:lang w:val="en-US"/>
        </w:rPr>
      </w:pPr>
      <w:r>
        <w:rPr>
          <w:noProof/>
          <w:lang w:val="en-US"/>
        </w:rPr>
        <w:lastRenderedPageBreak/>
        <w:drawing>
          <wp:inline distT="0" distB="0" distL="0" distR="0" wp14:anchorId="56997CD8" wp14:editId="485E0868">
            <wp:extent cx="5939790" cy="3413760"/>
            <wp:effectExtent l="0" t="0" r="381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3413760"/>
                    </a:xfrm>
                    <a:prstGeom prst="rect">
                      <a:avLst/>
                    </a:prstGeom>
                  </pic:spPr>
                </pic:pic>
              </a:graphicData>
            </a:graphic>
          </wp:inline>
        </w:drawing>
      </w:r>
    </w:p>
    <w:p w:rsidR="004F2A61" w:rsidRDefault="004F2A61" w:rsidP="004F2A61">
      <w:pPr>
        <w:tabs>
          <w:tab w:val="left" w:pos="0"/>
        </w:tabs>
        <w:ind w:left="0" w:firstLine="0"/>
        <w:jc w:val="center"/>
        <w:rPr>
          <w:rFonts w:eastAsia="Calibri"/>
          <w:b/>
          <w:bCs/>
          <w:lang w:val="en-US"/>
        </w:rPr>
      </w:pPr>
      <w:r w:rsidRPr="004F2A61">
        <w:rPr>
          <w:rFonts w:eastAsia="Calibri"/>
          <w:b/>
          <w:bCs/>
          <w:lang w:val="en-US"/>
        </w:rPr>
        <w:t>22</w:t>
      </w:r>
      <w:r>
        <w:rPr>
          <w:rFonts w:eastAsia="Calibri"/>
          <w:b/>
          <w:bCs/>
          <w:lang w:val="en-US"/>
        </w:rPr>
        <w:t>-</w:t>
      </w:r>
      <w:r>
        <w:rPr>
          <w:rFonts w:eastAsia="Calibri"/>
          <w:b/>
          <w:bCs/>
        </w:rPr>
        <w:t>р зураг</w:t>
      </w:r>
      <w:r w:rsidRPr="004F2A61">
        <w:rPr>
          <w:rFonts w:eastAsia="Calibri"/>
          <w:b/>
          <w:bCs/>
          <w:lang w:val="en-US"/>
        </w:rPr>
        <w:t xml:space="preserve"> – Ерөнхий сервесийн зураглал</w:t>
      </w:r>
    </w:p>
    <w:p w:rsidR="004F2A61" w:rsidRDefault="004F2A61" w:rsidP="004F2A61">
      <w:pPr>
        <w:tabs>
          <w:tab w:val="left" w:pos="0"/>
        </w:tabs>
        <w:ind w:left="0" w:firstLine="0"/>
        <w:jc w:val="center"/>
        <w:rPr>
          <w:rFonts w:eastAsia="Calibri"/>
          <w:b/>
          <w:bCs/>
          <w:lang w:val="en-US"/>
        </w:rPr>
      </w:pPr>
      <w:r w:rsidRPr="00EF2D2B">
        <w:rPr>
          <w:noProof/>
          <w:lang w:val="en-US"/>
        </w:rPr>
        <w:drawing>
          <wp:inline distT="0" distB="0" distL="0" distR="0" wp14:anchorId="1D27DC75" wp14:editId="1D413F96">
            <wp:extent cx="4840393" cy="2843022"/>
            <wp:effectExtent l="0" t="0" r="0" b="0"/>
            <wp:docPr id="128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64" cstate="print"/>
                    <a:stretch>
                      <a:fillRect/>
                    </a:stretch>
                  </pic:blipFill>
                  <pic:spPr>
                    <a:xfrm>
                      <a:off x="0" y="0"/>
                      <a:ext cx="4840393" cy="2843022"/>
                    </a:xfrm>
                    <a:prstGeom prst="rect">
                      <a:avLst/>
                    </a:prstGeom>
                  </pic:spPr>
                </pic:pic>
              </a:graphicData>
            </a:graphic>
          </wp:inline>
        </w:drawing>
      </w:r>
    </w:p>
    <w:p w:rsidR="004F2A61" w:rsidRDefault="004F2A61" w:rsidP="004F2A61">
      <w:pPr>
        <w:tabs>
          <w:tab w:val="left" w:pos="0"/>
        </w:tabs>
        <w:ind w:left="0" w:firstLine="0"/>
        <w:jc w:val="center"/>
        <w:rPr>
          <w:rFonts w:eastAsia="Calibri"/>
          <w:b/>
          <w:bCs/>
          <w:lang w:val="en-US"/>
        </w:rPr>
      </w:pPr>
      <w:r w:rsidRPr="004F2A61">
        <w:rPr>
          <w:rFonts w:eastAsia="Calibri"/>
          <w:b/>
          <w:bCs/>
          <w:lang w:val="en-US"/>
        </w:rPr>
        <w:t>Figure 22 – General service mappings</w:t>
      </w:r>
    </w:p>
    <w:tbl>
      <w:tblPr>
        <w:tblStyle w:val="TableGrid"/>
        <w:tblW w:w="0" w:type="auto"/>
        <w:tblLook w:val="04A0" w:firstRow="1" w:lastRow="0" w:firstColumn="1" w:lastColumn="0" w:noHBand="0" w:noVBand="1"/>
      </w:tblPr>
      <w:tblGrid>
        <w:gridCol w:w="4672"/>
        <w:gridCol w:w="4672"/>
      </w:tblGrid>
      <w:tr w:rsidR="004F2A61" w:rsidTr="004F2A61">
        <w:tc>
          <w:tcPr>
            <w:tcW w:w="4672" w:type="dxa"/>
          </w:tcPr>
          <w:p w:rsidR="004F2A61" w:rsidRPr="004F2A61" w:rsidRDefault="004F2A61" w:rsidP="004F2A61">
            <w:pPr>
              <w:tabs>
                <w:tab w:val="left" w:pos="0"/>
              </w:tabs>
              <w:ind w:left="0" w:firstLine="0"/>
              <w:rPr>
                <w:rFonts w:eastAsia="Calibri"/>
                <w:b/>
                <w:bCs/>
                <w:szCs w:val="22"/>
              </w:rPr>
            </w:pPr>
            <w:bookmarkStart w:id="42" w:name="_TOC_250026"/>
            <w:r w:rsidRPr="004F2A61">
              <w:rPr>
                <w:rFonts w:eastAsia="Calibri"/>
                <w:b/>
                <w:bCs/>
                <w:szCs w:val="22"/>
              </w:rPr>
              <w:t>11.2 A</w:t>
            </w:r>
            <w:bookmarkEnd w:id="42"/>
            <w:r w:rsidRPr="004F2A61">
              <w:rPr>
                <w:rFonts w:eastAsia="Calibri"/>
                <w:b/>
                <w:bCs/>
                <w:szCs w:val="22"/>
              </w:rPr>
              <w:t>- Профайл</w:t>
            </w:r>
            <w:r w:rsidRPr="004F2A61" w:rsidDel="004B5E1C">
              <w:rPr>
                <w:rFonts w:eastAsia="Calibri"/>
                <w:b/>
                <w:bCs/>
                <w:szCs w:val="22"/>
              </w:rPr>
              <w:t xml:space="preserve"> </w:t>
            </w:r>
            <w:r w:rsidRPr="004F2A61">
              <w:rPr>
                <w:rFonts w:eastAsia="Calibri"/>
                <w:b/>
                <w:bCs/>
                <w:szCs w:val="22"/>
              </w:rPr>
              <w:t>ууд</w:t>
            </w:r>
          </w:p>
          <w:p w:rsidR="004F2A61" w:rsidRPr="004F2A61" w:rsidRDefault="004F2A61" w:rsidP="004F2A61">
            <w:pPr>
              <w:tabs>
                <w:tab w:val="left" w:pos="0"/>
              </w:tabs>
              <w:ind w:left="0" w:firstLine="0"/>
              <w:rPr>
                <w:rFonts w:eastAsia="Calibri"/>
                <w:bCs/>
                <w:szCs w:val="22"/>
              </w:rPr>
            </w:pPr>
            <w:r w:rsidRPr="004F2A61">
              <w:rPr>
                <w:rFonts w:eastAsia="Calibri"/>
                <w:bCs/>
                <w:szCs w:val="22"/>
              </w:rPr>
              <w:t>Ерөнхийдөө A- Профайлууд нь одоогийн GOOSE ба SV Application Protocol Data Units (APDUs) -ээс бүрдэх бөгөөд энэ баримт бичигт тодорхойлсон сейшн протоколыг ашиглан хайрцаглалт буюу туннелдсэн.</w:t>
            </w:r>
          </w:p>
          <w:p w:rsidR="004F2A61" w:rsidRPr="004F2A61" w:rsidRDefault="004F2A61" w:rsidP="004F2A61">
            <w:pPr>
              <w:tabs>
                <w:tab w:val="left" w:pos="0"/>
              </w:tabs>
              <w:ind w:left="0" w:firstLine="0"/>
              <w:rPr>
                <w:rFonts w:eastAsia="Calibri"/>
                <w:bCs/>
                <w:szCs w:val="22"/>
              </w:rPr>
            </w:pPr>
            <w:r w:rsidRPr="004F2A61">
              <w:rPr>
                <w:rFonts w:eastAsia="Calibri"/>
                <w:bCs/>
                <w:szCs w:val="22"/>
              </w:rPr>
              <w:t xml:space="preserve">UDP-ийн хувьд 102 портийг дахин ашиглахын тулд RFC 1240-ийг хэрэгжүүлэх шаардлагатай; энэ нь ISO </w:t>
            </w:r>
            <w:r w:rsidRPr="004F2A61">
              <w:rPr>
                <w:rFonts w:eastAsia="Calibri"/>
                <w:bCs/>
                <w:szCs w:val="22"/>
              </w:rPr>
              <w:lastRenderedPageBreak/>
              <w:t>Холболтгүй дамжуулах хэрэгслийг мөн ашиглах ёстой гэсэн үг юм (ITU X.234).</w:t>
            </w:r>
          </w:p>
        </w:tc>
        <w:tc>
          <w:tcPr>
            <w:tcW w:w="4672" w:type="dxa"/>
          </w:tcPr>
          <w:p w:rsidR="004F2A61" w:rsidRPr="004F2A61" w:rsidRDefault="004F2A61" w:rsidP="004F2A61">
            <w:pPr>
              <w:tabs>
                <w:tab w:val="left" w:pos="0"/>
              </w:tabs>
              <w:ind w:left="0" w:firstLine="0"/>
              <w:rPr>
                <w:rFonts w:eastAsia="Calibri"/>
                <w:b/>
                <w:bCs/>
                <w:szCs w:val="22"/>
              </w:rPr>
            </w:pPr>
            <w:r w:rsidRPr="004F2A61">
              <w:rPr>
                <w:rFonts w:eastAsia="Calibri"/>
                <w:b/>
                <w:bCs/>
                <w:szCs w:val="22"/>
              </w:rPr>
              <w:lastRenderedPageBreak/>
              <w:t>11.2 A-Profiles</w:t>
            </w:r>
          </w:p>
          <w:p w:rsidR="004F2A61" w:rsidRPr="004F2A61" w:rsidRDefault="004F2A61" w:rsidP="004F2A61">
            <w:pPr>
              <w:tabs>
                <w:tab w:val="left" w:pos="0"/>
              </w:tabs>
              <w:ind w:left="0" w:firstLine="0"/>
              <w:rPr>
                <w:rFonts w:eastAsia="Calibri"/>
                <w:bCs/>
                <w:szCs w:val="22"/>
              </w:rPr>
            </w:pPr>
            <w:r w:rsidRPr="004F2A61">
              <w:rPr>
                <w:rFonts w:eastAsia="Calibri"/>
                <w:bCs/>
                <w:szCs w:val="22"/>
              </w:rPr>
              <w:t>In general, the A-Profiles will consist of the current GOOSE and SV Application Protocol Data Units (APDUs) encapsulated or tunnelled using the session protocol that is defined in this document.</w:t>
            </w:r>
          </w:p>
          <w:p w:rsidR="004F2A61" w:rsidRPr="004F2A61" w:rsidRDefault="004F2A61" w:rsidP="004F2A61">
            <w:pPr>
              <w:tabs>
                <w:tab w:val="left" w:pos="0"/>
              </w:tabs>
              <w:ind w:left="0" w:firstLine="0"/>
              <w:rPr>
                <w:rFonts w:eastAsia="Calibri"/>
                <w:bCs/>
                <w:szCs w:val="22"/>
              </w:rPr>
            </w:pPr>
            <w:r w:rsidRPr="004F2A61">
              <w:rPr>
                <w:rFonts w:eastAsia="Calibri"/>
                <w:bCs/>
                <w:szCs w:val="22"/>
              </w:rPr>
              <w:t>In order to reuse port 102 for UDP, RFC 1240 needs to be implemented; this means that ISO Connectionless Transport must be used as well (ITU X.234).</w:t>
            </w:r>
          </w:p>
          <w:p w:rsidR="004F2A61" w:rsidRPr="004F2A61" w:rsidRDefault="004F2A61" w:rsidP="004F2A61">
            <w:pPr>
              <w:tabs>
                <w:tab w:val="left" w:pos="0"/>
              </w:tabs>
              <w:ind w:left="0" w:firstLine="0"/>
              <w:rPr>
                <w:rFonts w:eastAsia="Calibri"/>
                <w:bCs/>
                <w:szCs w:val="22"/>
              </w:rPr>
            </w:pPr>
          </w:p>
        </w:tc>
      </w:tr>
    </w:tbl>
    <w:p w:rsidR="004F2A61" w:rsidRDefault="004F2A61" w:rsidP="004F2A61">
      <w:pPr>
        <w:tabs>
          <w:tab w:val="left" w:pos="0"/>
        </w:tabs>
        <w:ind w:left="0" w:firstLine="0"/>
        <w:jc w:val="center"/>
      </w:pPr>
    </w:p>
    <w:p w:rsidR="004F2A61" w:rsidRDefault="004F2A61" w:rsidP="004F2A61">
      <w:pPr>
        <w:tabs>
          <w:tab w:val="left" w:pos="0"/>
        </w:tabs>
        <w:ind w:left="0" w:firstLine="0"/>
        <w:jc w:val="center"/>
      </w:pPr>
      <w:r w:rsidRPr="00731F96">
        <w:object w:dxaOrig="7114" w:dyaOrig="3643">
          <v:shape id="_x0000_i1072" type="#_x0000_t75" style="width:357.2pt;height:180.45pt" o:ole="">
            <v:imagedata r:id="rId65" o:title=""/>
          </v:shape>
          <o:OLEObject Type="Embed" ProgID="Visio.Drawing.11" ShapeID="_x0000_i1072" DrawAspect="Content" ObjectID="_1701177462" r:id="rId66"/>
        </w:object>
      </w:r>
    </w:p>
    <w:p w:rsidR="004F2A61" w:rsidRDefault="004F2A61" w:rsidP="004F2A61">
      <w:pPr>
        <w:tabs>
          <w:tab w:val="left" w:pos="0"/>
        </w:tabs>
        <w:jc w:val="center"/>
        <w:rPr>
          <w:b/>
        </w:rPr>
      </w:pPr>
      <w:r w:rsidRPr="00731F96">
        <w:rPr>
          <w:b/>
        </w:rPr>
        <w:t>23</w:t>
      </w:r>
      <w:r>
        <w:rPr>
          <w:b/>
        </w:rPr>
        <w:t>-р зураг</w:t>
      </w:r>
      <w:r w:rsidRPr="00731F96">
        <w:rPr>
          <w:b/>
        </w:rPr>
        <w:t xml:space="preserve"> – IEC/TR 61850-90-5 A-</w:t>
      </w:r>
      <w:r w:rsidRPr="00D33687">
        <w:t xml:space="preserve"> </w:t>
      </w:r>
      <w:r w:rsidRPr="00EF2D2B">
        <w:rPr>
          <w:b/>
        </w:rPr>
        <w:t>Профайл</w:t>
      </w:r>
      <w:r w:rsidRPr="00731F96" w:rsidDel="004B6946">
        <w:rPr>
          <w:b/>
        </w:rPr>
        <w:t xml:space="preserve"> </w:t>
      </w:r>
      <w:r>
        <w:rPr>
          <w:b/>
        </w:rPr>
        <w:t>ууд</w:t>
      </w:r>
    </w:p>
    <w:p w:rsidR="004F2A61" w:rsidRDefault="004F2A61" w:rsidP="004F2A61">
      <w:pPr>
        <w:tabs>
          <w:tab w:val="left" w:pos="0"/>
        </w:tabs>
        <w:jc w:val="center"/>
        <w:rPr>
          <w:b/>
        </w:rPr>
      </w:pPr>
    </w:p>
    <w:p w:rsidR="004F2A61" w:rsidRDefault="004F2A61" w:rsidP="004F2A61">
      <w:pPr>
        <w:tabs>
          <w:tab w:val="left" w:pos="0"/>
        </w:tabs>
        <w:jc w:val="left"/>
        <w:rPr>
          <w:b/>
        </w:rPr>
      </w:pPr>
      <w:r>
        <w:rPr>
          <w:noProof/>
          <w:lang w:val="en-US"/>
        </w:rPr>
        <w:drawing>
          <wp:inline distT="0" distB="0" distL="0" distR="0" wp14:anchorId="776C971A" wp14:editId="1BEDB736">
            <wp:extent cx="4772025" cy="2476500"/>
            <wp:effectExtent l="0" t="0" r="9525"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72025" cy="2476500"/>
                    </a:xfrm>
                    <a:prstGeom prst="rect">
                      <a:avLst/>
                    </a:prstGeom>
                  </pic:spPr>
                </pic:pic>
              </a:graphicData>
            </a:graphic>
          </wp:inline>
        </w:drawing>
      </w:r>
    </w:p>
    <w:p w:rsidR="004F2A61" w:rsidRDefault="004F2A61" w:rsidP="004F2A61">
      <w:pPr>
        <w:tabs>
          <w:tab w:val="left" w:pos="0"/>
        </w:tabs>
        <w:jc w:val="center"/>
        <w:rPr>
          <w:b/>
        </w:rPr>
      </w:pPr>
      <w:r w:rsidRPr="00731F96">
        <w:rPr>
          <w:b/>
        </w:rPr>
        <w:t>Figure 23 – IEC/TR 61850-90-5 A-Profiles</w:t>
      </w:r>
    </w:p>
    <w:p w:rsidR="004F2A61" w:rsidRDefault="004F2A61" w:rsidP="004F2A61">
      <w:pPr>
        <w:tabs>
          <w:tab w:val="left" w:pos="0"/>
        </w:tabs>
        <w:ind w:left="0" w:firstLine="0"/>
        <w:rPr>
          <w:rFonts w:eastAsia="Calibri"/>
          <w:b/>
          <w:bCs/>
          <w:lang w:val="en-US"/>
        </w:rPr>
      </w:pPr>
    </w:p>
    <w:tbl>
      <w:tblPr>
        <w:tblStyle w:val="TableGrid"/>
        <w:tblW w:w="0" w:type="auto"/>
        <w:tblLook w:val="04A0" w:firstRow="1" w:lastRow="0" w:firstColumn="1" w:lastColumn="0" w:noHBand="0" w:noVBand="1"/>
      </w:tblPr>
      <w:tblGrid>
        <w:gridCol w:w="4672"/>
        <w:gridCol w:w="4672"/>
      </w:tblGrid>
      <w:tr w:rsidR="004F2A61" w:rsidTr="004F2A61">
        <w:tc>
          <w:tcPr>
            <w:tcW w:w="4672" w:type="dxa"/>
          </w:tcPr>
          <w:p w:rsidR="004F2A61" w:rsidRPr="004F2A61" w:rsidRDefault="004F2A61" w:rsidP="004F2A61">
            <w:pPr>
              <w:tabs>
                <w:tab w:val="left" w:pos="0"/>
              </w:tabs>
              <w:ind w:left="0" w:firstLine="0"/>
              <w:rPr>
                <w:rFonts w:eastAsia="Calibri"/>
                <w:bCs/>
                <w:szCs w:val="22"/>
              </w:rPr>
            </w:pPr>
            <w:r w:rsidRPr="004F2A61">
              <w:rPr>
                <w:rFonts w:eastAsia="Calibri"/>
                <w:bCs/>
                <w:szCs w:val="22"/>
              </w:rPr>
              <w:t>Зураг 23-т синхрофазорын мэдээллийг дамжуулахад ашиглагдах хэрэглээний профайлыг (A- Профайл) харуулав. Ерөнхийдөө үүнийг ашигладаг:</w:t>
            </w:r>
          </w:p>
          <w:p w:rsidR="004F2A61" w:rsidRPr="004F2A61" w:rsidRDefault="004F2A61" w:rsidP="00472036">
            <w:pPr>
              <w:pStyle w:val="ListParagraph"/>
              <w:numPr>
                <w:ilvl w:val="0"/>
                <w:numId w:val="16"/>
              </w:numPr>
              <w:tabs>
                <w:tab w:val="left" w:pos="0"/>
              </w:tabs>
              <w:spacing w:after="0"/>
              <w:ind w:left="0" w:firstLine="0"/>
              <w:rPr>
                <w:rFonts w:eastAsia="Calibri"/>
                <w:bCs/>
                <w:szCs w:val="22"/>
              </w:rPr>
            </w:pPr>
            <w:r w:rsidRPr="004F2A61">
              <w:rPr>
                <w:rFonts w:eastAsia="Calibri"/>
                <w:bCs/>
                <w:szCs w:val="22"/>
              </w:rPr>
              <w:t>IEC 61850-8-1 GOOSE ба IEC 61850-9-2 хэрэглээнүүд ба танилцуулгын давхаргууд. Сейшн протокол нь дараахь зүйлийг агуулна:</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 xml:space="preserve">Сейшнпротоколынталаар </w:t>
            </w:r>
            <w:hyperlink w:anchor="_bookmark40" w:history="1">
              <w:r w:rsidRPr="004F2A61">
                <w:rPr>
                  <w:rFonts w:eastAsia="Calibri"/>
                  <w:bCs/>
                  <w:szCs w:val="22"/>
                </w:rPr>
                <w:t>11.3.2-д нарийвчлан авч үзсэн.</w:t>
              </w:r>
            </w:hyperlink>
            <w:r w:rsidRPr="004F2A61">
              <w:rPr>
                <w:rFonts w:eastAsia="Calibri"/>
                <w:bCs/>
                <w:szCs w:val="22"/>
              </w:rPr>
              <w:t xml:space="preserve"> Энэхүү протокол нь энэ баримт бичигт тодорхойлогдсон ашиглалтын тохиолдлуудыг хангах зэрэг </w:t>
            </w:r>
            <w:r w:rsidRPr="004F2A61">
              <w:rPr>
                <w:rFonts w:eastAsia="Calibri"/>
                <w:bCs/>
                <w:szCs w:val="22"/>
              </w:rPr>
              <w:lastRenderedPageBreak/>
              <w:t>шаардлагатай түлхүүр параметрүүдийг дамжуулахад хэрэглэгддэг.</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ITU X.234: OSI Холболтогүй Зөөвөрлөлт.</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RFC 1240: OSI UDP-ээр Холболтогүй Зөөвөрлөлт.</w:t>
            </w:r>
          </w:p>
          <w:p w:rsidR="004F2A61" w:rsidRPr="004F2A61" w:rsidRDefault="004F2A61" w:rsidP="00472036">
            <w:pPr>
              <w:pStyle w:val="ListParagraph"/>
              <w:numPr>
                <w:ilvl w:val="0"/>
                <w:numId w:val="16"/>
              </w:numPr>
              <w:tabs>
                <w:tab w:val="left" w:pos="0"/>
              </w:tabs>
              <w:spacing w:after="0"/>
              <w:ind w:left="0" w:firstLine="0"/>
              <w:rPr>
                <w:rFonts w:eastAsia="Calibri"/>
                <w:bCs/>
                <w:szCs w:val="22"/>
              </w:rPr>
            </w:pPr>
            <w:r w:rsidRPr="004F2A61">
              <w:rPr>
                <w:rFonts w:eastAsia="Calibri"/>
                <w:bCs/>
                <w:szCs w:val="22"/>
              </w:rPr>
              <w:t>RFC 3547 нь KDC функцийг хангадаг. RFC нь өргөтгөлийг стандартын дагуу хийх боломжийг олгодог. Энэхүү боломж нь IEC / TR 61850-90-5 өргөтгөлөөр хангахад ашигладаг.</w:t>
            </w:r>
          </w:p>
          <w:p w:rsidR="004F2A61" w:rsidRPr="004F2A61" w:rsidRDefault="004F2A61" w:rsidP="00472036">
            <w:pPr>
              <w:pStyle w:val="ListParagraph"/>
              <w:numPr>
                <w:ilvl w:val="0"/>
                <w:numId w:val="16"/>
              </w:numPr>
              <w:tabs>
                <w:tab w:val="left" w:pos="0"/>
              </w:tabs>
              <w:spacing w:after="0"/>
              <w:ind w:left="0" w:firstLine="0"/>
              <w:rPr>
                <w:rFonts w:eastAsia="Calibri"/>
                <w:bCs/>
                <w:szCs w:val="22"/>
              </w:rPr>
            </w:pPr>
            <w:r w:rsidRPr="004F2A61">
              <w:rPr>
                <w:rFonts w:eastAsia="Calibri"/>
                <w:bCs/>
                <w:szCs w:val="22"/>
              </w:rPr>
              <w:t>RFC 3376 нь чиглүүлэгдсэн сүлжээнд клиент захиалгыг илрүүлэхэд тулгуурлан IP multicast чиглүүлэлтийн замуулыг тохируулах боломжийг олгодог.</w:t>
            </w:r>
          </w:p>
          <w:p w:rsidR="004F2A61" w:rsidRPr="004F2A61" w:rsidRDefault="004F2A61" w:rsidP="004F2A61">
            <w:pPr>
              <w:tabs>
                <w:tab w:val="left" w:pos="0"/>
              </w:tabs>
              <w:ind w:left="0" w:firstLine="0"/>
              <w:rPr>
                <w:rFonts w:eastAsia="Calibri"/>
                <w:bCs/>
                <w:szCs w:val="22"/>
              </w:rPr>
            </w:pPr>
            <w:r w:rsidRPr="004F2A61">
              <w:rPr>
                <w:rFonts w:eastAsia="Calibri"/>
                <w:bCs/>
                <w:szCs w:val="22"/>
              </w:rPr>
              <w:t>A- Профайлууд нь 11.6-д заасан зөөвөрлөлтийн профайл (T-Profiles) -ийн аль нэгэнд холбогдоно.</w:t>
            </w:r>
          </w:p>
          <w:p w:rsidR="004F2A61" w:rsidRPr="00CE2934" w:rsidRDefault="004F2A61" w:rsidP="004F2A61">
            <w:pPr>
              <w:tabs>
                <w:tab w:val="left" w:pos="0"/>
              </w:tabs>
              <w:ind w:left="0" w:firstLine="0"/>
              <w:rPr>
                <w:rFonts w:eastAsia="Calibri"/>
                <w:b/>
                <w:bCs/>
                <w:szCs w:val="22"/>
              </w:rPr>
            </w:pPr>
            <w:r w:rsidRPr="00CE2934">
              <w:rPr>
                <w:rFonts w:eastAsia="Calibri"/>
                <w:b/>
                <w:bCs/>
                <w:szCs w:val="22"/>
              </w:rPr>
              <w:t>11.3 A- Профайл GOOSE, SV ба менежментийн A- Профайл</w:t>
            </w:r>
          </w:p>
          <w:p w:rsidR="004F2A61" w:rsidRPr="00CE2934" w:rsidRDefault="004F2A61" w:rsidP="004F2A61">
            <w:pPr>
              <w:tabs>
                <w:tab w:val="left" w:pos="0"/>
              </w:tabs>
              <w:ind w:left="0" w:firstLine="0"/>
              <w:rPr>
                <w:rFonts w:eastAsia="Calibri"/>
                <w:b/>
                <w:bCs/>
                <w:szCs w:val="22"/>
              </w:rPr>
            </w:pPr>
            <w:r w:rsidRPr="00CE2934">
              <w:rPr>
                <w:rFonts w:eastAsia="Calibri"/>
                <w:b/>
                <w:bCs/>
                <w:szCs w:val="22"/>
              </w:rPr>
              <w:t>11.3.1 Аппликейшний давхарга</w:t>
            </w:r>
          </w:p>
          <w:p w:rsidR="004F2A61" w:rsidRPr="004F2A61" w:rsidRDefault="004F2A61" w:rsidP="004F2A61">
            <w:pPr>
              <w:tabs>
                <w:tab w:val="left" w:pos="0"/>
              </w:tabs>
              <w:ind w:left="0" w:firstLine="0"/>
              <w:rPr>
                <w:rFonts w:eastAsia="Calibri"/>
                <w:bCs/>
                <w:szCs w:val="22"/>
              </w:rPr>
            </w:pPr>
            <w:r w:rsidRPr="004F2A61">
              <w:rPr>
                <w:rFonts w:eastAsia="Calibri"/>
                <w:bCs/>
                <w:szCs w:val="22"/>
              </w:rPr>
              <w:t>A- Профайл нь GOOSE ба SV-ийг IP дээр суурилсан сүлжээгээр аюулгүй найдвартай байдлаар дамжуулах боломжийг олгодог мэдээлэл дамжуулах профайлыг зааж өгдөг. Үүнийг R-GOOSE хамаарах R-SV гэж нэрлэдэг.</w:t>
            </w:r>
          </w:p>
          <w:p w:rsidR="004F2A61" w:rsidRPr="004F2A61" w:rsidRDefault="004F2A61" w:rsidP="004F2A61">
            <w:pPr>
              <w:tabs>
                <w:tab w:val="left" w:pos="0"/>
              </w:tabs>
              <w:ind w:left="0" w:firstLine="0"/>
              <w:rPr>
                <w:rFonts w:eastAsia="Calibri"/>
                <w:bCs/>
                <w:szCs w:val="22"/>
              </w:rPr>
            </w:pPr>
            <w:r w:rsidRPr="004F2A61">
              <w:rPr>
                <w:rFonts w:eastAsia="Calibri"/>
                <w:bCs/>
                <w:szCs w:val="22"/>
              </w:rPr>
              <w:t>A- Профайл нь IEC 61850-8-1 ба IEC 61850-9-2-т заасны дагуу GOOSE ба SV APDU-уудыг найдвартай, чиглүүлэгдсэн байдлаар тээвэрлэх боломжийг олгодог. Эдгээр APDU-г хамгийн бага өөрчлөлттэйгээр ашиглахыг зорьсон.</w:t>
            </w:r>
          </w:p>
          <w:p w:rsidR="004F2A61" w:rsidRPr="004F2A61" w:rsidRDefault="004F2A61" w:rsidP="004F2A61">
            <w:pPr>
              <w:tabs>
                <w:tab w:val="left" w:pos="0"/>
              </w:tabs>
              <w:ind w:left="0" w:firstLine="0"/>
              <w:rPr>
                <w:rFonts w:eastAsia="Calibri"/>
                <w:bCs/>
                <w:szCs w:val="22"/>
              </w:rPr>
            </w:pPr>
            <w:r w:rsidRPr="004F2A61">
              <w:rPr>
                <w:rFonts w:eastAsia="Calibri"/>
                <w:bCs/>
                <w:szCs w:val="22"/>
              </w:rPr>
              <w:t>Дараах дэд бүлгүүдэд IEC / TR 61850-90-5-ийн шаардлагыг биелүүлэхийн тулд GOOSE ба SV APDU-д шаардлагатай өөрчлөлтүүдийг нарийвчлан харуулав.</w:t>
            </w:r>
          </w:p>
          <w:p w:rsidR="004F2A61" w:rsidRPr="00CE2934" w:rsidRDefault="004F2A61" w:rsidP="004F2A61">
            <w:pPr>
              <w:tabs>
                <w:tab w:val="left" w:pos="0"/>
              </w:tabs>
              <w:ind w:left="0" w:firstLine="0"/>
              <w:rPr>
                <w:rFonts w:eastAsia="Calibri"/>
                <w:b/>
                <w:bCs/>
                <w:szCs w:val="22"/>
              </w:rPr>
            </w:pPr>
            <w:r w:rsidRPr="00CE2934">
              <w:rPr>
                <w:rFonts w:eastAsia="Calibri"/>
                <w:b/>
                <w:bCs/>
                <w:szCs w:val="22"/>
              </w:rPr>
              <w:t>11.3.1.1 IEC 61850-9-2-т шаардлагатай өөрчлөлтүүд</w:t>
            </w:r>
          </w:p>
          <w:p w:rsidR="004F2A61" w:rsidRPr="004F2A61" w:rsidRDefault="004F2A61" w:rsidP="004F2A61">
            <w:pPr>
              <w:tabs>
                <w:tab w:val="left" w:pos="0"/>
              </w:tabs>
              <w:ind w:left="0" w:firstLine="0"/>
              <w:rPr>
                <w:rFonts w:eastAsia="Calibri"/>
                <w:bCs/>
                <w:szCs w:val="22"/>
              </w:rPr>
            </w:pPr>
            <w:r w:rsidRPr="004F2A61">
              <w:rPr>
                <w:rFonts w:eastAsia="Calibri"/>
                <w:bCs/>
                <w:szCs w:val="22"/>
              </w:rPr>
              <w:lastRenderedPageBreak/>
              <w:t>IEC 61850-9-2-т хоёр (2) нөлөөлөл байдаг:</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Шинэ профайл (ууд) -ыг тааруулахын тулд удирдлагын блокийн өөрчлөлт шаардлагатай байна. Эдгээрийг 9.2.2.2-т баримтжуулсан болно.</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Өгөгдлийн урсгалын хувьд TimeStamp (цаг хугацааны тэмдэгт)-тэй байх шаардлагатай.</w:t>
            </w:r>
          </w:p>
          <w:p w:rsidR="004F2A61" w:rsidRPr="004F2A61" w:rsidRDefault="004F2A61" w:rsidP="004F2A61">
            <w:pPr>
              <w:tabs>
                <w:tab w:val="left" w:pos="0"/>
              </w:tabs>
              <w:ind w:left="0" w:firstLine="0"/>
              <w:rPr>
                <w:rFonts w:eastAsia="Calibri"/>
                <w:bCs/>
                <w:szCs w:val="22"/>
              </w:rPr>
            </w:pPr>
            <w:r w:rsidRPr="004F2A61">
              <w:rPr>
                <w:rFonts w:eastAsia="Calibri"/>
                <w:bCs/>
                <w:szCs w:val="22"/>
              </w:rPr>
              <w:t>Одоогийн байдлаар Түүвэрлэгдсэн Утгын мессежийн гарчиг дараахь мэдээллийг агуулж байна</w:t>
            </w:r>
          </w:p>
        </w:tc>
        <w:tc>
          <w:tcPr>
            <w:tcW w:w="4672" w:type="dxa"/>
          </w:tcPr>
          <w:p w:rsidR="004F2A61" w:rsidRPr="004F2A61" w:rsidRDefault="00D80958" w:rsidP="004F2A61">
            <w:pPr>
              <w:tabs>
                <w:tab w:val="left" w:pos="0"/>
              </w:tabs>
              <w:ind w:left="0" w:firstLine="0"/>
              <w:rPr>
                <w:rFonts w:eastAsia="Calibri"/>
                <w:bCs/>
                <w:szCs w:val="22"/>
              </w:rPr>
            </w:pPr>
            <w:hyperlink w:anchor="_bookmark38" w:history="1">
              <w:r w:rsidR="004F2A61" w:rsidRPr="004F2A61">
                <w:rPr>
                  <w:rFonts w:eastAsia="Calibri"/>
                  <w:bCs/>
                  <w:szCs w:val="22"/>
                </w:rPr>
                <w:t xml:space="preserve">Figure 23 </w:t>
              </w:r>
            </w:hyperlink>
            <w:r w:rsidR="004F2A61" w:rsidRPr="004F2A61">
              <w:rPr>
                <w:rFonts w:eastAsia="Calibri"/>
                <w:bCs/>
                <w:szCs w:val="22"/>
              </w:rPr>
              <w:t>shows the Application Profile (A-Profile) that will be used to convey synchrophasor information. In general, it uses:</w:t>
            </w:r>
          </w:p>
          <w:p w:rsidR="004F2A61" w:rsidRPr="004F2A61" w:rsidRDefault="004F2A61" w:rsidP="00472036">
            <w:pPr>
              <w:pStyle w:val="ListParagraph"/>
              <w:numPr>
                <w:ilvl w:val="0"/>
                <w:numId w:val="16"/>
              </w:numPr>
              <w:tabs>
                <w:tab w:val="left" w:pos="0"/>
              </w:tabs>
              <w:spacing w:after="0"/>
              <w:ind w:left="0" w:firstLine="0"/>
              <w:rPr>
                <w:rFonts w:eastAsia="Calibri"/>
                <w:bCs/>
                <w:szCs w:val="22"/>
              </w:rPr>
            </w:pPr>
            <w:r w:rsidRPr="004F2A61">
              <w:rPr>
                <w:rFonts w:eastAsia="Calibri"/>
                <w:bCs/>
                <w:szCs w:val="22"/>
              </w:rPr>
              <w:t>IEC 61850-8-1 GOOSE and IEC 61850-9-2 as the application and presentation layers. The session protocol consists of:</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 xml:space="preserve">a session protocol detailed in </w:t>
            </w:r>
            <w:hyperlink w:anchor="_bookmark40" w:history="1">
              <w:r w:rsidRPr="004F2A61">
                <w:rPr>
                  <w:rFonts w:eastAsia="Calibri"/>
                  <w:bCs/>
                  <w:szCs w:val="22"/>
                </w:rPr>
                <w:t>11.3.2.</w:t>
              </w:r>
            </w:hyperlink>
            <w:r w:rsidRPr="004F2A61">
              <w:rPr>
                <w:rFonts w:eastAsia="Calibri"/>
                <w:bCs/>
                <w:szCs w:val="22"/>
              </w:rPr>
              <w:t xml:space="preserve"> This protocol is used to convey key parameters that are required in order to satisfy the use cases identified in this document.</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lastRenderedPageBreak/>
              <w:t>ITU X.234: OSI Connectionless Transport.</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RFC 1240: OSI Connectionless Transport over UDP</w:t>
            </w:r>
          </w:p>
          <w:p w:rsidR="004F2A61" w:rsidRPr="004F2A61" w:rsidRDefault="004F2A61" w:rsidP="00472036">
            <w:pPr>
              <w:pStyle w:val="ListParagraph"/>
              <w:numPr>
                <w:ilvl w:val="0"/>
                <w:numId w:val="16"/>
              </w:numPr>
              <w:tabs>
                <w:tab w:val="left" w:pos="0"/>
              </w:tabs>
              <w:spacing w:after="0"/>
              <w:ind w:left="0" w:firstLine="0"/>
              <w:rPr>
                <w:rFonts w:eastAsia="Calibri"/>
                <w:bCs/>
                <w:szCs w:val="22"/>
              </w:rPr>
            </w:pPr>
            <w:r w:rsidRPr="004F2A61">
              <w:rPr>
                <w:rFonts w:eastAsia="Calibri"/>
                <w:bCs/>
                <w:szCs w:val="22"/>
              </w:rPr>
              <w:t>RFC 3547 provides the KDC function. The RFC allows extensions to occur in a  standardized manner. This capability is used to provide IEC/TR 61850-90-5 extensions.</w:t>
            </w:r>
          </w:p>
          <w:p w:rsidR="004F2A61" w:rsidRPr="004F2A61" w:rsidRDefault="004F2A61" w:rsidP="00472036">
            <w:pPr>
              <w:pStyle w:val="ListParagraph"/>
              <w:numPr>
                <w:ilvl w:val="0"/>
                <w:numId w:val="16"/>
              </w:numPr>
              <w:tabs>
                <w:tab w:val="left" w:pos="0"/>
              </w:tabs>
              <w:spacing w:after="0"/>
              <w:ind w:left="0" w:firstLine="0"/>
              <w:rPr>
                <w:rFonts w:eastAsia="Calibri"/>
                <w:bCs/>
                <w:szCs w:val="22"/>
              </w:rPr>
            </w:pPr>
            <w:r w:rsidRPr="004F2A61">
              <w:rPr>
                <w:rFonts w:eastAsia="Calibri"/>
                <w:bCs/>
                <w:szCs w:val="22"/>
              </w:rPr>
              <w:t>RFC 3376 provides the ability to have the routed networks configure IP multicast routing paths based upon detecting client subscriptions.</w:t>
            </w:r>
          </w:p>
          <w:p w:rsidR="004F2A61" w:rsidRPr="004F2A61" w:rsidRDefault="004F2A61" w:rsidP="004F2A61">
            <w:pPr>
              <w:tabs>
                <w:tab w:val="left" w:pos="0"/>
              </w:tabs>
              <w:ind w:left="0" w:firstLine="0"/>
              <w:rPr>
                <w:rFonts w:eastAsia="Calibri"/>
                <w:bCs/>
                <w:szCs w:val="22"/>
              </w:rPr>
            </w:pPr>
            <w:r w:rsidRPr="004F2A61">
              <w:rPr>
                <w:rFonts w:eastAsia="Calibri"/>
                <w:bCs/>
                <w:szCs w:val="22"/>
              </w:rPr>
              <w:t>The A-Profiles will be bound to one of the Transport Profiles (T-Profiles) specified in 11.6 .</w:t>
            </w:r>
          </w:p>
          <w:p w:rsidR="004F2A61" w:rsidRPr="00CE2934" w:rsidRDefault="004F2A61" w:rsidP="004F2A61">
            <w:pPr>
              <w:tabs>
                <w:tab w:val="left" w:pos="0"/>
              </w:tabs>
              <w:ind w:left="0" w:firstLine="0"/>
              <w:rPr>
                <w:rFonts w:eastAsia="Calibri"/>
                <w:b/>
                <w:bCs/>
                <w:szCs w:val="22"/>
              </w:rPr>
            </w:pPr>
            <w:bookmarkStart w:id="43" w:name="_TOC_250025"/>
            <w:r w:rsidRPr="00CE2934">
              <w:rPr>
                <w:rFonts w:eastAsia="Calibri"/>
                <w:b/>
                <w:bCs/>
                <w:szCs w:val="22"/>
              </w:rPr>
              <w:t xml:space="preserve">11.3 A-Profile GOOSE, SV, and management </w:t>
            </w:r>
            <w:bookmarkEnd w:id="43"/>
            <w:r w:rsidRPr="00CE2934">
              <w:rPr>
                <w:rFonts w:eastAsia="Calibri"/>
                <w:b/>
                <w:bCs/>
                <w:szCs w:val="22"/>
              </w:rPr>
              <w:t>A-Profile</w:t>
            </w:r>
          </w:p>
          <w:p w:rsidR="004F2A61" w:rsidRPr="00CE2934" w:rsidRDefault="004F2A61" w:rsidP="004F2A61">
            <w:pPr>
              <w:tabs>
                <w:tab w:val="left" w:pos="0"/>
              </w:tabs>
              <w:ind w:left="0" w:firstLine="0"/>
              <w:rPr>
                <w:rFonts w:eastAsia="Calibri"/>
                <w:b/>
                <w:bCs/>
                <w:szCs w:val="22"/>
              </w:rPr>
            </w:pPr>
            <w:bookmarkStart w:id="44" w:name="_TOC_250024"/>
            <w:r w:rsidRPr="00CE2934">
              <w:rPr>
                <w:rFonts w:eastAsia="Calibri"/>
                <w:b/>
                <w:bCs/>
                <w:szCs w:val="22"/>
              </w:rPr>
              <w:t xml:space="preserve">11.3.1 Application </w:t>
            </w:r>
            <w:bookmarkEnd w:id="44"/>
            <w:r w:rsidRPr="00CE2934">
              <w:rPr>
                <w:rFonts w:eastAsia="Calibri"/>
                <w:b/>
                <w:bCs/>
                <w:szCs w:val="22"/>
              </w:rPr>
              <w:t>layer</w:t>
            </w:r>
          </w:p>
          <w:p w:rsidR="004F2A61" w:rsidRPr="004F2A61" w:rsidRDefault="004F2A61" w:rsidP="004F2A61">
            <w:pPr>
              <w:tabs>
                <w:tab w:val="left" w:pos="0"/>
              </w:tabs>
              <w:ind w:left="0" w:firstLine="0"/>
              <w:rPr>
                <w:rFonts w:eastAsia="Calibri"/>
                <w:bCs/>
                <w:szCs w:val="22"/>
              </w:rPr>
            </w:pPr>
            <w:r w:rsidRPr="004F2A61">
              <w:rPr>
                <w:rFonts w:eastAsia="Calibri"/>
                <w:bCs/>
                <w:szCs w:val="22"/>
              </w:rPr>
              <w:t>This A-Profile specifies the communication profile that allows GOOSE and SV to  be  transported over an IP based network in a secure manner. This is called R-GOOSE respective R-SV.</w:t>
            </w:r>
          </w:p>
          <w:p w:rsidR="004F2A61" w:rsidRPr="004F2A61" w:rsidRDefault="004F2A61" w:rsidP="004F2A61">
            <w:pPr>
              <w:tabs>
                <w:tab w:val="left" w:pos="0"/>
              </w:tabs>
              <w:ind w:left="0" w:firstLine="0"/>
              <w:rPr>
                <w:rFonts w:eastAsia="Calibri"/>
                <w:bCs/>
                <w:szCs w:val="22"/>
              </w:rPr>
            </w:pPr>
            <w:r w:rsidRPr="004F2A61">
              <w:rPr>
                <w:rFonts w:eastAsia="Calibri"/>
                <w:bCs/>
                <w:szCs w:val="22"/>
              </w:rPr>
              <w:t>This  A-Profile  allows  for  the  transport  of the  GOOSE  and  SV   APDUs,  as   defined  in IEC 61850-8-1 and IEC 61850-9-2, to be sent in a secure and routable manner. It is intended that these APDUs be utilized with a minimum of changes.</w:t>
            </w:r>
          </w:p>
          <w:p w:rsidR="004F2A61" w:rsidRPr="004F2A61" w:rsidRDefault="004F2A61" w:rsidP="004F2A61">
            <w:pPr>
              <w:tabs>
                <w:tab w:val="left" w:pos="0"/>
              </w:tabs>
              <w:ind w:left="0" w:firstLine="0"/>
              <w:rPr>
                <w:rFonts w:eastAsia="Calibri"/>
                <w:bCs/>
                <w:szCs w:val="22"/>
              </w:rPr>
            </w:pPr>
            <w:r w:rsidRPr="004F2A61">
              <w:rPr>
                <w:rFonts w:eastAsia="Calibri"/>
                <w:bCs/>
                <w:szCs w:val="22"/>
              </w:rPr>
              <w:t>The following subclauses detail the changes required to the GOOSE and SV APDUs  in  order  to achieve the functionality required by IEC/TR 61850-90-5.</w:t>
            </w:r>
          </w:p>
          <w:p w:rsidR="004F2A61" w:rsidRPr="00CE2934" w:rsidRDefault="004F2A61" w:rsidP="004F2A61">
            <w:pPr>
              <w:tabs>
                <w:tab w:val="left" w:pos="0"/>
              </w:tabs>
              <w:ind w:left="0" w:firstLine="0"/>
              <w:rPr>
                <w:rFonts w:eastAsia="Calibri"/>
                <w:b/>
                <w:bCs/>
                <w:szCs w:val="22"/>
              </w:rPr>
            </w:pPr>
            <w:r w:rsidRPr="00CE2934">
              <w:rPr>
                <w:rFonts w:eastAsia="Calibri"/>
                <w:b/>
                <w:bCs/>
                <w:szCs w:val="22"/>
              </w:rPr>
              <w:t>11.3.1.1 Changes required for IEC 61850-9-2</w:t>
            </w:r>
          </w:p>
          <w:p w:rsidR="004F2A61" w:rsidRPr="004F2A61" w:rsidRDefault="004F2A61" w:rsidP="004F2A61">
            <w:pPr>
              <w:tabs>
                <w:tab w:val="left" w:pos="0"/>
              </w:tabs>
              <w:ind w:left="0" w:firstLine="0"/>
              <w:rPr>
                <w:rFonts w:eastAsia="Calibri"/>
                <w:bCs/>
                <w:szCs w:val="22"/>
              </w:rPr>
            </w:pPr>
            <w:r w:rsidRPr="004F2A61">
              <w:rPr>
                <w:rFonts w:eastAsia="Calibri"/>
                <w:bCs/>
                <w:szCs w:val="22"/>
              </w:rPr>
              <w:t>There are two (2) impacts on IEC 61850-9-2:</w:t>
            </w:r>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t xml:space="preserve">Control block changes are required in order to accommodate the  new profile(s). These  have been documented in </w:t>
            </w:r>
            <w:hyperlink w:anchor="_bookmark28" w:history="1">
              <w:r w:rsidRPr="004F2A61">
                <w:rPr>
                  <w:rFonts w:eastAsia="Calibri"/>
                  <w:bCs/>
                  <w:szCs w:val="22"/>
                </w:rPr>
                <w:t>9.2.2.2.</w:t>
              </w:r>
            </w:hyperlink>
          </w:p>
          <w:p w:rsidR="004F2A61" w:rsidRPr="004F2A61" w:rsidRDefault="004F2A61" w:rsidP="00472036">
            <w:pPr>
              <w:pStyle w:val="ListParagraph"/>
              <w:numPr>
                <w:ilvl w:val="5"/>
                <w:numId w:val="22"/>
              </w:numPr>
              <w:tabs>
                <w:tab w:val="left" w:pos="0"/>
              </w:tabs>
              <w:spacing w:after="0"/>
              <w:ind w:left="0" w:firstLine="0"/>
              <w:rPr>
                <w:rFonts w:eastAsia="Calibri"/>
                <w:bCs/>
                <w:szCs w:val="22"/>
              </w:rPr>
            </w:pPr>
            <w:r w:rsidRPr="004F2A61">
              <w:rPr>
                <w:rFonts w:eastAsia="Calibri"/>
                <w:bCs/>
                <w:szCs w:val="22"/>
              </w:rPr>
              <w:lastRenderedPageBreak/>
              <w:t>There is a need to have an absolute TimeStamp for the streaming data.</w:t>
            </w:r>
          </w:p>
          <w:p w:rsidR="004F2A61" w:rsidRPr="004F2A61" w:rsidRDefault="004F2A61" w:rsidP="004F2A61">
            <w:pPr>
              <w:pStyle w:val="ListParagraph"/>
              <w:tabs>
                <w:tab w:val="left" w:pos="0"/>
              </w:tabs>
              <w:spacing w:after="0"/>
              <w:ind w:left="0" w:firstLine="0"/>
              <w:rPr>
                <w:rFonts w:eastAsia="Calibri"/>
                <w:bCs/>
                <w:szCs w:val="22"/>
              </w:rPr>
            </w:pPr>
          </w:p>
          <w:p w:rsidR="004F2A61" w:rsidRPr="004F2A61" w:rsidRDefault="004F2A61" w:rsidP="004F2A61">
            <w:pPr>
              <w:tabs>
                <w:tab w:val="left" w:pos="0"/>
              </w:tabs>
              <w:ind w:left="0" w:firstLine="0"/>
              <w:rPr>
                <w:rFonts w:eastAsia="Calibri"/>
                <w:bCs/>
                <w:szCs w:val="22"/>
              </w:rPr>
            </w:pPr>
            <w:r w:rsidRPr="004F2A61">
              <w:rPr>
                <w:rFonts w:eastAsia="Calibri"/>
                <w:bCs/>
                <w:szCs w:val="22"/>
              </w:rPr>
              <w:t>Currently, the Sampled Value message header contains the following information.</w:t>
            </w:r>
          </w:p>
        </w:tc>
      </w:tr>
    </w:tbl>
    <w:p w:rsidR="004F2A61" w:rsidRDefault="004F2A61" w:rsidP="004F2A61">
      <w:pPr>
        <w:tabs>
          <w:tab w:val="left" w:pos="0"/>
        </w:tabs>
        <w:ind w:left="0" w:firstLine="0"/>
        <w:jc w:val="center"/>
        <w:rPr>
          <w:rFonts w:eastAsia="Calibri"/>
          <w:b/>
          <w:bCs/>
          <w:lang w:val="en-US"/>
        </w:rPr>
      </w:pPr>
    </w:p>
    <w:tbl>
      <w:tblPr>
        <w:tblStyle w:val="TableGrid"/>
        <w:tblW w:w="0" w:type="auto"/>
        <w:tblLook w:val="04A0" w:firstRow="1" w:lastRow="0" w:firstColumn="1" w:lastColumn="0" w:noHBand="0" w:noVBand="1"/>
      </w:tblPr>
      <w:tblGrid>
        <w:gridCol w:w="2311"/>
        <w:gridCol w:w="2321"/>
        <w:gridCol w:w="2335"/>
        <w:gridCol w:w="2377"/>
      </w:tblGrid>
      <w:tr w:rsidR="00CE2934" w:rsidTr="00CE2934">
        <w:tc>
          <w:tcPr>
            <w:tcW w:w="4672" w:type="dxa"/>
            <w:gridSpan w:val="2"/>
            <w:shd w:val="clear" w:color="auto" w:fill="FFFF00"/>
          </w:tcPr>
          <w:p w:rsidR="00CE2934" w:rsidRPr="00731F96" w:rsidRDefault="00CE2934" w:rsidP="00CE2934">
            <w:pPr>
              <w:pStyle w:val="TableParagraph"/>
              <w:tabs>
                <w:tab w:val="left" w:pos="0"/>
              </w:tabs>
              <w:spacing w:before="53" w:line="276" w:lineRule="auto"/>
              <w:ind w:left="311"/>
              <w:rPr>
                <w:b/>
                <w:sz w:val="20"/>
                <w:szCs w:val="20"/>
                <w:lang w:val="mn-MN"/>
              </w:rPr>
            </w:pPr>
            <w:r w:rsidRPr="00731F96">
              <w:rPr>
                <w:b/>
                <w:sz w:val="20"/>
                <w:szCs w:val="20"/>
                <w:lang w:val="mn-MN"/>
              </w:rPr>
              <w:t>IEC 61850-7-2-ын дагуу хураангуй Буфер Формат</w:t>
            </w:r>
          </w:p>
        </w:tc>
        <w:tc>
          <w:tcPr>
            <w:tcW w:w="2336" w:type="dxa"/>
            <w:shd w:val="clear" w:color="auto" w:fill="FFFF00"/>
          </w:tcPr>
          <w:p w:rsidR="00CE2934" w:rsidRPr="00EF2D2B" w:rsidRDefault="00CE2934" w:rsidP="00CE2934">
            <w:pPr>
              <w:pStyle w:val="TableParagraph"/>
              <w:tabs>
                <w:tab w:val="left" w:pos="0"/>
              </w:tabs>
              <w:spacing w:before="53" w:line="276" w:lineRule="auto"/>
              <w:ind w:left="311"/>
              <w:rPr>
                <w:b/>
                <w:sz w:val="20"/>
                <w:szCs w:val="20"/>
                <w:lang w:val="mn-MN"/>
              </w:rPr>
            </w:pPr>
            <w:r w:rsidRPr="00EF2D2B">
              <w:rPr>
                <w:b/>
                <w:sz w:val="20"/>
                <w:szCs w:val="20"/>
                <w:lang w:val="mn-MN"/>
              </w:rPr>
              <w:t>IEC 61850-9-2-т кодлох</w:t>
            </w:r>
          </w:p>
        </w:tc>
        <w:tc>
          <w:tcPr>
            <w:tcW w:w="2336" w:type="dxa"/>
            <w:shd w:val="clear" w:color="auto" w:fill="FFFF00"/>
          </w:tcPr>
          <w:p w:rsidR="00CE2934" w:rsidRPr="00EF2D2B" w:rsidRDefault="00CE2934" w:rsidP="00CE2934">
            <w:pPr>
              <w:pStyle w:val="TableParagraph"/>
              <w:tabs>
                <w:tab w:val="left" w:pos="0"/>
              </w:tabs>
              <w:spacing w:before="53" w:line="276" w:lineRule="auto"/>
              <w:ind w:left="311"/>
              <w:rPr>
                <w:b/>
                <w:sz w:val="20"/>
                <w:szCs w:val="20"/>
                <w:lang w:val="mn-MN"/>
              </w:rPr>
            </w:pPr>
            <w:r w:rsidRPr="00EF2D2B">
              <w:rPr>
                <w:b/>
                <w:sz w:val="20"/>
                <w:szCs w:val="20"/>
                <w:lang w:val="mn-MN"/>
              </w:rPr>
              <w:t xml:space="preserve">Тайлбар </w:t>
            </w:r>
          </w:p>
        </w:tc>
      </w:tr>
      <w:tr w:rsidR="00CE2934" w:rsidTr="00CE2934">
        <w:tc>
          <w:tcPr>
            <w:tcW w:w="2336" w:type="dxa"/>
            <w:shd w:val="clear" w:color="auto" w:fill="FFFF00"/>
          </w:tcPr>
          <w:p w:rsidR="00CE2934" w:rsidRPr="00731F96" w:rsidRDefault="00CE2934" w:rsidP="00CE2934">
            <w:pPr>
              <w:pStyle w:val="TableParagraph"/>
              <w:tabs>
                <w:tab w:val="left" w:pos="0"/>
              </w:tabs>
              <w:spacing w:before="53" w:line="276" w:lineRule="auto"/>
              <w:ind w:left="311"/>
              <w:rPr>
                <w:b/>
                <w:sz w:val="20"/>
                <w:szCs w:val="20"/>
                <w:lang w:val="mn-MN"/>
              </w:rPr>
            </w:pPr>
            <w:r w:rsidRPr="00EF2D2B">
              <w:rPr>
                <w:b/>
                <w:sz w:val="20"/>
                <w:szCs w:val="20"/>
                <w:lang w:val="mn-MN"/>
              </w:rPr>
              <w:t>Атрибут нэр</w:t>
            </w:r>
          </w:p>
        </w:tc>
        <w:tc>
          <w:tcPr>
            <w:tcW w:w="2336" w:type="dxa"/>
            <w:shd w:val="clear" w:color="auto" w:fill="FFFF00"/>
          </w:tcPr>
          <w:p w:rsidR="00CE2934" w:rsidRPr="00EF2D2B" w:rsidRDefault="00CE2934" w:rsidP="00CE2934">
            <w:pPr>
              <w:pStyle w:val="TableParagraph"/>
              <w:tabs>
                <w:tab w:val="left" w:pos="0"/>
              </w:tabs>
              <w:spacing w:before="53" w:line="276" w:lineRule="auto"/>
              <w:ind w:left="191"/>
              <w:rPr>
                <w:b/>
                <w:sz w:val="20"/>
                <w:szCs w:val="20"/>
                <w:lang w:val="mn-MN"/>
              </w:rPr>
            </w:pPr>
            <w:r w:rsidRPr="00EF2D2B">
              <w:rPr>
                <w:b/>
                <w:sz w:val="20"/>
                <w:szCs w:val="20"/>
                <w:lang w:val="mn-MN"/>
              </w:rPr>
              <w:t>Атрибут төрөл</w:t>
            </w:r>
          </w:p>
        </w:tc>
        <w:tc>
          <w:tcPr>
            <w:tcW w:w="2336" w:type="dxa"/>
            <w:shd w:val="clear" w:color="auto" w:fill="FFFF00"/>
          </w:tcPr>
          <w:p w:rsidR="00CE2934" w:rsidRPr="00EF2D2B" w:rsidRDefault="00CE2934" w:rsidP="00CE2934">
            <w:pPr>
              <w:pStyle w:val="TableParagraph"/>
              <w:tabs>
                <w:tab w:val="left" w:pos="0"/>
              </w:tabs>
              <w:spacing w:before="53" w:line="276" w:lineRule="auto"/>
              <w:ind w:right="182"/>
              <w:rPr>
                <w:b/>
                <w:sz w:val="20"/>
                <w:szCs w:val="20"/>
                <w:lang w:val="mn-MN"/>
              </w:rPr>
            </w:pPr>
            <w:r w:rsidRPr="00EF2D2B">
              <w:rPr>
                <w:b/>
                <w:sz w:val="20"/>
                <w:szCs w:val="20"/>
                <w:lang w:val="mn-MN"/>
              </w:rPr>
              <w:t>ASN.1 Үндсэн кодчиллын дүрэм (BER) SavPdu::=</w:t>
            </w:r>
          </w:p>
          <w:p w:rsidR="00CE2934" w:rsidRPr="00EF2D2B" w:rsidRDefault="00CE2934" w:rsidP="00CE2934">
            <w:pPr>
              <w:pStyle w:val="TableParagraph"/>
              <w:tabs>
                <w:tab w:val="left" w:pos="0"/>
              </w:tabs>
              <w:spacing w:before="0" w:line="276" w:lineRule="auto"/>
              <w:ind w:left="351" w:right="359"/>
              <w:rPr>
                <w:b/>
                <w:sz w:val="20"/>
                <w:szCs w:val="20"/>
                <w:lang w:val="mn-MN"/>
              </w:rPr>
            </w:pPr>
            <w:r w:rsidRPr="00EF2D2B">
              <w:rPr>
                <w:b/>
                <w:sz w:val="20"/>
                <w:szCs w:val="20"/>
                <w:lang w:val="mn-MN"/>
              </w:rPr>
              <w:t>SEQUENCE {</w:t>
            </w:r>
          </w:p>
        </w:tc>
        <w:tc>
          <w:tcPr>
            <w:tcW w:w="2336" w:type="dxa"/>
            <w:shd w:val="clear" w:color="auto" w:fill="FFFF00"/>
          </w:tcPr>
          <w:p w:rsidR="00CE2934" w:rsidRPr="00CE2934" w:rsidRDefault="00CE2934" w:rsidP="00CE2934">
            <w:pPr>
              <w:pStyle w:val="TableParagraph"/>
              <w:tabs>
                <w:tab w:val="left" w:pos="0"/>
              </w:tabs>
              <w:spacing w:before="0" w:line="276" w:lineRule="auto"/>
              <w:rPr>
                <w:b/>
                <w:sz w:val="20"/>
                <w:szCs w:val="20"/>
                <w:lang w:val="mn-MN"/>
              </w:rPr>
            </w:pP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noASDU [0] IMPLICIT INTEGER (1..65535),</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Тодорхой атрибутыг зураглах.</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Нэг APDU-д нэгтгэгдэх ASDU-ийн дугаар.</w:t>
            </w: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security [1] ANY OPTIONAL,</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Тодорхой атрибутыг зураглах.</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Ирээдүйд тодорхойлох зорилгоор хадгалсан (жишээ нь тоон гарын үсэг).</w:t>
            </w:r>
          </w:p>
          <w:p w:rsidR="00CE2934" w:rsidRPr="00CE2934" w:rsidRDefault="00CE2934" w:rsidP="00CE2934">
            <w:pPr>
              <w:tabs>
                <w:tab w:val="left" w:pos="0"/>
              </w:tabs>
              <w:ind w:left="0" w:firstLine="0"/>
              <w:rPr>
                <w:rFonts w:eastAsia="Calibri"/>
                <w:bCs/>
                <w:sz w:val="20"/>
                <w:szCs w:val="20"/>
              </w:rPr>
            </w:pP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ТАЙЛБАР: Эргээд нийцэлтээ хангах үүднээс нөөцөлсөнболовч ашиглахаа больсон байна.</w:t>
            </w: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asdu [2] IMPLICIT SEQUENCE OF ASDU,</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Өмнөтодорхойлсон ASDU-ийн дугаар 1-n</w:t>
            </w: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messageAuthentication [3] ANY OPTIONAL</w:t>
            </w:r>
          </w:p>
          <w:p w:rsidR="00CE2934" w:rsidRPr="00CE2934" w:rsidRDefault="00CE2934" w:rsidP="00CE2934">
            <w:pPr>
              <w:tabs>
                <w:tab w:val="left" w:pos="0"/>
              </w:tabs>
              <w:ind w:left="0" w:firstLine="0"/>
              <w:rPr>
                <w:rFonts w:eastAsia="Calibri"/>
                <w:bCs/>
                <w:sz w:val="20"/>
                <w:szCs w:val="20"/>
              </w:rPr>
            </w:pP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Тодорхой атрибутыг зураглах.</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Цаашид тодорхойлохоор нөөцөлсөн (ж.нь. MAC).</w:t>
            </w: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ASDU::=</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SEQUENCE {</w:t>
            </w:r>
          </w:p>
        </w:tc>
        <w:tc>
          <w:tcPr>
            <w:tcW w:w="2336" w:type="dxa"/>
          </w:tcPr>
          <w:p w:rsidR="00CE2934" w:rsidRPr="00CE2934" w:rsidRDefault="00CE2934" w:rsidP="00CE2934">
            <w:pPr>
              <w:tabs>
                <w:tab w:val="left" w:pos="0"/>
              </w:tabs>
              <w:ind w:left="0" w:firstLine="0"/>
              <w:rPr>
                <w:rFonts w:eastAsia="Calibri"/>
                <w:bCs/>
                <w:sz w:val="20"/>
                <w:szCs w:val="20"/>
              </w:rPr>
            </w:pP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MsvID</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VISIBLE STRING</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svID [0] IMPLICIT VisibleString,</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 xml:space="preserve">Системийн хэмжээнд давтагдахгүй </w:t>
            </w:r>
            <w:r w:rsidRPr="00CE2934">
              <w:rPr>
                <w:rFonts w:eastAsia="Calibri"/>
                <w:bCs/>
                <w:sz w:val="20"/>
                <w:szCs w:val="20"/>
              </w:rPr>
              <w:lastRenderedPageBreak/>
              <w:t>тодорхойлолтой байх ёстой.</w:t>
            </w: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lastRenderedPageBreak/>
              <w:t>DatSet</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ObjectReference</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datset [1] IMPLICIT VisibleString OPTIONAL,</w:t>
            </w:r>
          </w:p>
        </w:tc>
        <w:tc>
          <w:tcPr>
            <w:tcW w:w="2336" w:type="dxa"/>
          </w:tcPr>
          <w:p w:rsidR="00CE2934" w:rsidRPr="00CE2934" w:rsidRDefault="00CE2934" w:rsidP="00CE2934">
            <w:pPr>
              <w:pStyle w:val="TableParagraph"/>
              <w:tabs>
                <w:tab w:val="left" w:pos="0"/>
              </w:tabs>
              <w:spacing w:after="20" w:line="276" w:lineRule="auto"/>
              <w:rPr>
                <w:rFonts w:eastAsia="Calibri"/>
                <w:sz w:val="20"/>
                <w:szCs w:val="20"/>
                <w:lang w:val="mn-MN"/>
              </w:rPr>
            </w:pPr>
            <w:r w:rsidRPr="00CE2934">
              <w:rPr>
                <w:rFonts w:eastAsia="Calibri"/>
                <w:sz w:val="20"/>
                <w:szCs w:val="20"/>
                <w:lang w:val="mn-MN"/>
              </w:rPr>
              <w:t>MSVCB-ийн утга</w:t>
            </w: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SmpCnt</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INT16U</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smpCnt [2] IMPLICIT OCTET STRING (SIZE(2)),</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Шинэ түүвэрлэлтийн утга авах бүрд нэгээр нэмэгдэнэ. Хэрэв түүвэрлэлтийг тактын импульс ээр(SmpSynch = 1 эсвэл 2) синхрончилсон ба синхрончлолын дохио гарсан тохиолдолд тоолуурыг тэгээр тохируулна.</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Импульсыг синхрончлоход нэгжүүдийг нэгтгэж синхрончлоход ашигладаг, синхрончлох импульс бүрт тоолуурыг тэгээр тохируулах ёстой. Анхдагч гүйдлийн түүвэрлэлт нь синхрончлох импульстэй давхцаж байгаа өгөгдлийн багцад 0 утгыг өгнө ёстой.</w:t>
            </w:r>
          </w:p>
          <w:p w:rsidR="00CE2934" w:rsidRPr="00CE2934" w:rsidRDefault="00CE2934" w:rsidP="00CE2934">
            <w:pPr>
              <w:tabs>
                <w:tab w:val="left" w:pos="0"/>
              </w:tabs>
              <w:ind w:left="0" w:firstLine="0"/>
              <w:rPr>
                <w:rFonts w:eastAsia="Calibri"/>
                <w:bCs/>
                <w:sz w:val="20"/>
                <w:szCs w:val="20"/>
              </w:rPr>
            </w:pP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OCTET STRING нь INT16U гэж тайлбарлагдана</w:t>
            </w:r>
          </w:p>
        </w:tc>
      </w:tr>
      <w:tr w:rsidR="00CE2934" w:rsidTr="00CE2934">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ConfRev</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INT32U</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confRev [3] IMPLICIT OCTET STRING (SIZE(4)),</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MSVCB-ийн утга</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OCTET STRING нь INT16U гэж тайлбарлагдана.</w:t>
            </w:r>
          </w:p>
        </w:tc>
      </w:tr>
      <w:tr w:rsidR="00CE2934" w:rsidRPr="00EF2D2B" w:rsidTr="00CE2934">
        <w:tc>
          <w:tcPr>
            <w:tcW w:w="4672" w:type="dxa"/>
            <w:gridSpan w:val="2"/>
            <w:shd w:val="clear" w:color="auto" w:fill="FFFF00"/>
          </w:tcPr>
          <w:p w:rsidR="00CE2934" w:rsidRPr="00731F96" w:rsidRDefault="00CE2934" w:rsidP="00CE2934">
            <w:pPr>
              <w:pStyle w:val="TableParagraph"/>
              <w:tabs>
                <w:tab w:val="left" w:pos="0"/>
              </w:tabs>
              <w:spacing w:before="53" w:line="276" w:lineRule="auto"/>
              <w:ind w:left="1127" w:right="195" w:hanging="946"/>
              <w:rPr>
                <w:b/>
                <w:sz w:val="20"/>
                <w:szCs w:val="20"/>
                <w:lang w:val="mn-MN"/>
              </w:rPr>
            </w:pPr>
            <w:r w:rsidRPr="00731F96">
              <w:rPr>
                <w:b/>
                <w:sz w:val="20"/>
                <w:szCs w:val="20"/>
                <w:lang w:val="mn-MN"/>
              </w:rPr>
              <w:t>IEC 61850-7-2-ын дагуухураангуй Буфер Формат</w:t>
            </w:r>
          </w:p>
        </w:tc>
        <w:tc>
          <w:tcPr>
            <w:tcW w:w="2336" w:type="dxa"/>
            <w:shd w:val="clear" w:color="auto" w:fill="FFFF00"/>
          </w:tcPr>
          <w:p w:rsidR="00CE2934" w:rsidRPr="00EF2D2B" w:rsidRDefault="00CE2934" w:rsidP="00CE2934">
            <w:pPr>
              <w:pStyle w:val="TableParagraph"/>
              <w:tabs>
                <w:tab w:val="left" w:pos="0"/>
              </w:tabs>
              <w:spacing w:before="53" w:line="276" w:lineRule="auto"/>
              <w:ind w:left="713"/>
              <w:rPr>
                <w:b/>
                <w:sz w:val="20"/>
                <w:szCs w:val="20"/>
                <w:lang w:val="mn-MN"/>
              </w:rPr>
            </w:pPr>
            <w:r w:rsidRPr="00EF2D2B">
              <w:rPr>
                <w:b/>
                <w:sz w:val="20"/>
                <w:szCs w:val="20"/>
                <w:lang w:val="mn-MN"/>
              </w:rPr>
              <w:t>IEC 61850-9-2-т кодлох</w:t>
            </w:r>
          </w:p>
        </w:tc>
        <w:tc>
          <w:tcPr>
            <w:tcW w:w="2336" w:type="dxa"/>
            <w:shd w:val="clear" w:color="auto" w:fill="FFFF00"/>
          </w:tcPr>
          <w:p w:rsidR="00CE2934" w:rsidRPr="00EF2D2B" w:rsidRDefault="00CE2934" w:rsidP="00CE2934">
            <w:pPr>
              <w:pStyle w:val="TableParagraph"/>
              <w:tabs>
                <w:tab w:val="left" w:pos="0"/>
              </w:tabs>
              <w:spacing w:before="53" w:line="276" w:lineRule="auto"/>
              <w:ind w:left="662"/>
              <w:rPr>
                <w:b/>
                <w:sz w:val="20"/>
                <w:szCs w:val="20"/>
                <w:lang w:val="mn-MN"/>
              </w:rPr>
            </w:pPr>
            <w:r w:rsidRPr="00EF2D2B">
              <w:rPr>
                <w:b/>
                <w:sz w:val="20"/>
                <w:szCs w:val="20"/>
                <w:lang w:val="mn-MN"/>
              </w:rPr>
              <w:t xml:space="preserve">Тайлбар </w:t>
            </w:r>
          </w:p>
        </w:tc>
      </w:tr>
      <w:tr w:rsidR="00CE2934" w:rsidRPr="00D33687" w:rsidTr="00CE2934">
        <w:tc>
          <w:tcPr>
            <w:tcW w:w="2336" w:type="dxa"/>
            <w:shd w:val="clear" w:color="auto" w:fill="FFFF00"/>
          </w:tcPr>
          <w:p w:rsidR="00CE2934" w:rsidRPr="00731F96" w:rsidRDefault="00CE2934" w:rsidP="00CE2934">
            <w:pPr>
              <w:pStyle w:val="TableParagraph"/>
              <w:tabs>
                <w:tab w:val="left" w:pos="0"/>
              </w:tabs>
              <w:spacing w:before="53" w:line="276" w:lineRule="auto"/>
              <w:ind w:left="311"/>
              <w:rPr>
                <w:b/>
                <w:sz w:val="20"/>
                <w:szCs w:val="20"/>
                <w:lang w:val="mn-MN"/>
              </w:rPr>
            </w:pPr>
            <w:r w:rsidRPr="00EF2D2B">
              <w:rPr>
                <w:b/>
                <w:sz w:val="20"/>
                <w:szCs w:val="20"/>
                <w:lang w:val="mn-MN"/>
              </w:rPr>
              <w:t>Атрибут нэр</w:t>
            </w:r>
          </w:p>
        </w:tc>
        <w:tc>
          <w:tcPr>
            <w:tcW w:w="2336" w:type="dxa"/>
            <w:shd w:val="clear" w:color="auto" w:fill="FFFF00"/>
          </w:tcPr>
          <w:p w:rsidR="00CE2934" w:rsidRPr="00EF2D2B" w:rsidRDefault="00CE2934" w:rsidP="00CE2934">
            <w:pPr>
              <w:pStyle w:val="TableParagraph"/>
              <w:tabs>
                <w:tab w:val="left" w:pos="0"/>
              </w:tabs>
              <w:spacing w:before="53" w:line="276" w:lineRule="auto"/>
              <w:ind w:left="191"/>
              <w:rPr>
                <w:b/>
                <w:sz w:val="20"/>
                <w:szCs w:val="20"/>
                <w:lang w:val="mn-MN"/>
              </w:rPr>
            </w:pPr>
            <w:r w:rsidRPr="00EF2D2B">
              <w:rPr>
                <w:b/>
                <w:sz w:val="20"/>
                <w:szCs w:val="20"/>
                <w:lang w:val="mn-MN"/>
              </w:rPr>
              <w:t>Атрибут төрөл</w:t>
            </w:r>
          </w:p>
        </w:tc>
        <w:tc>
          <w:tcPr>
            <w:tcW w:w="2336" w:type="dxa"/>
            <w:shd w:val="clear" w:color="auto" w:fill="FFFF00"/>
          </w:tcPr>
          <w:p w:rsidR="00CE2934" w:rsidRPr="00EF2D2B" w:rsidRDefault="00CE2934" w:rsidP="00CE2934">
            <w:pPr>
              <w:pStyle w:val="TableParagraph"/>
              <w:tabs>
                <w:tab w:val="left" w:pos="0"/>
              </w:tabs>
              <w:spacing w:before="53" w:line="276" w:lineRule="auto"/>
              <w:ind w:right="182"/>
              <w:rPr>
                <w:b/>
                <w:sz w:val="20"/>
                <w:szCs w:val="20"/>
                <w:lang w:val="mn-MN"/>
              </w:rPr>
            </w:pPr>
            <w:r w:rsidRPr="00EF2D2B">
              <w:rPr>
                <w:b/>
                <w:sz w:val="20"/>
                <w:szCs w:val="20"/>
                <w:lang w:val="mn-MN"/>
              </w:rPr>
              <w:t>ASN.1 Үндсэн кодчиллын дүрэм (BER) SavPdu::=</w:t>
            </w:r>
          </w:p>
          <w:p w:rsidR="00CE2934" w:rsidRPr="00EF2D2B" w:rsidRDefault="00CE2934" w:rsidP="00CE2934">
            <w:pPr>
              <w:pStyle w:val="TableParagraph"/>
              <w:tabs>
                <w:tab w:val="left" w:pos="0"/>
              </w:tabs>
              <w:spacing w:before="0" w:line="276" w:lineRule="auto"/>
              <w:ind w:right="359"/>
              <w:rPr>
                <w:b/>
                <w:sz w:val="20"/>
                <w:szCs w:val="20"/>
                <w:lang w:val="mn-MN"/>
              </w:rPr>
            </w:pPr>
            <w:r w:rsidRPr="00EF2D2B">
              <w:rPr>
                <w:b/>
                <w:sz w:val="20"/>
                <w:szCs w:val="20"/>
                <w:lang w:val="mn-MN"/>
              </w:rPr>
              <w:t>SEQUENCE {</w:t>
            </w:r>
          </w:p>
        </w:tc>
        <w:tc>
          <w:tcPr>
            <w:tcW w:w="2336" w:type="dxa"/>
            <w:shd w:val="clear" w:color="auto" w:fill="FFFF00"/>
          </w:tcPr>
          <w:p w:rsidR="00CE2934" w:rsidRPr="00D33687" w:rsidRDefault="00CE2934" w:rsidP="00CE2934">
            <w:pPr>
              <w:pStyle w:val="TableParagraph"/>
              <w:tabs>
                <w:tab w:val="left" w:pos="0"/>
              </w:tabs>
              <w:spacing w:before="0" w:line="276" w:lineRule="auto"/>
              <w:rPr>
                <w:sz w:val="20"/>
                <w:szCs w:val="20"/>
                <w:lang w:val="mn-MN"/>
              </w:rPr>
            </w:pPr>
          </w:p>
        </w:tc>
      </w:tr>
      <w:tr w:rsidR="00CE2934" w:rsidRPr="00CE2934" w:rsidTr="009E4499">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RefrTm</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TimeStamp</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refrTm [4] IMPLICIT UtcTime OPTIONAL,</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 xml:space="preserve">RefrTm нь SV буферын сэргээх хугацааг агуулдаг. Энэ бол IEEE C37.118.1-д тодорхойлсон синхрофазорын </w:t>
            </w:r>
            <w:r w:rsidRPr="00CE2934">
              <w:rPr>
                <w:rFonts w:eastAsia="Calibri"/>
                <w:bCs/>
                <w:sz w:val="20"/>
                <w:szCs w:val="20"/>
              </w:rPr>
              <w:lastRenderedPageBreak/>
              <w:t>өгөгдлийг хэмжих хугацаа юм.</w:t>
            </w:r>
          </w:p>
        </w:tc>
      </w:tr>
      <w:tr w:rsidR="00CE2934" w:rsidRPr="00CE2934" w:rsidTr="009E4499">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lastRenderedPageBreak/>
              <w:t>SmpSynch</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INT8U</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smpSynch [5] IMPLICIT OCTET STRING (SIZE(1)),</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2 = SV нь глобал clock signal-аар синхрончлогддог.</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1 = SV нь дотоод clock signal-аар синхрончлогддог.</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0 = SV нь гадаад clock signal-аар синхрончлогддоггүй.</w:t>
            </w:r>
          </w:p>
        </w:tc>
      </w:tr>
      <w:tr w:rsidR="00CE2934" w:rsidRPr="00CE2934" w:rsidTr="009E4499">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SmpRate</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INT16U</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smpRate [6] IMPLICIT OCTET STRING (SIZE(2)) OPTIONAL,</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MSVCB-ийн утга</w:t>
            </w:r>
          </w:p>
          <w:p w:rsidR="00CE2934" w:rsidRPr="00CE2934" w:rsidRDefault="00CE2934" w:rsidP="00CE2934">
            <w:pPr>
              <w:tabs>
                <w:tab w:val="left" w:pos="0"/>
              </w:tabs>
              <w:ind w:left="0" w:firstLine="0"/>
              <w:rPr>
                <w:rFonts w:eastAsia="Calibri"/>
                <w:bCs/>
                <w:sz w:val="20"/>
                <w:szCs w:val="20"/>
              </w:rPr>
            </w:pP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OCTET STRING нь INT16U гэж тайлбарлагдана.</w:t>
            </w:r>
          </w:p>
        </w:tc>
      </w:tr>
      <w:tr w:rsidR="00CE2934" w:rsidRPr="00CE2934" w:rsidTr="009E4499">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Sample [1..n]</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Type depends on the CDC</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defined in</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IEC 61850-7-3.</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sample [7] IMPLICIT OCTET STRING (SIZE(n))</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Өгөгдлийн багц тодорхойлолттой хамааралтайөгөгдлийн утгын жагсаалт.</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Өгөгдлийг кодлохдоо IEC 61850-9-2 кодчиллын дүрмийг баримтална.</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SIZE (n) нь DataSet-д тодорхойлсноор дамжуулсан бүх өгөгдлүүдийн болон  октет хэлбэрээр хуримтлагдсан хэмжээ юм.</w:t>
            </w:r>
          </w:p>
        </w:tc>
      </w:tr>
      <w:tr w:rsidR="00CE2934" w:rsidRPr="00CE2934" w:rsidTr="009E4499">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SmpMod</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INT16U</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smpMod [8] IMPLICIT OCTET STRING (SIZE(2)) OPTIONAL</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MSVCB-ийн утга</w:t>
            </w:r>
          </w:p>
          <w:p w:rsidR="00CE2934" w:rsidRPr="00CE2934" w:rsidRDefault="00CE2934" w:rsidP="00CE2934">
            <w:pPr>
              <w:tabs>
                <w:tab w:val="left" w:pos="0"/>
              </w:tabs>
              <w:ind w:left="0" w:firstLine="0"/>
              <w:rPr>
                <w:rFonts w:eastAsia="Calibri"/>
                <w:bCs/>
                <w:sz w:val="20"/>
                <w:szCs w:val="20"/>
              </w:rPr>
            </w:pP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OCTET STRING нь INT16U гэж тайлбарлагдана.</w:t>
            </w:r>
          </w:p>
        </w:tc>
      </w:tr>
      <w:tr w:rsidR="00CE2934" w:rsidRPr="00CE2934" w:rsidTr="009E4499">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TIMESTAMP</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timeStamp [9] IMPLICIT UtcTime OPTIONAL</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w:t>
            </w:r>
          </w:p>
        </w:tc>
        <w:tc>
          <w:tcPr>
            <w:tcW w:w="2336"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Багцыг дамжуулах хугацааны үнэмлэхүй timestamp.</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Энэ талбарыг оруулахыг удирдлагын блок OptFld.timestamp утга удирддаг.</w:t>
            </w:r>
          </w:p>
        </w:tc>
      </w:tr>
    </w:tbl>
    <w:p w:rsidR="00CE2934" w:rsidRDefault="00CE2934" w:rsidP="004F2A61">
      <w:pPr>
        <w:tabs>
          <w:tab w:val="left" w:pos="0"/>
        </w:tabs>
        <w:ind w:left="0" w:firstLine="0"/>
        <w:jc w:val="center"/>
        <w:rPr>
          <w:rFonts w:eastAsia="Calibri"/>
          <w:b/>
          <w:bCs/>
          <w:lang w:val="en-US"/>
        </w:rPr>
      </w:pPr>
    </w:p>
    <w:p w:rsidR="00CE2934" w:rsidRDefault="00CE2934" w:rsidP="004F2A61">
      <w:pPr>
        <w:tabs>
          <w:tab w:val="left" w:pos="0"/>
        </w:tabs>
        <w:ind w:left="0" w:firstLine="0"/>
        <w:jc w:val="center"/>
        <w:rPr>
          <w:rFonts w:eastAsia="Calibri"/>
          <w:b/>
          <w:bCs/>
          <w:lang w:val="en-US"/>
        </w:rPr>
      </w:pPr>
    </w:p>
    <w:tbl>
      <w:tblPr>
        <w:tblStyle w:val="TableGrid"/>
        <w:tblW w:w="0" w:type="auto"/>
        <w:tblLook w:val="04A0" w:firstRow="1" w:lastRow="0" w:firstColumn="1" w:lastColumn="0" w:noHBand="0" w:noVBand="1"/>
      </w:tblPr>
      <w:tblGrid>
        <w:gridCol w:w="2311"/>
        <w:gridCol w:w="2321"/>
        <w:gridCol w:w="2335"/>
        <w:gridCol w:w="2377"/>
      </w:tblGrid>
      <w:tr w:rsidR="00CE2934" w:rsidRPr="00EF2D2B" w:rsidTr="00CE2934">
        <w:tc>
          <w:tcPr>
            <w:tcW w:w="4632" w:type="dxa"/>
            <w:gridSpan w:val="2"/>
            <w:shd w:val="clear" w:color="auto" w:fill="FFFF00"/>
          </w:tcPr>
          <w:p w:rsidR="00CE2934" w:rsidRPr="00EF2D2B" w:rsidRDefault="00CE2934" w:rsidP="00CE2934">
            <w:pPr>
              <w:pStyle w:val="TableParagraph"/>
              <w:spacing w:before="53" w:line="276" w:lineRule="auto"/>
              <w:ind w:left="1127" w:right="195" w:hanging="946"/>
              <w:rPr>
                <w:b/>
                <w:sz w:val="20"/>
                <w:szCs w:val="20"/>
                <w:lang w:val="mn-MN"/>
              </w:rPr>
            </w:pPr>
            <w:r w:rsidRPr="00EF2D2B">
              <w:rPr>
                <w:b/>
                <w:sz w:val="20"/>
                <w:szCs w:val="20"/>
                <w:lang w:val="mn-MN"/>
              </w:rPr>
              <w:t>Abstract Buffer Format according to IEC 61850-7-2</w:t>
            </w:r>
          </w:p>
        </w:tc>
        <w:tc>
          <w:tcPr>
            <w:tcW w:w="2335" w:type="dxa"/>
            <w:shd w:val="clear" w:color="auto" w:fill="FFFF00"/>
          </w:tcPr>
          <w:p w:rsidR="00CE2934" w:rsidRPr="00EF2D2B" w:rsidRDefault="00CE2934" w:rsidP="00CE2934">
            <w:pPr>
              <w:pStyle w:val="TableParagraph"/>
              <w:spacing w:before="53" w:line="276" w:lineRule="auto"/>
              <w:ind w:left="713"/>
              <w:rPr>
                <w:b/>
                <w:sz w:val="20"/>
                <w:szCs w:val="20"/>
                <w:lang w:val="mn-MN"/>
              </w:rPr>
            </w:pPr>
            <w:r w:rsidRPr="00EF2D2B">
              <w:rPr>
                <w:b/>
                <w:sz w:val="20"/>
                <w:szCs w:val="20"/>
                <w:lang w:val="mn-MN"/>
              </w:rPr>
              <w:t>Coding in IEC 61850-9-2</w:t>
            </w:r>
          </w:p>
        </w:tc>
        <w:tc>
          <w:tcPr>
            <w:tcW w:w="2377" w:type="dxa"/>
            <w:shd w:val="clear" w:color="auto" w:fill="FFFF00"/>
          </w:tcPr>
          <w:p w:rsidR="00CE2934" w:rsidRPr="00EF2D2B" w:rsidRDefault="00CE2934" w:rsidP="00CE2934">
            <w:pPr>
              <w:pStyle w:val="TableParagraph"/>
              <w:spacing w:before="53" w:line="276" w:lineRule="auto"/>
              <w:ind w:left="662"/>
              <w:rPr>
                <w:b/>
                <w:sz w:val="20"/>
                <w:szCs w:val="20"/>
                <w:lang w:val="mn-MN"/>
              </w:rPr>
            </w:pPr>
            <w:r w:rsidRPr="00EF2D2B">
              <w:rPr>
                <w:b/>
                <w:sz w:val="20"/>
                <w:szCs w:val="20"/>
                <w:lang w:val="mn-MN"/>
              </w:rPr>
              <w:t>Comments</w:t>
            </w:r>
          </w:p>
        </w:tc>
      </w:tr>
      <w:tr w:rsidR="00CE2934" w:rsidRPr="00CE2934" w:rsidTr="00CE2934">
        <w:tc>
          <w:tcPr>
            <w:tcW w:w="2311" w:type="dxa"/>
            <w:shd w:val="clear" w:color="auto" w:fill="FFFF00"/>
          </w:tcPr>
          <w:p w:rsidR="00CE2934" w:rsidRPr="00731F96" w:rsidRDefault="00CE2934" w:rsidP="00CE2934">
            <w:pPr>
              <w:pStyle w:val="TableParagraph"/>
              <w:spacing w:before="53" w:line="276" w:lineRule="auto"/>
              <w:ind w:left="311"/>
              <w:rPr>
                <w:b/>
                <w:sz w:val="20"/>
                <w:szCs w:val="20"/>
                <w:lang w:val="mn-MN"/>
              </w:rPr>
            </w:pPr>
            <w:r w:rsidRPr="00EF2D2B">
              <w:rPr>
                <w:b/>
                <w:sz w:val="20"/>
                <w:szCs w:val="20"/>
                <w:lang w:val="mn-MN"/>
              </w:rPr>
              <w:t>Attribute name</w:t>
            </w:r>
          </w:p>
        </w:tc>
        <w:tc>
          <w:tcPr>
            <w:tcW w:w="2321" w:type="dxa"/>
            <w:shd w:val="clear" w:color="auto" w:fill="FFFF00"/>
          </w:tcPr>
          <w:p w:rsidR="00CE2934" w:rsidRPr="00EF2D2B" w:rsidRDefault="00CE2934" w:rsidP="00CE2934">
            <w:pPr>
              <w:pStyle w:val="TableParagraph"/>
              <w:spacing w:before="53" w:line="276" w:lineRule="auto"/>
              <w:ind w:left="191"/>
              <w:rPr>
                <w:b/>
                <w:sz w:val="20"/>
                <w:szCs w:val="20"/>
                <w:lang w:val="mn-MN"/>
              </w:rPr>
            </w:pPr>
            <w:r w:rsidRPr="00EF2D2B">
              <w:rPr>
                <w:b/>
                <w:sz w:val="20"/>
                <w:szCs w:val="20"/>
                <w:lang w:val="mn-MN"/>
              </w:rPr>
              <w:t>Attribute type</w:t>
            </w:r>
          </w:p>
        </w:tc>
        <w:tc>
          <w:tcPr>
            <w:tcW w:w="2335" w:type="dxa"/>
            <w:shd w:val="clear" w:color="auto" w:fill="FFFF00"/>
          </w:tcPr>
          <w:p w:rsidR="00CE2934" w:rsidRPr="00EF2D2B" w:rsidRDefault="00CE2934" w:rsidP="00CE2934">
            <w:pPr>
              <w:pStyle w:val="TableParagraph"/>
              <w:spacing w:before="53" w:line="276" w:lineRule="auto"/>
              <w:ind w:left="351" w:right="359"/>
              <w:jc w:val="center"/>
              <w:rPr>
                <w:b/>
                <w:sz w:val="20"/>
                <w:szCs w:val="20"/>
                <w:lang w:val="mn-MN"/>
              </w:rPr>
            </w:pPr>
            <w:r w:rsidRPr="00EF2D2B">
              <w:rPr>
                <w:b/>
                <w:sz w:val="20"/>
                <w:szCs w:val="20"/>
                <w:lang w:val="mn-MN"/>
              </w:rPr>
              <w:t>ASN.1 Basic Encoding Rules (BER) SavPdu::=</w:t>
            </w:r>
          </w:p>
          <w:p w:rsidR="00CE2934" w:rsidRPr="00EF2D2B" w:rsidRDefault="00CE2934" w:rsidP="00CE2934">
            <w:pPr>
              <w:pStyle w:val="TableParagraph"/>
              <w:spacing w:before="0" w:line="276" w:lineRule="auto"/>
              <w:ind w:left="351" w:right="359"/>
              <w:jc w:val="center"/>
              <w:rPr>
                <w:b/>
                <w:sz w:val="20"/>
                <w:szCs w:val="20"/>
                <w:lang w:val="mn-MN"/>
              </w:rPr>
            </w:pPr>
            <w:r w:rsidRPr="00EF2D2B">
              <w:rPr>
                <w:b/>
                <w:sz w:val="20"/>
                <w:szCs w:val="20"/>
                <w:lang w:val="mn-MN"/>
              </w:rPr>
              <w:lastRenderedPageBreak/>
              <w:t>SEQUENCE {</w:t>
            </w:r>
          </w:p>
        </w:tc>
        <w:tc>
          <w:tcPr>
            <w:tcW w:w="2377" w:type="dxa"/>
            <w:shd w:val="clear" w:color="auto" w:fill="FFFF00"/>
          </w:tcPr>
          <w:p w:rsidR="00CE2934" w:rsidRPr="00EF2D2B" w:rsidRDefault="00CE2934" w:rsidP="00CE2934">
            <w:pPr>
              <w:pStyle w:val="TableParagraph"/>
              <w:spacing w:before="0" w:line="276" w:lineRule="auto"/>
              <w:rPr>
                <w:sz w:val="20"/>
                <w:szCs w:val="20"/>
                <w:lang w:val="mn-MN"/>
              </w:rPr>
            </w:pP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p>
        </w:tc>
        <w:tc>
          <w:tcPr>
            <w:tcW w:w="2321" w:type="dxa"/>
          </w:tcPr>
          <w:p w:rsidR="00CE2934" w:rsidRPr="00CE2934" w:rsidRDefault="00CE2934" w:rsidP="00CE2934">
            <w:pPr>
              <w:tabs>
                <w:tab w:val="left" w:pos="0"/>
              </w:tabs>
              <w:ind w:left="0" w:firstLine="0"/>
              <w:rPr>
                <w:rFonts w:eastAsia="Calibri"/>
                <w:bCs/>
                <w:sz w:val="20"/>
                <w:szCs w:val="20"/>
              </w:rPr>
            </w:pP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noASDU [0] IMPLICIT INTEGER (1..65535),</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Mapping specific attribute.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Number of ASDUs, which will be concatenated into one APDU.</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p>
        </w:tc>
        <w:tc>
          <w:tcPr>
            <w:tcW w:w="2321" w:type="dxa"/>
          </w:tcPr>
          <w:p w:rsidR="00CE2934" w:rsidRPr="00CE2934" w:rsidRDefault="00CE2934" w:rsidP="00CE2934">
            <w:pPr>
              <w:tabs>
                <w:tab w:val="left" w:pos="0"/>
              </w:tabs>
              <w:ind w:left="0" w:firstLine="0"/>
              <w:rPr>
                <w:rFonts w:eastAsia="Calibri"/>
                <w:bCs/>
                <w:sz w:val="20"/>
                <w:szCs w:val="20"/>
              </w:rPr>
            </w:pP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security [1] ANY OPTIONAL,</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Mapping specific attribute.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Reserved for future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definition (e.g. digital signature).</w:t>
            </w:r>
          </w:p>
          <w:p w:rsidR="00CE2934" w:rsidRPr="00CE2934" w:rsidRDefault="00CE2934" w:rsidP="00CE2934">
            <w:pPr>
              <w:tabs>
                <w:tab w:val="left" w:pos="0"/>
              </w:tabs>
              <w:ind w:left="0" w:firstLine="0"/>
              <w:rPr>
                <w:rFonts w:eastAsia="Calibri"/>
                <w:bCs/>
                <w:sz w:val="20"/>
                <w:szCs w:val="20"/>
              </w:rPr>
            </w:pP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NOTE Is reserved to provide backward</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compatibility, but use is deprecated.</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p>
        </w:tc>
        <w:tc>
          <w:tcPr>
            <w:tcW w:w="2321" w:type="dxa"/>
          </w:tcPr>
          <w:p w:rsidR="00CE2934" w:rsidRPr="00CE2934" w:rsidRDefault="00CE2934" w:rsidP="00CE2934">
            <w:pPr>
              <w:tabs>
                <w:tab w:val="left" w:pos="0"/>
              </w:tabs>
              <w:ind w:left="0" w:firstLine="0"/>
              <w:rPr>
                <w:rFonts w:eastAsia="Calibri"/>
                <w:bCs/>
                <w:sz w:val="20"/>
                <w:szCs w:val="20"/>
              </w:rPr>
            </w:pP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asdu [2] IMPLICIT SEQUENCE OF ASDU,</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1 to n number of ASDUs as specified before.</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p>
        </w:tc>
        <w:tc>
          <w:tcPr>
            <w:tcW w:w="2321" w:type="dxa"/>
          </w:tcPr>
          <w:p w:rsidR="00CE2934" w:rsidRPr="00CE2934" w:rsidRDefault="00CE2934" w:rsidP="00CE2934">
            <w:pPr>
              <w:tabs>
                <w:tab w:val="left" w:pos="0"/>
              </w:tabs>
              <w:ind w:left="0" w:firstLine="0"/>
              <w:rPr>
                <w:rFonts w:eastAsia="Calibri"/>
                <w:bCs/>
                <w:sz w:val="20"/>
                <w:szCs w:val="20"/>
              </w:rPr>
            </w:pP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messageAuthentication [3] ANY OPTIONAL</w:t>
            </w:r>
          </w:p>
          <w:p w:rsidR="00CE2934" w:rsidRPr="00CE2934" w:rsidRDefault="00CE2934" w:rsidP="00CE2934">
            <w:pPr>
              <w:tabs>
                <w:tab w:val="left" w:pos="0"/>
              </w:tabs>
              <w:ind w:left="0" w:firstLine="0"/>
              <w:rPr>
                <w:rFonts w:eastAsia="Calibri"/>
                <w:bCs/>
                <w:sz w:val="20"/>
                <w:szCs w:val="20"/>
              </w:rPr>
            </w:pP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Mapping specific attribute.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Reserved for future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definition (e.g. MAC).</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p>
        </w:tc>
        <w:tc>
          <w:tcPr>
            <w:tcW w:w="2321" w:type="dxa"/>
          </w:tcPr>
          <w:p w:rsidR="00CE2934" w:rsidRPr="00CE2934" w:rsidRDefault="00CE2934" w:rsidP="00CE2934">
            <w:pPr>
              <w:tabs>
                <w:tab w:val="left" w:pos="0"/>
              </w:tabs>
              <w:ind w:left="0" w:firstLine="0"/>
              <w:rPr>
                <w:rFonts w:eastAsia="Calibri"/>
                <w:bCs/>
                <w:sz w:val="20"/>
                <w:szCs w:val="20"/>
              </w:rPr>
            </w:pP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ASDU::=</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SEQUENCE {</w:t>
            </w:r>
          </w:p>
        </w:tc>
        <w:tc>
          <w:tcPr>
            <w:tcW w:w="2377" w:type="dxa"/>
          </w:tcPr>
          <w:p w:rsidR="00CE2934" w:rsidRPr="00CE2934" w:rsidRDefault="00CE2934" w:rsidP="00CE2934">
            <w:pPr>
              <w:tabs>
                <w:tab w:val="left" w:pos="0"/>
              </w:tabs>
              <w:ind w:left="0" w:firstLine="0"/>
              <w:rPr>
                <w:rFonts w:eastAsia="Calibri"/>
                <w:bCs/>
                <w:sz w:val="20"/>
                <w:szCs w:val="20"/>
              </w:rPr>
            </w:pP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MsvID</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VISIBLE STRING</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svID [0] IMPLICIT VisibleString,</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Should be a system-wide unique identification.</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DatSet</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ObjectReference</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datset [1] IMPLICIT VisibleString OPTIONAL,</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Value from the MSVCB</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SmpCnt</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INT16U</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smpCnt [2] IMPLICIT OCTET STRING (SIZE(2)),</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Will be incremented each time a new sampling</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value is taken. The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counter shall be set to zero if the sampling is synchronised by clock signal (SmpSynch = 1 or</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2) and the synchronising signal occurs.</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When sync pulses are used to synchronise merging units, the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counter shall be set to zero with every sync</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pulse. The value 0 shall be given to the data set where the sampling of the primary current</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coincides with the sync pulse.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lastRenderedPageBreak/>
              <w:t>The OCTET STRING is</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interpreted as INT16U</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lastRenderedPageBreak/>
              <w:t>ConfRev</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INT32U</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confRev [3] IMPLICIT OCTET STRING (SIZE(4)),</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Value from  the MSVCB</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The OCTET STRING is</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interpreted  as INT32U.</w:t>
            </w:r>
          </w:p>
        </w:tc>
      </w:tr>
      <w:tr w:rsidR="00CE2934" w:rsidRPr="00EF2D2B" w:rsidTr="00CE2934">
        <w:tc>
          <w:tcPr>
            <w:tcW w:w="4632" w:type="dxa"/>
            <w:gridSpan w:val="2"/>
            <w:shd w:val="clear" w:color="auto" w:fill="FFFF00"/>
          </w:tcPr>
          <w:p w:rsidR="00CE2934" w:rsidRPr="00EF2D2B" w:rsidRDefault="00CE2934" w:rsidP="00CE2934">
            <w:pPr>
              <w:pStyle w:val="TableParagraph"/>
              <w:spacing w:before="53" w:line="276" w:lineRule="auto"/>
              <w:ind w:left="1127" w:right="195" w:hanging="946"/>
              <w:rPr>
                <w:b/>
                <w:sz w:val="20"/>
                <w:szCs w:val="20"/>
                <w:lang w:val="mn-MN"/>
              </w:rPr>
            </w:pPr>
            <w:r w:rsidRPr="00EF2D2B">
              <w:rPr>
                <w:b/>
                <w:sz w:val="20"/>
                <w:szCs w:val="20"/>
                <w:lang w:val="mn-MN"/>
              </w:rPr>
              <w:t>Abstract Buffer Format according to IEC 61850-7-2</w:t>
            </w:r>
          </w:p>
        </w:tc>
        <w:tc>
          <w:tcPr>
            <w:tcW w:w="2335" w:type="dxa"/>
            <w:shd w:val="clear" w:color="auto" w:fill="FFFF00"/>
          </w:tcPr>
          <w:p w:rsidR="00CE2934" w:rsidRPr="00EF2D2B" w:rsidRDefault="00CE2934" w:rsidP="00CE2934">
            <w:pPr>
              <w:pStyle w:val="TableParagraph"/>
              <w:spacing w:before="53" w:line="276" w:lineRule="auto"/>
              <w:ind w:left="713"/>
              <w:rPr>
                <w:b/>
                <w:sz w:val="20"/>
                <w:szCs w:val="20"/>
                <w:lang w:val="mn-MN"/>
              </w:rPr>
            </w:pPr>
            <w:r w:rsidRPr="00EF2D2B">
              <w:rPr>
                <w:b/>
                <w:sz w:val="20"/>
                <w:szCs w:val="20"/>
                <w:lang w:val="mn-MN"/>
              </w:rPr>
              <w:t>Coding in IEC 61850-9-2</w:t>
            </w:r>
          </w:p>
        </w:tc>
        <w:tc>
          <w:tcPr>
            <w:tcW w:w="2377" w:type="dxa"/>
            <w:shd w:val="clear" w:color="auto" w:fill="FFFF00"/>
          </w:tcPr>
          <w:p w:rsidR="00CE2934" w:rsidRPr="00EF2D2B" w:rsidRDefault="00CE2934" w:rsidP="00CE2934">
            <w:pPr>
              <w:pStyle w:val="TableParagraph"/>
              <w:spacing w:before="53" w:line="276" w:lineRule="auto"/>
              <w:ind w:left="662"/>
              <w:rPr>
                <w:b/>
                <w:sz w:val="20"/>
                <w:szCs w:val="20"/>
                <w:lang w:val="mn-MN"/>
              </w:rPr>
            </w:pPr>
            <w:r w:rsidRPr="00EF2D2B">
              <w:rPr>
                <w:b/>
                <w:sz w:val="20"/>
                <w:szCs w:val="20"/>
                <w:lang w:val="mn-MN"/>
              </w:rPr>
              <w:t>Comments</w:t>
            </w:r>
          </w:p>
        </w:tc>
      </w:tr>
      <w:tr w:rsidR="00CE2934" w:rsidRPr="00D33687" w:rsidTr="00CE2934">
        <w:tc>
          <w:tcPr>
            <w:tcW w:w="2311" w:type="dxa"/>
            <w:shd w:val="clear" w:color="auto" w:fill="FFFF00"/>
          </w:tcPr>
          <w:p w:rsidR="00CE2934" w:rsidRPr="00731F96" w:rsidRDefault="00CE2934" w:rsidP="00CE2934">
            <w:pPr>
              <w:pStyle w:val="TableParagraph"/>
              <w:spacing w:before="53" w:line="276" w:lineRule="auto"/>
              <w:ind w:left="311"/>
              <w:rPr>
                <w:b/>
                <w:sz w:val="20"/>
                <w:szCs w:val="20"/>
                <w:lang w:val="mn-MN"/>
              </w:rPr>
            </w:pPr>
            <w:r w:rsidRPr="00EF2D2B">
              <w:rPr>
                <w:b/>
                <w:sz w:val="20"/>
                <w:szCs w:val="20"/>
                <w:lang w:val="mn-MN"/>
              </w:rPr>
              <w:t>Attribute name</w:t>
            </w:r>
          </w:p>
        </w:tc>
        <w:tc>
          <w:tcPr>
            <w:tcW w:w="2321" w:type="dxa"/>
            <w:shd w:val="clear" w:color="auto" w:fill="FFFF00"/>
          </w:tcPr>
          <w:p w:rsidR="00CE2934" w:rsidRPr="00EF2D2B" w:rsidRDefault="00CE2934" w:rsidP="00CE2934">
            <w:pPr>
              <w:pStyle w:val="TableParagraph"/>
              <w:spacing w:before="53" w:line="276" w:lineRule="auto"/>
              <w:ind w:left="191"/>
              <w:rPr>
                <w:b/>
                <w:sz w:val="20"/>
                <w:szCs w:val="20"/>
                <w:lang w:val="mn-MN"/>
              </w:rPr>
            </w:pPr>
            <w:r w:rsidRPr="00EF2D2B">
              <w:rPr>
                <w:b/>
                <w:sz w:val="20"/>
                <w:szCs w:val="20"/>
                <w:lang w:val="mn-MN"/>
              </w:rPr>
              <w:t>Attribute type</w:t>
            </w:r>
          </w:p>
        </w:tc>
        <w:tc>
          <w:tcPr>
            <w:tcW w:w="2335" w:type="dxa"/>
            <w:shd w:val="clear" w:color="auto" w:fill="FFFF00"/>
          </w:tcPr>
          <w:p w:rsidR="00CE2934" w:rsidRPr="00EF2D2B" w:rsidRDefault="00CE2934" w:rsidP="00CE2934">
            <w:pPr>
              <w:pStyle w:val="TableParagraph"/>
              <w:spacing w:before="53" w:line="276" w:lineRule="auto"/>
              <w:ind w:left="351" w:right="359"/>
              <w:jc w:val="center"/>
              <w:rPr>
                <w:b/>
                <w:sz w:val="20"/>
                <w:szCs w:val="20"/>
                <w:lang w:val="mn-MN"/>
              </w:rPr>
            </w:pPr>
            <w:r w:rsidRPr="00EF2D2B">
              <w:rPr>
                <w:b/>
                <w:sz w:val="20"/>
                <w:szCs w:val="20"/>
                <w:lang w:val="mn-MN"/>
              </w:rPr>
              <w:t>ASN.1 Basic Encoding Rules (BER) SavPdu::=</w:t>
            </w:r>
          </w:p>
          <w:p w:rsidR="00CE2934" w:rsidRPr="00EF2D2B" w:rsidRDefault="00CE2934" w:rsidP="00CE2934">
            <w:pPr>
              <w:pStyle w:val="TableParagraph"/>
              <w:spacing w:before="0" w:line="276" w:lineRule="auto"/>
              <w:ind w:left="351" w:right="359"/>
              <w:jc w:val="center"/>
              <w:rPr>
                <w:b/>
                <w:sz w:val="20"/>
                <w:szCs w:val="20"/>
                <w:lang w:val="mn-MN"/>
              </w:rPr>
            </w:pPr>
            <w:r w:rsidRPr="00EF2D2B">
              <w:rPr>
                <w:b/>
                <w:sz w:val="20"/>
                <w:szCs w:val="20"/>
                <w:lang w:val="mn-MN"/>
              </w:rPr>
              <w:t>SEQUENCE {</w:t>
            </w:r>
          </w:p>
        </w:tc>
        <w:tc>
          <w:tcPr>
            <w:tcW w:w="2377" w:type="dxa"/>
            <w:shd w:val="clear" w:color="auto" w:fill="FFFF00"/>
          </w:tcPr>
          <w:p w:rsidR="00CE2934" w:rsidRPr="00EF2D2B" w:rsidRDefault="00CE2934" w:rsidP="00CE2934">
            <w:pPr>
              <w:pStyle w:val="TableParagraph"/>
              <w:spacing w:before="0" w:line="276" w:lineRule="auto"/>
              <w:rPr>
                <w:sz w:val="20"/>
                <w:szCs w:val="20"/>
                <w:lang w:val="mn-MN"/>
              </w:rPr>
            </w:pP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RefrTm</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TimeStamp</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refrTm [4] IMPLICIT UtcTime OPTIONAL,</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RefrTm contains the refresh time of the SV buffer. This is the</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measurement time of the synchrophasor data as</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defined in</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IEEE C37.118.1.</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SmpSynch</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INT8U</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smpSynch [5] IMPLICIT OCTET STRING (SIZE(1)),</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2 = SV are synchronised by a global area clock signal.</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1 = SV are synchronised by a local area clock</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signal.</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0 = SV are not</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synchronised by an external clock signal.</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SmpRate</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INT16U</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smpRate [6] IMPLICIT OCTET STRING (SIZE(2)) OPTIONAL,</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Value from  the MSVCB</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The OCTET STRING is</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interpreted  as INT16U.</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Sample [1..n]</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Type depends on the CDC</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defined in</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IEC 61850-7-3.</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sample [7] IMPLICIT OCTET STRING (SIZE(n))</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List of data values</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related to the data set definition.</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For the encoding of the Data, the rules for the encoding of</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IEC 61850-9-2 shall</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apply.</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The SIZE(n) is the cumulated size, in</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octets, of all the data conveyed as defined in the DataSet.</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SmpMod</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INT16U</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smpMod [8] IMPLICIT OCTET STRING (SIZE(2)) OPTIONAL</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Value from  the MSVCB</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The OCTET STRING is</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interpreted  as INT16U.</w:t>
            </w:r>
          </w:p>
        </w:tc>
      </w:tr>
      <w:tr w:rsidR="00CE2934" w:rsidRPr="00CE2934" w:rsidTr="00CE2934">
        <w:tc>
          <w:tcPr>
            <w:tcW w:w="231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w:t>
            </w:r>
          </w:p>
        </w:tc>
        <w:tc>
          <w:tcPr>
            <w:tcW w:w="2321"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TIMESTAMP</w:t>
            </w:r>
          </w:p>
        </w:tc>
        <w:tc>
          <w:tcPr>
            <w:tcW w:w="2335"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timeStamp [9] IMPLICIT UtcTime OPTIONAL</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w:t>
            </w:r>
          </w:p>
        </w:tc>
        <w:tc>
          <w:tcPr>
            <w:tcW w:w="2377" w:type="dxa"/>
          </w:tcPr>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t>Absolute timestamp of the transmission time of the packet.</w:t>
            </w:r>
          </w:p>
          <w:p w:rsidR="00CE2934" w:rsidRPr="00CE2934" w:rsidRDefault="00CE2934" w:rsidP="00CE2934">
            <w:pPr>
              <w:tabs>
                <w:tab w:val="left" w:pos="0"/>
              </w:tabs>
              <w:ind w:left="0" w:firstLine="0"/>
              <w:rPr>
                <w:rFonts w:eastAsia="Calibri"/>
                <w:bCs/>
                <w:sz w:val="20"/>
                <w:szCs w:val="20"/>
              </w:rPr>
            </w:pPr>
            <w:r w:rsidRPr="00CE2934">
              <w:rPr>
                <w:rFonts w:eastAsia="Calibri"/>
                <w:bCs/>
                <w:sz w:val="20"/>
                <w:szCs w:val="20"/>
              </w:rPr>
              <w:lastRenderedPageBreak/>
              <w:t>Inclusion of this field is controlled by the control block OptFld.timestamp value.</w:t>
            </w:r>
          </w:p>
        </w:tc>
      </w:tr>
    </w:tbl>
    <w:p w:rsidR="00CE2934" w:rsidRDefault="00CE2934" w:rsidP="004F2A61">
      <w:pPr>
        <w:tabs>
          <w:tab w:val="left" w:pos="0"/>
        </w:tabs>
        <w:ind w:left="0" w:firstLine="0"/>
        <w:jc w:val="center"/>
        <w:rPr>
          <w:rFonts w:eastAsia="Calibri"/>
          <w:b/>
          <w:bCs/>
          <w:lang w:val="en-US"/>
        </w:rPr>
      </w:pPr>
    </w:p>
    <w:tbl>
      <w:tblPr>
        <w:tblStyle w:val="TableGrid"/>
        <w:tblW w:w="0" w:type="auto"/>
        <w:tblLook w:val="04A0" w:firstRow="1" w:lastRow="0" w:firstColumn="1" w:lastColumn="0" w:noHBand="0" w:noVBand="1"/>
      </w:tblPr>
      <w:tblGrid>
        <w:gridCol w:w="4672"/>
        <w:gridCol w:w="4672"/>
      </w:tblGrid>
      <w:tr w:rsidR="00CE2934" w:rsidTr="00CE2934">
        <w:tc>
          <w:tcPr>
            <w:tcW w:w="4672" w:type="dxa"/>
          </w:tcPr>
          <w:p w:rsidR="00CE2934" w:rsidRPr="00CE2934" w:rsidRDefault="00CE2934" w:rsidP="00CE2934">
            <w:pPr>
              <w:tabs>
                <w:tab w:val="left" w:pos="0"/>
              </w:tabs>
              <w:ind w:left="0" w:firstLine="0"/>
              <w:rPr>
                <w:rFonts w:eastAsia="Calibri"/>
                <w:bCs/>
                <w:szCs w:val="22"/>
              </w:rPr>
            </w:pPr>
            <w:r w:rsidRPr="00CE2934">
              <w:rPr>
                <w:rFonts w:eastAsia="Calibri"/>
                <w:bCs/>
                <w:szCs w:val="22"/>
              </w:rPr>
              <w:t>MsvID атрибутыг IEEE C37.118.2 станцын ба IDCode мэдээллийг дамжуулахад ашиглаж болно. Дараах форматыг ашиглахыг зөвлөж байна: C37-118- &lt;Station Station&gt; - &lt;IDCode&gt;. Станцын Нэр ба IDCode утга нь VisibleString тохирох тэмдэгтүүд юм.</w:t>
            </w:r>
          </w:p>
          <w:p w:rsidR="00CE2934" w:rsidRPr="00CE2934" w:rsidRDefault="00CE2934" w:rsidP="00CE2934">
            <w:pPr>
              <w:tabs>
                <w:tab w:val="left" w:pos="0"/>
              </w:tabs>
              <w:ind w:left="0" w:firstLine="0"/>
              <w:rPr>
                <w:rFonts w:eastAsia="Calibri"/>
                <w:b/>
                <w:bCs/>
                <w:szCs w:val="22"/>
              </w:rPr>
            </w:pPr>
            <w:r w:rsidRPr="00CE2934">
              <w:rPr>
                <w:rFonts w:eastAsia="Calibri"/>
                <w:b/>
                <w:bCs/>
                <w:szCs w:val="22"/>
              </w:rPr>
              <w:t>11.3.1.1.1  t –Хугацааны тэмдэг</w:t>
            </w:r>
          </w:p>
          <w:p w:rsidR="00CE2934" w:rsidRPr="00CE2934" w:rsidRDefault="00CE2934" w:rsidP="00CE2934">
            <w:pPr>
              <w:tabs>
                <w:tab w:val="left" w:pos="0"/>
              </w:tabs>
              <w:ind w:left="0" w:firstLine="0"/>
              <w:rPr>
                <w:rFonts w:eastAsia="Calibri"/>
                <w:bCs/>
                <w:szCs w:val="22"/>
              </w:rPr>
            </w:pPr>
            <w:r w:rsidRPr="00CE2934">
              <w:rPr>
                <w:rFonts w:eastAsia="Calibri"/>
                <w:bCs/>
                <w:szCs w:val="22"/>
              </w:rPr>
              <w:t>Урсгалын агуулгыг илэрхийлсэн үнэмлэхүй хугацааны тэмдэглэлийг дамжуулахын тулд өргөн хүрээний сүлжээний харилцаа холбоо хэрэгтэй. Одоогийн байдлаар цорын ганц боломжтой timestamp бол RefrTm атрибут юм. Гэсэн хэдий ч IEC 61850-9-2-т EntryTime нь "IEC 61850-8-1-д тодорхойлсноор 48 битийн хугацааны тэмдэглэл" гэж тодорхойлогдсон.</w:t>
            </w:r>
          </w:p>
          <w:p w:rsidR="00CE2934" w:rsidRPr="00CE2934" w:rsidRDefault="00CE2934" w:rsidP="00CE2934">
            <w:pPr>
              <w:tabs>
                <w:tab w:val="left" w:pos="0"/>
              </w:tabs>
              <w:ind w:left="0" w:firstLine="0"/>
              <w:rPr>
                <w:rFonts w:eastAsia="Calibri"/>
                <w:bCs/>
                <w:szCs w:val="22"/>
              </w:rPr>
            </w:pPr>
            <w:r w:rsidRPr="00CE2934">
              <w:rPr>
                <w:rFonts w:eastAsia="Calibri"/>
                <w:bCs/>
                <w:szCs w:val="22"/>
              </w:rPr>
              <w:t>IEC 61850-8-1-д EntryTime нь дараах байдлаар тодорхойлогдоно:</w:t>
            </w:r>
          </w:p>
          <w:p w:rsidR="00CE2934" w:rsidRPr="00CE2934" w:rsidRDefault="00CE2934" w:rsidP="00CE2934">
            <w:pPr>
              <w:tabs>
                <w:tab w:val="left" w:pos="0"/>
              </w:tabs>
              <w:ind w:left="0" w:firstLine="0"/>
              <w:rPr>
                <w:rFonts w:eastAsia="Calibri"/>
                <w:bCs/>
                <w:szCs w:val="22"/>
              </w:rPr>
            </w:pPr>
            <w:r w:rsidRPr="00CE2934">
              <w:rPr>
                <w:rFonts w:eastAsia="Calibri"/>
                <w:bCs/>
                <w:szCs w:val="22"/>
              </w:rPr>
              <w:t>EntryTime-ийг BINARY-TIME-ийн MMS Өгөгдлийн Төрлөөр дүрсэлсэн. BINARYTIME утга нь зургаан (6) октет хэмжээтэй байх ёстой.</w:t>
            </w:r>
          </w:p>
          <w:p w:rsidR="00CE2934" w:rsidRPr="00CE2934" w:rsidRDefault="00CE2934" w:rsidP="00CE2934">
            <w:pPr>
              <w:tabs>
                <w:tab w:val="left" w:pos="0"/>
              </w:tabs>
              <w:ind w:left="0" w:firstLine="0"/>
              <w:rPr>
                <w:rFonts w:eastAsia="Calibri"/>
                <w:bCs/>
                <w:szCs w:val="22"/>
              </w:rPr>
            </w:pPr>
            <w:r w:rsidRPr="00CE2934">
              <w:rPr>
                <w:rFonts w:eastAsia="Calibri"/>
                <w:bCs/>
                <w:szCs w:val="22"/>
              </w:rPr>
              <w:t>MMS TimeOfDay эрин 1984 оны 1-р сарын 1-ний өдрийн 0 цагт эхэлсэн (MJD 40 587).Хэмжилтийн цагийг энэ стандартад MMS TimeOfDay GMT-ийн GMT ба TimeOfDay өдрүүдийн GMT гэж тэмдэглэсэн ба эрин үе дэх товчлолыг илэрхийлнэ. Энэ зураглал дээр үл хамаарах зүйлүүд байгааг тэмдэглэх нь зүйтэй. "</w:t>
            </w:r>
          </w:p>
          <w:p w:rsidR="00CE2934" w:rsidRPr="00CE2934" w:rsidRDefault="00CE2934" w:rsidP="00CE2934">
            <w:pPr>
              <w:tabs>
                <w:tab w:val="left" w:pos="0"/>
              </w:tabs>
              <w:ind w:left="0" w:firstLine="0"/>
              <w:rPr>
                <w:rFonts w:eastAsia="Calibri"/>
                <w:bCs/>
                <w:szCs w:val="22"/>
              </w:rPr>
            </w:pPr>
            <w:r w:rsidRPr="00CE2934">
              <w:rPr>
                <w:rFonts w:eastAsia="Calibri"/>
                <w:bCs/>
                <w:szCs w:val="22"/>
              </w:rPr>
              <w:t>Энэ нь синхрофазорын шаардагдах нарийвчлалын "absolute timestamp" -ийг SV-д тооцоолж болно:</w:t>
            </w:r>
          </w:p>
          <w:p w:rsidR="00CE2934" w:rsidRPr="00CE2934" w:rsidRDefault="00CE2934" w:rsidP="00CE2934">
            <w:pPr>
              <w:tabs>
                <w:tab w:val="left" w:pos="0"/>
              </w:tabs>
              <w:ind w:left="0" w:firstLine="0"/>
              <w:rPr>
                <w:rFonts w:eastAsia="Calibri"/>
                <w:bCs/>
                <w:szCs w:val="22"/>
              </w:rPr>
            </w:pPr>
            <w:r w:rsidRPr="00CE2934">
              <w:rPr>
                <w:rFonts w:eastAsia="Calibri"/>
                <w:bCs/>
                <w:szCs w:val="22"/>
              </w:rPr>
              <w:t>RefrTm(EntryTime) + SmpCnt/(SmpRate)</w:t>
            </w:r>
          </w:p>
          <w:p w:rsidR="00CE2934" w:rsidRPr="00CE2934" w:rsidRDefault="00CE2934" w:rsidP="00CE2934">
            <w:pPr>
              <w:tabs>
                <w:tab w:val="left" w:pos="0"/>
              </w:tabs>
              <w:ind w:left="0" w:firstLine="0"/>
              <w:rPr>
                <w:rFonts w:eastAsia="Calibri"/>
                <w:bCs/>
                <w:szCs w:val="22"/>
              </w:rPr>
            </w:pPr>
            <w:r w:rsidRPr="00CE2934">
              <w:rPr>
                <w:rFonts w:eastAsia="Calibri"/>
                <w:bCs/>
                <w:szCs w:val="22"/>
              </w:rPr>
              <w:t>Тиймээс синхрофазорын мэдээллийг авахын тулд RefrTm, SmpCnt ба SmpRate -ийг SV мессежээр илгээнэ.</w:t>
            </w:r>
          </w:p>
          <w:p w:rsidR="00CE2934" w:rsidRPr="00CE2934" w:rsidRDefault="00CE2934" w:rsidP="00CE2934">
            <w:pPr>
              <w:tabs>
                <w:tab w:val="left" w:pos="0"/>
              </w:tabs>
              <w:ind w:left="0" w:firstLine="0"/>
              <w:rPr>
                <w:rFonts w:eastAsia="Calibri"/>
                <w:bCs/>
                <w:szCs w:val="22"/>
              </w:rPr>
            </w:pPr>
            <w:r w:rsidRPr="00CE2934">
              <w:rPr>
                <w:rFonts w:eastAsia="Calibri"/>
                <w:bCs/>
                <w:szCs w:val="22"/>
              </w:rPr>
              <w:lastRenderedPageBreak/>
              <w:t xml:space="preserve">Тухайн үед түүвэрлэгдээгүй DataSet элементүүдийн хувьд, DataSet элемент нь өөрийн timestamp-г оруулах хэрэгтэй болно.Нэмж хэлэхэд, DataSet элемент бүрийн QUALITY-ийг оруулах хэрэгтэй байж магадгүй юм. Иймээс Функционал Хязгаарлагдмал Өгөгдөл(FCD)-ийг DataSet-ийн гишүүд болгон ашиглаж болох ба Функционал Хязгаарлагдмал Өгөгдлийн Атрибут (FCDA) –ийг ашигалж болохгүйг зөвлөж байна. </w:t>
            </w:r>
          </w:p>
          <w:p w:rsidR="00CE2934" w:rsidRPr="00CE2934" w:rsidRDefault="00CE2934" w:rsidP="00CE2934">
            <w:pPr>
              <w:tabs>
                <w:tab w:val="left" w:pos="0"/>
              </w:tabs>
              <w:ind w:left="0" w:firstLine="0"/>
              <w:rPr>
                <w:rFonts w:eastAsia="Calibri"/>
                <w:bCs/>
                <w:szCs w:val="22"/>
              </w:rPr>
            </w:pPr>
            <w:r w:rsidRPr="00CE2934">
              <w:rPr>
                <w:rFonts w:eastAsia="Calibri"/>
                <w:bCs/>
                <w:szCs w:val="22"/>
              </w:rPr>
              <w:t>RefrTm-д суурилсан timestamp тооцоо нь бодит түүвэрлэлтийн PMU ба CT/VT-уудад  хүчин төгөлдөр байна.Гэсэн хэдий ч Phasor Data Gateway түвшинд SmpRate ба SampleCount гэсэн ойлголт тохирохгүй байна. Иймд SV APDU-д timestamp талбар (ж.нь "t") нэмэгдсэн бөгөөд ижил PDU бүтцийг шатлал ямар ч түвшинд ашиглах боломжтой.</w:t>
            </w:r>
          </w:p>
          <w:p w:rsidR="00CE2934" w:rsidRPr="00CE2934" w:rsidRDefault="00CE2934" w:rsidP="00CE2934">
            <w:pPr>
              <w:tabs>
                <w:tab w:val="left" w:pos="0"/>
              </w:tabs>
              <w:ind w:left="0" w:firstLine="0"/>
              <w:rPr>
                <w:rFonts w:eastAsia="Calibri"/>
                <w:bCs/>
                <w:szCs w:val="22"/>
              </w:rPr>
            </w:pPr>
            <w:r w:rsidRPr="00CE2934">
              <w:rPr>
                <w:rFonts w:eastAsia="Calibri"/>
                <w:bCs/>
                <w:szCs w:val="22"/>
              </w:rPr>
              <w:t>"t"-н утга нь IEC 61850-8-1-д заасан форматтай байх ёстой. TAI-ийг TimeQuality.LeapSecondsKnown-г FALSE гэж тохируулсанаар ашиглах боломжтой.</w:t>
            </w:r>
          </w:p>
          <w:p w:rsidR="00CE2934" w:rsidRPr="00CE2934" w:rsidRDefault="00CE2934" w:rsidP="00CE2934">
            <w:pPr>
              <w:tabs>
                <w:tab w:val="left" w:pos="0"/>
              </w:tabs>
              <w:ind w:left="0" w:firstLine="0"/>
              <w:rPr>
                <w:rFonts w:eastAsia="Calibri"/>
                <w:b/>
                <w:bCs/>
                <w:szCs w:val="22"/>
              </w:rPr>
            </w:pPr>
            <w:r w:rsidRPr="00CE2934">
              <w:rPr>
                <w:rFonts w:eastAsia="Calibri"/>
                <w:b/>
                <w:bCs/>
                <w:szCs w:val="22"/>
              </w:rPr>
              <w:t>11.3.1.2 Менежментийн сервис протокол нэмэх</w:t>
            </w:r>
          </w:p>
          <w:p w:rsidR="00CE2934" w:rsidRPr="00CE2934" w:rsidRDefault="00CE2934" w:rsidP="00CE2934">
            <w:pPr>
              <w:tabs>
                <w:tab w:val="left" w:pos="0"/>
              </w:tabs>
              <w:ind w:left="0" w:firstLine="0"/>
              <w:rPr>
                <w:rFonts w:eastAsia="Calibri"/>
                <w:bCs/>
                <w:szCs w:val="22"/>
              </w:rPr>
            </w:pPr>
            <w:r w:rsidRPr="00CE2934">
              <w:rPr>
                <w:rFonts w:eastAsia="Calibri"/>
                <w:bCs/>
                <w:szCs w:val="22"/>
              </w:rPr>
              <w:t>Одоогоор түүвэрлэсэн утгын хувьд GetGOReferences болон GetGOElementNumber сервистэй дүйцэхүйц зүйл алга.Гэсэн хэдий ч IEEE C37.118.2 CFG2 / CFG-3 командуудын ижил төстэй байдлыг хангах, SCL-гүй ажилласан хугацааны баталгаажуулалтыг дэмжихдээ, эдгээр сервисүүдийг IEC 61850-7-2-т нэмж оруулна. Энэ нь протоколын боловсруулах аргыг (11.3.3.6-ийг үзнэ үү) IEC 61850-9-2-т оруулах шаардлагатай болно.</w:t>
            </w:r>
          </w:p>
          <w:p w:rsidR="00CE2934" w:rsidRPr="00CE2934" w:rsidRDefault="00CE2934" w:rsidP="00CE2934">
            <w:pPr>
              <w:tabs>
                <w:tab w:val="left" w:pos="0"/>
              </w:tabs>
              <w:ind w:left="0" w:firstLine="0"/>
              <w:rPr>
                <w:rFonts w:eastAsia="Calibri"/>
                <w:b/>
                <w:bCs/>
                <w:szCs w:val="22"/>
              </w:rPr>
            </w:pPr>
            <w:r w:rsidRPr="00CE2934">
              <w:rPr>
                <w:rFonts w:eastAsia="Calibri"/>
                <w:b/>
                <w:bCs/>
                <w:szCs w:val="22"/>
              </w:rPr>
              <w:t>11.3.1.3 IEC 61850-8-1 ба IEC 61850-9-2-т шаардлагатай өөрчлөлтүүд</w:t>
            </w:r>
          </w:p>
          <w:p w:rsidR="00CE2934" w:rsidRPr="00CE2934" w:rsidRDefault="00CE2934" w:rsidP="00CE2934">
            <w:pPr>
              <w:tabs>
                <w:tab w:val="left" w:pos="0"/>
              </w:tabs>
              <w:ind w:left="0" w:firstLine="0"/>
              <w:rPr>
                <w:rFonts w:eastAsia="Calibri"/>
                <w:bCs/>
                <w:szCs w:val="22"/>
              </w:rPr>
            </w:pPr>
            <w:r w:rsidRPr="00CE2934">
              <w:rPr>
                <w:rFonts w:eastAsia="Calibri"/>
                <w:bCs/>
                <w:szCs w:val="22"/>
              </w:rPr>
              <w:t xml:space="preserve">DataSet-ийн элементүүдэд өөрийн timestamp-г оруулахыг зөвлөж </w:t>
            </w:r>
            <w:r w:rsidRPr="00CE2934">
              <w:rPr>
                <w:rFonts w:eastAsia="Calibri"/>
                <w:bCs/>
                <w:szCs w:val="22"/>
              </w:rPr>
              <w:lastRenderedPageBreak/>
              <w:t>байна.Нэмж хэлэхэд, DataSet элемент бүрийн QUALITY-ийг оруулах хэрэгтэй байж магадгүй юм. Иймээс Функциональ Хязгаарлагдмал Өгөгдөл (FCD)-ийг DataSet-ийн гишүүд болгон ашиглаж болох ба Функциональ Хязгаарлагдмал Өгөгдлийн Атрибут (FCDA) –ийг ашиглаж болохгүйг зөвлөж байна.</w:t>
            </w:r>
          </w:p>
          <w:p w:rsidR="00CE2934" w:rsidRPr="00CE2934" w:rsidRDefault="00CE2934" w:rsidP="00CE2934">
            <w:pPr>
              <w:tabs>
                <w:tab w:val="left" w:pos="0"/>
              </w:tabs>
              <w:ind w:left="0" w:firstLine="0"/>
              <w:rPr>
                <w:rFonts w:eastAsia="Calibri"/>
                <w:b/>
                <w:bCs/>
                <w:szCs w:val="22"/>
              </w:rPr>
            </w:pPr>
            <w:r w:rsidRPr="00CE2934">
              <w:rPr>
                <w:rFonts w:eastAsia="Calibri"/>
                <w:b/>
                <w:bCs/>
                <w:szCs w:val="22"/>
              </w:rPr>
              <w:t>11.3.2 Сейшн</w:t>
            </w:r>
            <w:r>
              <w:rPr>
                <w:rFonts w:eastAsia="Calibri"/>
                <w:b/>
                <w:bCs/>
                <w:szCs w:val="22"/>
              </w:rPr>
              <w:t xml:space="preserve"> </w:t>
            </w:r>
            <w:r w:rsidRPr="00CE2934">
              <w:rPr>
                <w:rFonts w:eastAsia="Calibri"/>
                <w:b/>
                <w:bCs/>
                <w:szCs w:val="22"/>
              </w:rPr>
              <w:t>давхарга</w:t>
            </w:r>
          </w:p>
          <w:p w:rsidR="00CE2934" w:rsidRPr="00CE2934" w:rsidRDefault="00CE2934" w:rsidP="00CE2934">
            <w:pPr>
              <w:tabs>
                <w:tab w:val="left" w:pos="0"/>
              </w:tabs>
              <w:ind w:left="0" w:firstLine="0"/>
              <w:rPr>
                <w:rFonts w:eastAsia="Calibri"/>
                <w:bCs/>
                <w:szCs w:val="22"/>
              </w:rPr>
            </w:pPr>
            <w:r w:rsidRPr="00CE2934">
              <w:rPr>
                <w:rFonts w:eastAsia="Calibri"/>
                <w:bCs/>
                <w:szCs w:val="22"/>
              </w:rPr>
              <w:t>ITU X.235 нь OSI Холболтгүй Горимыг илэрхийлэхийн тулд 64 (аравтын) утгатай Горим Тодорхойлогч (SI) утгыг хадгалдаг. Тиймээс энэ утгыг ашиглахгүй байж магадгүй.</w:t>
            </w:r>
          </w:p>
        </w:tc>
        <w:tc>
          <w:tcPr>
            <w:tcW w:w="4672" w:type="dxa"/>
          </w:tcPr>
          <w:p w:rsidR="00CE2934" w:rsidRPr="00CE2934" w:rsidRDefault="00CE2934" w:rsidP="00CE2934">
            <w:pPr>
              <w:tabs>
                <w:tab w:val="left" w:pos="0"/>
              </w:tabs>
              <w:ind w:left="0" w:firstLine="0"/>
              <w:rPr>
                <w:rFonts w:eastAsia="Calibri"/>
                <w:bCs/>
                <w:szCs w:val="22"/>
              </w:rPr>
            </w:pPr>
            <w:r w:rsidRPr="00CE2934">
              <w:rPr>
                <w:rFonts w:eastAsia="Calibri"/>
                <w:bCs/>
                <w:szCs w:val="22"/>
              </w:rPr>
              <w:lastRenderedPageBreak/>
              <w:t>The MsvID attribute could be used to convey IEEE C37.118.2 Station and IDCode information. It is recommended that the following format be utilized: C37-118-&lt;Station Name&gt;-&lt;IDCode&gt;. Where the Station Name and IDCode values are the appropriate VisibleString characters.</w:t>
            </w:r>
          </w:p>
          <w:p w:rsidR="00CE2934" w:rsidRPr="00CE2934" w:rsidRDefault="00CE2934" w:rsidP="00CE2934">
            <w:pPr>
              <w:tabs>
                <w:tab w:val="left" w:pos="0"/>
              </w:tabs>
              <w:ind w:left="0" w:firstLine="0"/>
              <w:rPr>
                <w:rFonts w:eastAsia="Calibri"/>
                <w:b/>
                <w:bCs/>
                <w:szCs w:val="22"/>
              </w:rPr>
            </w:pPr>
            <w:r w:rsidRPr="00CE2934">
              <w:rPr>
                <w:rFonts w:eastAsia="Calibri"/>
                <w:b/>
                <w:bCs/>
                <w:szCs w:val="22"/>
              </w:rPr>
              <w:t>11.3.1.1.1  t – Timestamp</w:t>
            </w:r>
          </w:p>
          <w:p w:rsidR="00CE2934" w:rsidRPr="00CE2934" w:rsidRDefault="00CE2934" w:rsidP="00CE2934">
            <w:pPr>
              <w:tabs>
                <w:tab w:val="left" w:pos="0"/>
              </w:tabs>
              <w:ind w:left="0" w:firstLine="0"/>
              <w:rPr>
                <w:rFonts w:eastAsia="Calibri"/>
                <w:bCs/>
                <w:szCs w:val="22"/>
              </w:rPr>
            </w:pPr>
            <w:r w:rsidRPr="00CE2934">
              <w:rPr>
                <w:rFonts w:eastAsia="Calibri"/>
                <w:bCs/>
                <w:szCs w:val="22"/>
              </w:rPr>
              <w:t>There is need, for wide area network communications, to convey an absolute timestamp that represents the contents of the stream. Currently, the only available timestamp is the attribute RefrTm. However, in IEC 61850-9-2, EntryTime is defined as a  “48-bit TimeStamp as  defined in IEC 61850-8-1”.</w:t>
            </w:r>
          </w:p>
          <w:p w:rsidR="00CE2934" w:rsidRPr="00CE2934" w:rsidRDefault="00CE2934" w:rsidP="00CE2934">
            <w:pPr>
              <w:tabs>
                <w:tab w:val="left" w:pos="0"/>
              </w:tabs>
              <w:ind w:left="0" w:firstLine="0"/>
              <w:rPr>
                <w:rFonts w:eastAsia="Calibri"/>
                <w:bCs/>
                <w:szCs w:val="22"/>
              </w:rPr>
            </w:pPr>
            <w:r w:rsidRPr="00CE2934">
              <w:rPr>
                <w:rFonts w:eastAsia="Calibri"/>
                <w:bCs/>
                <w:szCs w:val="22"/>
              </w:rPr>
              <w:t>In IEC 61850-8-1, EntryTime is defined to be:</w:t>
            </w:r>
          </w:p>
          <w:p w:rsidR="00CE2934" w:rsidRPr="00CE2934" w:rsidRDefault="00CE2934" w:rsidP="00CE2934">
            <w:pPr>
              <w:tabs>
                <w:tab w:val="left" w:pos="0"/>
              </w:tabs>
              <w:ind w:left="0" w:firstLine="0"/>
              <w:rPr>
                <w:rFonts w:eastAsia="Calibri"/>
                <w:bCs/>
                <w:szCs w:val="22"/>
              </w:rPr>
            </w:pPr>
            <w:r w:rsidRPr="00CE2934">
              <w:rPr>
                <w:rFonts w:eastAsia="Calibri"/>
                <w:bCs/>
                <w:szCs w:val="22"/>
              </w:rPr>
              <w:t>“EntryTime shall be mapped to the MMS DataType of BINARY-TIME. The size of the BINARY- TIME value shall be six (6) octets.</w:t>
            </w:r>
          </w:p>
          <w:p w:rsidR="00CE2934" w:rsidRPr="00CE2934" w:rsidRDefault="00CE2934" w:rsidP="00CE2934">
            <w:pPr>
              <w:tabs>
                <w:tab w:val="left" w:pos="0"/>
              </w:tabs>
              <w:ind w:left="0" w:firstLine="0"/>
              <w:rPr>
                <w:rFonts w:eastAsia="Calibri"/>
                <w:bCs/>
                <w:szCs w:val="22"/>
              </w:rPr>
            </w:pPr>
            <w:r w:rsidRPr="00CE2934">
              <w:rPr>
                <w:rFonts w:eastAsia="Calibri"/>
                <w:bCs/>
                <w:szCs w:val="22"/>
              </w:rPr>
              <w:t>The MMS TimeOfDay epoch began at 0 hours on 1 January 1984 (MJD 40 587). Times measured are designated in this standard as MMS TimeOfDay milli-seconds GMT and TimeOfDay days GMT, and represent offets from the epoch. It should be noted   that exceptions to this mapping do occur.”</w:t>
            </w:r>
          </w:p>
          <w:p w:rsidR="00CE2934" w:rsidRPr="00CE2934" w:rsidRDefault="00CE2934" w:rsidP="00CE2934">
            <w:pPr>
              <w:tabs>
                <w:tab w:val="left" w:pos="0"/>
              </w:tabs>
              <w:ind w:left="0" w:firstLine="0"/>
              <w:rPr>
                <w:rFonts w:eastAsia="Calibri"/>
                <w:bCs/>
                <w:szCs w:val="22"/>
              </w:rPr>
            </w:pPr>
            <w:r w:rsidRPr="00CE2934">
              <w:rPr>
                <w:rFonts w:eastAsia="Calibri"/>
                <w:bCs/>
                <w:szCs w:val="22"/>
              </w:rPr>
              <w:t>This means that the “absolute timestamp”, of a resolution required for synchrophasors can be calculated for SV:</w:t>
            </w:r>
          </w:p>
          <w:p w:rsidR="00CE2934" w:rsidRPr="00CE2934" w:rsidRDefault="00CE2934" w:rsidP="00CE2934">
            <w:pPr>
              <w:tabs>
                <w:tab w:val="left" w:pos="0"/>
              </w:tabs>
              <w:ind w:left="0" w:firstLine="0"/>
              <w:rPr>
                <w:rFonts w:eastAsia="Calibri"/>
                <w:bCs/>
                <w:szCs w:val="22"/>
              </w:rPr>
            </w:pPr>
            <w:r w:rsidRPr="00CE2934">
              <w:rPr>
                <w:rFonts w:eastAsia="Calibri"/>
                <w:bCs/>
                <w:szCs w:val="22"/>
              </w:rPr>
              <w:t>RefrTm(EntryTime) + SmpCnt/(SmpRate)</w:t>
            </w:r>
          </w:p>
          <w:p w:rsidR="00CE2934" w:rsidRPr="00CE2934" w:rsidRDefault="00CE2934" w:rsidP="00CE2934">
            <w:pPr>
              <w:tabs>
                <w:tab w:val="left" w:pos="0"/>
              </w:tabs>
              <w:ind w:left="0" w:firstLine="0"/>
              <w:rPr>
                <w:rFonts w:eastAsia="Calibri"/>
                <w:bCs/>
                <w:szCs w:val="22"/>
              </w:rPr>
            </w:pPr>
            <w:r w:rsidRPr="00CE2934">
              <w:rPr>
                <w:rFonts w:eastAsia="Calibri"/>
                <w:bCs/>
                <w:szCs w:val="22"/>
              </w:rPr>
              <w:t>Therefore, for synchrophasor information, RefrTm, SmpCnt, and SmpRate shall be  sent in  a SV message.</w:t>
            </w:r>
          </w:p>
          <w:p w:rsidR="00CE2934" w:rsidRPr="00CE2934" w:rsidRDefault="00CE2934" w:rsidP="00CE2934">
            <w:pPr>
              <w:tabs>
                <w:tab w:val="left" w:pos="0"/>
              </w:tabs>
              <w:ind w:left="0" w:firstLine="0"/>
              <w:rPr>
                <w:rFonts w:eastAsia="Calibri"/>
                <w:bCs/>
                <w:szCs w:val="22"/>
              </w:rPr>
            </w:pPr>
            <w:r w:rsidRPr="00CE2934">
              <w:rPr>
                <w:rFonts w:eastAsia="Calibri"/>
                <w:bCs/>
                <w:szCs w:val="22"/>
              </w:rPr>
              <w:t xml:space="preserve">For DataSet elements that are not sampled at that time, the DataSet element will need to include its own timestamp. </w:t>
            </w:r>
            <w:r w:rsidRPr="00CE2934">
              <w:rPr>
                <w:rFonts w:eastAsia="Calibri"/>
                <w:bCs/>
                <w:szCs w:val="22"/>
              </w:rPr>
              <w:lastRenderedPageBreak/>
              <w:t>Additionally, the QUALITY for each DataSet element may need to  be included. As such, it is recommended that Functionally Constrained Data (FCD) and not Functionally Constrained Data Attributes (FCDA) be utilized as DataSet members.</w:t>
            </w:r>
          </w:p>
          <w:p w:rsidR="00CE2934" w:rsidRPr="00CE2934" w:rsidRDefault="00CE2934" w:rsidP="00CE2934">
            <w:pPr>
              <w:tabs>
                <w:tab w:val="left" w:pos="0"/>
              </w:tabs>
              <w:ind w:left="0" w:firstLine="0"/>
              <w:rPr>
                <w:rFonts w:eastAsia="Calibri"/>
                <w:bCs/>
                <w:szCs w:val="22"/>
              </w:rPr>
            </w:pPr>
            <w:r w:rsidRPr="00CE2934">
              <w:rPr>
                <w:rFonts w:eastAsia="Calibri"/>
                <w:bCs/>
                <w:szCs w:val="22"/>
              </w:rPr>
              <w:t>The timestamp calculation, based upon RefrTm, is valid for PMUs and CTs/VTs where the actual sampling is actually occurring. However, at the Phasor Data Gateway level,  the  concept of  SmpRate and SampleCount are not appropriate. Therefore, the timestamp field (e.g. “t”) has been added to the SV APDU to allow the same PDU structure to be used at any level in the hierarchy.</w:t>
            </w:r>
          </w:p>
          <w:p w:rsidR="00CE2934" w:rsidRPr="00CE2934" w:rsidRDefault="00CE2934" w:rsidP="00CE2934">
            <w:pPr>
              <w:tabs>
                <w:tab w:val="left" w:pos="0"/>
              </w:tabs>
              <w:ind w:left="0" w:firstLine="0"/>
              <w:rPr>
                <w:rFonts w:eastAsia="Calibri"/>
                <w:bCs/>
                <w:szCs w:val="22"/>
              </w:rPr>
            </w:pPr>
            <w:r w:rsidRPr="00CE2934">
              <w:rPr>
                <w:rFonts w:eastAsia="Calibri"/>
                <w:bCs/>
                <w:szCs w:val="22"/>
              </w:rPr>
              <w:t>The value of “t” shall be of the format specified in IEC 61850-8-1. It is recommended that TAI be utilized through having the TimeQuality.LeapSecondsKnown set FALSE.</w:t>
            </w:r>
          </w:p>
          <w:p w:rsidR="00CE2934" w:rsidRPr="00CE2934" w:rsidRDefault="00CE2934" w:rsidP="00CE2934">
            <w:pPr>
              <w:tabs>
                <w:tab w:val="left" w:pos="0"/>
              </w:tabs>
              <w:ind w:left="0" w:firstLine="0"/>
              <w:rPr>
                <w:rFonts w:eastAsia="Calibri"/>
                <w:b/>
                <w:bCs/>
                <w:szCs w:val="22"/>
              </w:rPr>
            </w:pPr>
            <w:r w:rsidRPr="00CE2934">
              <w:rPr>
                <w:rFonts w:eastAsia="Calibri"/>
                <w:b/>
                <w:bCs/>
                <w:szCs w:val="22"/>
              </w:rPr>
              <w:t>11.3.1.2 Addition of management services protocol</w:t>
            </w:r>
          </w:p>
          <w:p w:rsidR="00CE2934" w:rsidRPr="00CE2934" w:rsidRDefault="00CE2934" w:rsidP="00CE2934">
            <w:pPr>
              <w:tabs>
                <w:tab w:val="left" w:pos="0"/>
              </w:tabs>
              <w:ind w:left="0" w:firstLine="0"/>
              <w:rPr>
                <w:rFonts w:eastAsia="Calibri"/>
                <w:bCs/>
                <w:szCs w:val="22"/>
              </w:rPr>
            </w:pPr>
            <w:r w:rsidRPr="00CE2934">
              <w:rPr>
                <w:rFonts w:eastAsia="Calibri"/>
                <w:bCs/>
                <w:szCs w:val="22"/>
              </w:rPr>
              <w:t xml:space="preserve">Currently there is no equivalent to GetGOReferences and GetGOElementNumber services for sampled values. However, in order to support the equivalence of IEEE C37.118.2 CFG- 2/CFG-3 commands, and to support run-time verification without SCL, these services shall be added to IEC 61850-7-2. This means that the protocol productions (see </w:t>
            </w:r>
            <w:hyperlink w:anchor="_bookmark48" w:history="1">
              <w:r w:rsidRPr="00CE2934">
                <w:rPr>
                  <w:rFonts w:eastAsia="Calibri"/>
                  <w:bCs/>
                  <w:szCs w:val="22"/>
                </w:rPr>
                <w:t>11.3.3.6</w:t>
              </w:r>
            </w:hyperlink>
            <w:r w:rsidRPr="00CE2934">
              <w:rPr>
                <w:rFonts w:eastAsia="Calibri"/>
                <w:bCs/>
                <w:szCs w:val="22"/>
              </w:rPr>
              <w:t>) will need to  be added to IEC 61850-9-2.</w:t>
            </w:r>
          </w:p>
          <w:p w:rsidR="00CE2934" w:rsidRPr="00CE2934" w:rsidRDefault="00CE2934" w:rsidP="00CE2934">
            <w:pPr>
              <w:tabs>
                <w:tab w:val="left" w:pos="0"/>
              </w:tabs>
              <w:ind w:left="0" w:firstLine="0"/>
              <w:rPr>
                <w:rFonts w:eastAsia="Calibri"/>
                <w:b/>
                <w:bCs/>
                <w:szCs w:val="22"/>
              </w:rPr>
            </w:pPr>
            <w:r w:rsidRPr="00CE2934">
              <w:rPr>
                <w:rFonts w:eastAsia="Calibri"/>
                <w:b/>
                <w:bCs/>
                <w:szCs w:val="22"/>
              </w:rPr>
              <w:t>11.3.1.3 Changes required for IEC 61850-8-1 and IEC 61850-9-2</w:t>
            </w:r>
          </w:p>
          <w:p w:rsidR="00CE2934" w:rsidRPr="00CE2934" w:rsidRDefault="00CE2934" w:rsidP="00CE2934">
            <w:pPr>
              <w:tabs>
                <w:tab w:val="left" w:pos="0"/>
              </w:tabs>
              <w:ind w:left="0" w:firstLine="0"/>
              <w:rPr>
                <w:rFonts w:eastAsia="Calibri"/>
                <w:bCs/>
                <w:szCs w:val="22"/>
              </w:rPr>
            </w:pPr>
            <w:r w:rsidRPr="00CE2934">
              <w:rPr>
                <w:rFonts w:eastAsia="Calibri"/>
                <w:bCs/>
                <w:szCs w:val="22"/>
              </w:rPr>
              <w:t xml:space="preserve">It is recommended that the DataSet elements include their own timestamp. Additionally, the QUALITY for each DataSet element may need to be included. As  such, it  is  recommended  that Functionally Constrained Data (FCD) and </w:t>
            </w:r>
            <w:r w:rsidRPr="00CE2934">
              <w:rPr>
                <w:rFonts w:eastAsia="Calibri"/>
                <w:bCs/>
                <w:szCs w:val="22"/>
              </w:rPr>
              <w:lastRenderedPageBreak/>
              <w:t>not Functionally Constrained Data Attributes (FCDA) be utilized as DataSet members.</w:t>
            </w:r>
          </w:p>
          <w:p w:rsidR="00CE2934" w:rsidRPr="00CE2934" w:rsidRDefault="00CE2934" w:rsidP="00CE2934">
            <w:pPr>
              <w:tabs>
                <w:tab w:val="left" w:pos="0"/>
              </w:tabs>
              <w:ind w:left="0" w:firstLine="0"/>
              <w:rPr>
                <w:rFonts w:eastAsia="Calibri"/>
                <w:bCs/>
                <w:szCs w:val="22"/>
              </w:rPr>
            </w:pPr>
          </w:p>
          <w:p w:rsidR="00CE2934" w:rsidRPr="00CE2934" w:rsidRDefault="00CE2934" w:rsidP="00CE2934">
            <w:pPr>
              <w:tabs>
                <w:tab w:val="left" w:pos="0"/>
              </w:tabs>
              <w:ind w:left="0" w:firstLine="0"/>
              <w:rPr>
                <w:rFonts w:eastAsia="Calibri"/>
                <w:b/>
                <w:bCs/>
                <w:szCs w:val="22"/>
              </w:rPr>
            </w:pPr>
            <w:bookmarkStart w:id="45" w:name="_TOC_250023"/>
            <w:r w:rsidRPr="00CE2934">
              <w:rPr>
                <w:rFonts w:eastAsia="Calibri"/>
                <w:b/>
                <w:bCs/>
                <w:szCs w:val="22"/>
              </w:rPr>
              <w:t xml:space="preserve">11.3.2Session </w:t>
            </w:r>
            <w:bookmarkEnd w:id="45"/>
            <w:r w:rsidRPr="00CE2934">
              <w:rPr>
                <w:rFonts w:eastAsia="Calibri"/>
                <w:b/>
                <w:bCs/>
                <w:szCs w:val="22"/>
              </w:rPr>
              <w:t>layer</w:t>
            </w:r>
          </w:p>
          <w:p w:rsidR="00CE2934" w:rsidRPr="00CE2934" w:rsidRDefault="00CE2934" w:rsidP="00CE2934">
            <w:pPr>
              <w:tabs>
                <w:tab w:val="left" w:pos="0"/>
              </w:tabs>
              <w:ind w:left="0" w:firstLine="0"/>
              <w:rPr>
                <w:rFonts w:eastAsia="Calibri"/>
                <w:bCs/>
                <w:szCs w:val="22"/>
              </w:rPr>
            </w:pPr>
            <w:r w:rsidRPr="00CE2934">
              <w:rPr>
                <w:rFonts w:eastAsia="Calibri"/>
                <w:bCs/>
                <w:szCs w:val="22"/>
              </w:rPr>
              <w:t>ITU X.235 reserves a Session Identifier (SI)  value of 64 (decimal) to indicate OSI Connectionless Session. Therefore, this value may not be used.</w:t>
            </w:r>
          </w:p>
          <w:p w:rsidR="00CE2934" w:rsidRPr="00CE2934" w:rsidRDefault="00CE2934" w:rsidP="00CE2934">
            <w:pPr>
              <w:tabs>
                <w:tab w:val="left" w:pos="0"/>
              </w:tabs>
              <w:ind w:left="0" w:firstLine="0"/>
              <w:rPr>
                <w:rFonts w:eastAsia="Calibri"/>
                <w:bCs/>
                <w:szCs w:val="22"/>
              </w:rPr>
            </w:pPr>
          </w:p>
        </w:tc>
      </w:tr>
    </w:tbl>
    <w:p w:rsidR="00CE2934" w:rsidRDefault="00CE2934" w:rsidP="00CE2934">
      <w:pPr>
        <w:tabs>
          <w:tab w:val="left" w:pos="0"/>
        </w:tabs>
        <w:ind w:left="0" w:firstLine="0"/>
        <w:jc w:val="center"/>
        <w:rPr>
          <w:rFonts w:eastAsia="Calibri"/>
          <w:b/>
          <w:bCs/>
          <w:lang w:val="en-US"/>
        </w:rPr>
      </w:pPr>
    </w:p>
    <w:p w:rsidR="00CE2934" w:rsidRDefault="00CE2934" w:rsidP="00CE2934">
      <w:pPr>
        <w:tabs>
          <w:tab w:val="left" w:pos="0"/>
        </w:tabs>
        <w:ind w:left="0" w:firstLine="0"/>
        <w:jc w:val="center"/>
      </w:pPr>
      <w:r w:rsidRPr="00731F96">
        <w:object w:dxaOrig="6887" w:dyaOrig="4930">
          <v:shape id="_x0000_i1073" type="#_x0000_t75" style="width:342.25pt;height:245.9pt" o:ole="">
            <v:imagedata r:id="rId68" o:title=""/>
          </v:shape>
          <o:OLEObject Type="Embed" ProgID="Visio.Drawing.11" ShapeID="_x0000_i1073" DrawAspect="Content" ObjectID="_1701177463" r:id="rId69"/>
        </w:object>
      </w:r>
    </w:p>
    <w:p w:rsidR="00CE2934" w:rsidRDefault="00CE2934" w:rsidP="00CE2934">
      <w:pPr>
        <w:tabs>
          <w:tab w:val="left" w:pos="0"/>
        </w:tabs>
        <w:ind w:left="0" w:firstLine="0"/>
        <w:jc w:val="center"/>
        <w:rPr>
          <w:b/>
        </w:rPr>
      </w:pPr>
      <w:r w:rsidRPr="00CE2934">
        <w:rPr>
          <w:b/>
        </w:rPr>
        <w:t>24-р зураг – Сейшнпротоколын үндсэн байтын дараалал</w:t>
      </w:r>
    </w:p>
    <w:p w:rsidR="00CE2934" w:rsidRDefault="00CE2934" w:rsidP="00CE2934">
      <w:pPr>
        <w:tabs>
          <w:tab w:val="left" w:pos="0"/>
        </w:tabs>
        <w:ind w:left="0" w:firstLine="0"/>
        <w:jc w:val="center"/>
        <w:rPr>
          <w:rFonts w:eastAsia="Calibri"/>
          <w:b/>
          <w:bCs/>
        </w:rPr>
      </w:pPr>
      <w:r w:rsidRPr="00EF2D2B">
        <w:rPr>
          <w:noProof/>
          <w:lang w:val="en-US"/>
        </w:rPr>
        <w:lastRenderedPageBreak/>
        <w:drawing>
          <wp:inline distT="0" distB="0" distL="0" distR="0" wp14:anchorId="5B3E270F" wp14:editId="7A6D4E40">
            <wp:extent cx="4664437" cy="3330054"/>
            <wp:effectExtent l="0" t="0" r="3175" b="381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79718" cy="3340964"/>
                    </a:xfrm>
                    <a:prstGeom prst="rect">
                      <a:avLst/>
                    </a:prstGeom>
                  </pic:spPr>
                </pic:pic>
              </a:graphicData>
            </a:graphic>
          </wp:inline>
        </w:drawing>
      </w:r>
    </w:p>
    <w:p w:rsidR="00CE2934" w:rsidRDefault="00CE2934" w:rsidP="00CE2934">
      <w:pPr>
        <w:pStyle w:val="Heading5"/>
        <w:tabs>
          <w:tab w:val="left" w:pos="0"/>
        </w:tabs>
        <w:spacing w:line="276" w:lineRule="auto"/>
        <w:ind w:right="1058"/>
        <w:jc w:val="center"/>
        <w:rPr>
          <w:rFonts w:ascii="Arial" w:hAnsi="Arial" w:cs="Arial"/>
          <w:b/>
          <w:color w:val="auto"/>
          <w:szCs w:val="24"/>
          <w:lang w:val="mn-MN"/>
        </w:rPr>
      </w:pPr>
      <w:r w:rsidRPr="00731F96">
        <w:rPr>
          <w:rFonts w:ascii="Arial" w:hAnsi="Arial" w:cs="Arial"/>
          <w:b/>
          <w:color w:val="auto"/>
          <w:szCs w:val="24"/>
          <w:lang w:val="mn-MN"/>
        </w:rPr>
        <w:t>Figure 24 – General byte ordering of session protocol</w:t>
      </w:r>
    </w:p>
    <w:p w:rsidR="00CE2934" w:rsidRDefault="00CE2934" w:rsidP="004F2A61">
      <w:pPr>
        <w:tabs>
          <w:tab w:val="left" w:pos="0"/>
        </w:tabs>
        <w:ind w:left="0" w:firstLine="0"/>
        <w:jc w:val="center"/>
        <w:rPr>
          <w:rFonts w:eastAsia="Calibri"/>
          <w:b/>
          <w:bCs/>
          <w:lang w:val="en-US"/>
        </w:rPr>
      </w:pPr>
    </w:p>
    <w:tbl>
      <w:tblPr>
        <w:tblStyle w:val="TableGrid"/>
        <w:tblW w:w="0" w:type="auto"/>
        <w:tblLook w:val="04A0" w:firstRow="1" w:lastRow="0" w:firstColumn="1" w:lastColumn="0" w:noHBand="0" w:noVBand="1"/>
      </w:tblPr>
      <w:tblGrid>
        <w:gridCol w:w="4672"/>
        <w:gridCol w:w="4672"/>
      </w:tblGrid>
      <w:tr w:rsidR="00CE2934" w:rsidTr="00CE2934">
        <w:tc>
          <w:tcPr>
            <w:tcW w:w="4672" w:type="dxa"/>
          </w:tcPr>
          <w:p w:rsidR="00CE2934" w:rsidRPr="00CE2934" w:rsidRDefault="00CE2934" w:rsidP="00CE2934">
            <w:pPr>
              <w:tabs>
                <w:tab w:val="left" w:pos="0"/>
              </w:tabs>
              <w:ind w:left="0" w:firstLine="0"/>
              <w:rPr>
                <w:rFonts w:eastAsia="Calibri"/>
                <w:b/>
                <w:bCs/>
                <w:szCs w:val="22"/>
              </w:rPr>
            </w:pPr>
            <w:r w:rsidRPr="00CE2934">
              <w:rPr>
                <w:rFonts w:eastAsia="Calibri"/>
                <w:b/>
                <w:bCs/>
                <w:szCs w:val="22"/>
              </w:rPr>
              <w:t>11.3.2.1 Ерөнхий</w:t>
            </w:r>
          </w:p>
          <w:p w:rsidR="00CE2934" w:rsidRPr="00CE2934" w:rsidRDefault="00CE2934" w:rsidP="00CE2934">
            <w:pPr>
              <w:tabs>
                <w:tab w:val="left" w:pos="0"/>
              </w:tabs>
              <w:ind w:left="0" w:firstLine="0"/>
              <w:rPr>
                <w:rFonts w:eastAsia="Calibri"/>
                <w:bCs/>
                <w:szCs w:val="22"/>
              </w:rPr>
            </w:pPr>
            <w:r w:rsidRPr="00CE2934">
              <w:rPr>
                <w:rFonts w:eastAsia="Calibri"/>
                <w:bCs/>
                <w:szCs w:val="22"/>
              </w:rPr>
              <w:t>Зураг 24-т горимын протоколын ерөнхий бүтэц, дамжуулах протоколыг бит / байт дарааллаар харуулав. Ерөнхийдөө нэг байтын урттай Горим Тодорхойлогч (SI) байна. Энэ урт нь горимын гарчигт бүх параметрийн талбаруудын урт хамардаг, гэхдээ горимын протоколын хэрэглэгчийн өгөгдлийг агуулдаггүй.</w:t>
            </w:r>
          </w:p>
        </w:tc>
        <w:tc>
          <w:tcPr>
            <w:tcW w:w="4672" w:type="dxa"/>
          </w:tcPr>
          <w:p w:rsidR="00CE2934" w:rsidRPr="00CE2934" w:rsidRDefault="00CE2934" w:rsidP="00CE2934">
            <w:pPr>
              <w:tabs>
                <w:tab w:val="left" w:pos="0"/>
              </w:tabs>
              <w:ind w:left="0" w:firstLine="0"/>
              <w:rPr>
                <w:rFonts w:eastAsia="Calibri"/>
                <w:b/>
                <w:bCs/>
                <w:szCs w:val="22"/>
              </w:rPr>
            </w:pPr>
            <w:r w:rsidRPr="00CE2934">
              <w:rPr>
                <w:rFonts w:eastAsia="Calibri"/>
                <w:b/>
                <w:bCs/>
                <w:szCs w:val="22"/>
              </w:rPr>
              <w:t>11.3.2.1 General</w:t>
            </w:r>
          </w:p>
          <w:p w:rsidR="00CE2934" w:rsidRPr="00CE2934" w:rsidRDefault="00D80958" w:rsidP="00CE2934">
            <w:pPr>
              <w:tabs>
                <w:tab w:val="left" w:pos="0"/>
              </w:tabs>
              <w:ind w:left="0" w:firstLine="0"/>
              <w:rPr>
                <w:rFonts w:eastAsia="Calibri"/>
                <w:bCs/>
                <w:szCs w:val="22"/>
              </w:rPr>
            </w:pPr>
            <w:hyperlink w:anchor="_bookmark41" w:history="1">
              <w:r w:rsidR="00CE2934" w:rsidRPr="00CE2934">
                <w:rPr>
                  <w:rFonts w:eastAsia="Calibri"/>
                  <w:bCs/>
                  <w:szCs w:val="22"/>
                </w:rPr>
                <w:t xml:space="preserve">Figure 24 </w:t>
              </w:r>
            </w:hyperlink>
            <w:r w:rsidR="00CE2934" w:rsidRPr="00CE2934">
              <w:rPr>
                <w:rFonts w:eastAsia="Calibri"/>
                <w:bCs/>
                <w:szCs w:val="22"/>
              </w:rPr>
              <w:t>shows the general construction of the session protocol, and the bit/byte ordering for the protocol for transmission. In general, there will be a Session Identifier (SI) which has a single byte length. This length covers the length of all of the parameter fields for the session header, but not the user data of the session protocol.</w:t>
            </w:r>
          </w:p>
        </w:tc>
      </w:tr>
    </w:tbl>
    <w:p w:rsidR="00CE2934" w:rsidRDefault="00CE2934" w:rsidP="00F11C9C">
      <w:pPr>
        <w:ind w:left="0" w:firstLine="0"/>
      </w:pPr>
    </w:p>
    <w:p w:rsidR="00F11C9C" w:rsidRDefault="00F11C9C" w:rsidP="00F11C9C">
      <w:pPr>
        <w:ind w:left="0" w:firstLine="0"/>
      </w:pPr>
      <w:r w:rsidRPr="00731F96">
        <w:object w:dxaOrig="9570" w:dyaOrig="11595">
          <v:shape id="_x0000_i1074" type="#_x0000_t75" style="width:398.35pt;height:484.35pt" o:ole="">
            <v:imagedata r:id="rId71" o:title=""/>
          </v:shape>
          <o:OLEObject Type="Embed" ProgID="Visio.Drawing.11" ShapeID="_x0000_i1074" DrawAspect="Content" ObjectID="_1701177464" r:id="rId72"/>
        </w:object>
      </w:r>
    </w:p>
    <w:p w:rsidR="00F11C9C" w:rsidRPr="00CE2934" w:rsidRDefault="00F11C9C" w:rsidP="00F11C9C"/>
    <w:p w:rsidR="00F11C9C" w:rsidRDefault="00F11C9C" w:rsidP="00F11C9C">
      <w:pPr>
        <w:tabs>
          <w:tab w:val="left" w:pos="0"/>
        </w:tabs>
        <w:ind w:left="0" w:firstLine="0"/>
        <w:jc w:val="center"/>
        <w:rPr>
          <w:rFonts w:eastAsia="Calibri"/>
          <w:b/>
          <w:bCs/>
        </w:rPr>
      </w:pPr>
      <w:r w:rsidRPr="00F11C9C">
        <w:rPr>
          <w:rFonts w:eastAsia="Calibri"/>
          <w:b/>
          <w:bCs/>
        </w:rPr>
        <w:t>25</w:t>
      </w:r>
      <w:r>
        <w:rPr>
          <w:rFonts w:eastAsia="Calibri"/>
          <w:b/>
          <w:bCs/>
        </w:rPr>
        <w:t>-р зураг</w:t>
      </w:r>
      <w:r w:rsidRPr="00F11C9C">
        <w:rPr>
          <w:rFonts w:eastAsia="Calibri"/>
          <w:b/>
          <w:bCs/>
        </w:rPr>
        <w:t xml:space="preserve"> – IEC / TR 61850-90-5 горимын протоколын бүтэц</w:t>
      </w:r>
    </w:p>
    <w:p w:rsidR="00F11C9C" w:rsidRDefault="00F11C9C" w:rsidP="00F11C9C">
      <w:pPr>
        <w:tabs>
          <w:tab w:val="left" w:pos="0"/>
        </w:tabs>
        <w:ind w:left="0" w:firstLine="0"/>
        <w:jc w:val="center"/>
        <w:rPr>
          <w:rFonts w:eastAsia="Calibri"/>
          <w:b/>
          <w:bCs/>
        </w:rPr>
      </w:pPr>
      <w:r w:rsidRPr="00EF2D2B">
        <w:rPr>
          <w:noProof/>
          <w:lang w:val="en-US"/>
        </w:rPr>
        <w:lastRenderedPageBreak/>
        <w:drawing>
          <wp:inline distT="0" distB="0" distL="0" distR="0" wp14:anchorId="3E664187" wp14:editId="73ECB76D">
            <wp:extent cx="4846320" cy="5707380"/>
            <wp:effectExtent l="0" t="0" r="0" b="0"/>
            <wp:docPr id="188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73" cstate="print"/>
                    <a:stretch>
                      <a:fillRect/>
                    </a:stretch>
                  </pic:blipFill>
                  <pic:spPr>
                    <a:xfrm>
                      <a:off x="0" y="0"/>
                      <a:ext cx="4846320" cy="5707380"/>
                    </a:xfrm>
                    <a:prstGeom prst="rect">
                      <a:avLst/>
                    </a:prstGeom>
                  </pic:spPr>
                </pic:pic>
              </a:graphicData>
            </a:graphic>
          </wp:inline>
        </w:drawing>
      </w:r>
    </w:p>
    <w:p w:rsidR="00F11C9C" w:rsidRDefault="00F11C9C" w:rsidP="00F11C9C">
      <w:pPr>
        <w:tabs>
          <w:tab w:val="left" w:pos="0"/>
        </w:tabs>
        <w:ind w:left="0" w:firstLine="0"/>
        <w:jc w:val="center"/>
        <w:rPr>
          <w:rFonts w:eastAsia="Calibri"/>
          <w:b/>
          <w:bCs/>
        </w:rPr>
      </w:pPr>
    </w:p>
    <w:p w:rsidR="00F11C9C" w:rsidRPr="00CE2934" w:rsidRDefault="00F11C9C" w:rsidP="00F11C9C">
      <w:pPr>
        <w:tabs>
          <w:tab w:val="left" w:pos="0"/>
        </w:tabs>
        <w:ind w:left="0" w:firstLine="0"/>
        <w:jc w:val="center"/>
        <w:rPr>
          <w:rFonts w:eastAsia="Calibri"/>
          <w:b/>
          <w:bCs/>
        </w:rPr>
      </w:pPr>
      <w:r w:rsidRPr="00F11C9C">
        <w:rPr>
          <w:rFonts w:eastAsia="Calibri"/>
          <w:b/>
          <w:bCs/>
        </w:rPr>
        <w:t>Figure 25 – Structure of IEC/TR 61850-90-5 session protocol</w:t>
      </w:r>
    </w:p>
    <w:p w:rsidR="00F11C9C" w:rsidRDefault="00F11C9C" w:rsidP="00F11C9C">
      <w:pPr>
        <w:ind w:left="0" w:firstLine="0"/>
      </w:pPr>
    </w:p>
    <w:tbl>
      <w:tblPr>
        <w:tblStyle w:val="TableGrid"/>
        <w:tblW w:w="0" w:type="auto"/>
        <w:tblLook w:val="04A0" w:firstRow="1" w:lastRow="0" w:firstColumn="1" w:lastColumn="0" w:noHBand="0" w:noVBand="1"/>
      </w:tblPr>
      <w:tblGrid>
        <w:gridCol w:w="4672"/>
        <w:gridCol w:w="4672"/>
      </w:tblGrid>
      <w:tr w:rsidR="00F11C9C" w:rsidTr="00F11C9C">
        <w:tc>
          <w:tcPr>
            <w:tcW w:w="4672" w:type="dxa"/>
          </w:tcPr>
          <w:p w:rsidR="00F11C9C" w:rsidRPr="00F11C9C" w:rsidRDefault="00F11C9C" w:rsidP="00F11C9C">
            <w:pPr>
              <w:tabs>
                <w:tab w:val="left" w:pos="0"/>
              </w:tabs>
              <w:ind w:left="0" w:firstLine="0"/>
              <w:rPr>
                <w:rFonts w:eastAsia="Calibri"/>
                <w:bCs/>
                <w:szCs w:val="22"/>
              </w:rPr>
            </w:pPr>
            <w:r w:rsidRPr="00F11C9C">
              <w:rPr>
                <w:rFonts w:eastAsia="Calibri"/>
                <w:bCs/>
                <w:szCs w:val="22"/>
              </w:rPr>
              <w:t>25-р зурагт SI-ийн Урт (LI) нь Горимын Гарчгийн уртыг өгнө. Горимын Гарчиг нь дараахь мэдээллийг агуулна. Мэдээллийн дараалал нь:</w:t>
            </w:r>
          </w:p>
          <w:p w:rsidR="00F11C9C" w:rsidRPr="00F11C9C" w:rsidRDefault="00F11C9C" w:rsidP="00472036">
            <w:pPr>
              <w:pStyle w:val="ListParagraph"/>
              <w:numPr>
                <w:ilvl w:val="0"/>
                <w:numId w:val="23"/>
              </w:numPr>
              <w:tabs>
                <w:tab w:val="left" w:pos="0"/>
              </w:tabs>
              <w:spacing w:after="0"/>
              <w:ind w:left="0" w:firstLine="0"/>
              <w:rPr>
                <w:rFonts w:eastAsia="Calibri"/>
                <w:bCs/>
                <w:szCs w:val="22"/>
              </w:rPr>
            </w:pPr>
            <w:r w:rsidRPr="00F11C9C">
              <w:rPr>
                <w:rFonts w:eastAsia="Calibri"/>
                <w:bCs/>
                <w:szCs w:val="22"/>
              </w:rPr>
              <w:t>Горимын Протоколын Өгөгдлийн Нэгж (SPDU)-ийн Урт,</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Горимын Протоколын Өгөгдлийн Нэгжийн Дугаар,</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Горимын Протоколын Хувилбарын Дугаар,</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Агуулагдаж буй Аюулгүй байдлын мэдээлэл:</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lastRenderedPageBreak/>
              <w:t>TimeofCurrentKey: Одоогийн баталгаажуулат ба нууцлалын түлхүүрийг анх ашигласан хугацаа.</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TimetoNextKey: Өөр гарын үсэг, шифрлэлтэд ашиглагдах өөр товчлуурын өмнөх цагийг харуулсан харьцангуй цаг хугацаа.Өөр түлхүүрийг баталгаажуулалт ба нууцлалд ашиглахаас өмнөх цагийг харуулсан харьцангуй хугацаа.</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SecurityAlgorithms: Баталгаажуулалт үүсгэх ба хэрэглэгчийн ачааллыг нууцлахад ямар шифрийн иж бүрдэл ба алгоритмуудыг ашиглахыг заана.</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Key ID: Одоо ашиглагдаж байгаа түлхүүрийгтайлбараар хангахад ашигладаг.</w:t>
            </w:r>
          </w:p>
          <w:p w:rsidR="00F11C9C" w:rsidRPr="00F11C9C" w:rsidRDefault="00F11C9C" w:rsidP="00F11C9C">
            <w:pPr>
              <w:tabs>
                <w:tab w:val="left" w:pos="0"/>
              </w:tabs>
              <w:ind w:left="0" w:firstLine="0"/>
              <w:rPr>
                <w:rFonts w:eastAsia="Calibri"/>
                <w:bCs/>
                <w:szCs w:val="22"/>
              </w:rPr>
            </w:pPr>
            <w:r w:rsidRPr="00F11C9C">
              <w:rPr>
                <w:rFonts w:eastAsia="Calibri"/>
                <w:bCs/>
                <w:szCs w:val="22"/>
              </w:rPr>
              <w:t>Горимын гарчгийн дараа нь Горимын хэрэглэгчийн мэдээлэл оруулдаг. Хэрэглэгчийн мэдээлэл дараах дарааллтай байна:</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Length: Энэ мэдээлэл нь хэрэглэгчийн ачааллын уртыг илэрхийлдэг.</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User Payload: Энэ нь GOOSE, SV буюу Туннелдсэн(Tunnelled) багцуудын дарааллыг илэрхийлнэ. Бодит горим тодорхойлогч дээр суурилсан бодит агуулгыг хязгаарласан.</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Signature: Энэ талбарын агуулгыг SecurityAlgorithm талбарын утгад тодорхойлогдсон аюулгүй байдлын алгоритмын сонголт дээр үндэслэн тооцно. Баталгаажуулалт нь горим тодорхойлогчийг оролцуулан SPDU урт дээр үндэслэн тооцдог боловч баталгаажуулалтыг өөрийгөө оруулаагүй болно.Энэ талаарх дэлгэрэнгүй мэдээллийг өөр бүлэгт авч үзсэн.</w:t>
            </w:r>
          </w:p>
          <w:p w:rsidR="00F11C9C" w:rsidRPr="00F11C9C" w:rsidRDefault="00F11C9C" w:rsidP="00F11C9C">
            <w:pPr>
              <w:tabs>
                <w:tab w:val="left" w:pos="0"/>
              </w:tabs>
              <w:ind w:left="0" w:firstLine="0"/>
              <w:rPr>
                <w:rFonts w:eastAsia="Calibri"/>
                <w:bCs/>
                <w:szCs w:val="22"/>
              </w:rPr>
            </w:pPr>
            <w:r w:rsidRPr="00F11C9C">
              <w:rPr>
                <w:rFonts w:eastAsia="Calibri"/>
                <w:bCs/>
                <w:szCs w:val="22"/>
              </w:rPr>
              <w:t>Горимын протоколын бүтэц ба цаашдын өргөтгөхболомжийг харуулахын тулд дараахь ASN.1 боловсруулалтын арыг ашиглана:</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sessionIdentifier::= CHOICE {</w:t>
            </w:r>
          </w:p>
          <w:p w:rsidR="00F11C9C" w:rsidRPr="00F11C9C" w:rsidRDefault="00F11C9C" w:rsidP="00F11C9C">
            <w:pPr>
              <w:tabs>
                <w:tab w:val="left" w:pos="0"/>
              </w:tabs>
              <w:ind w:left="0" w:firstLine="0"/>
              <w:rPr>
                <w:rFonts w:eastAsia="Calibri"/>
                <w:bCs/>
                <w:szCs w:val="22"/>
              </w:rPr>
            </w:pPr>
            <w:r w:rsidRPr="00F11C9C">
              <w:rPr>
                <w:rFonts w:eastAsia="Calibri"/>
                <w:bCs/>
                <w:szCs w:val="22"/>
              </w:rPr>
              <w:t>tunneled   [0] IMPLICIT SessionHeader, goose</w:t>
            </w:r>
            <w:r w:rsidRPr="00F11C9C">
              <w:rPr>
                <w:rFonts w:eastAsia="Calibri"/>
                <w:bCs/>
                <w:szCs w:val="22"/>
              </w:rPr>
              <w:tab/>
              <w:t xml:space="preserve">           [1] IMPLICITSessionHeader,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t>sv</w:t>
            </w:r>
            <w:r w:rsidRPr="00F11C9C">
              <w:rPr>
                <w:rFonts w:eastAsia="Calibri"/>
                <w:bCs/>
                <w:szCs w:val="22"/>
              </w:rPr>
              <w:tab/>
              <w:t xml:space="preserve">           [2] IMPLICITSessionHeader,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t>mngt</w:t>
            </w:r>
            <w:r w:rsidRPr="00F11C9C">
              <w:rPr>
                <w:rFonts w:eastAsia="Calibri"/>
                <w:bCs/>
                <w:szCs w:val="22"/>
              </w:rPr>
              <w:tab/>
              <w:t xml:space="preserve">           [3] IMPLICITSessionHeader,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SessionHeader::=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commonHeader [0] IMPLICIT OCTETSTRING,</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
                <w:bCs/>
                <w:szCs w:val="22"/>
              </w:rPr>
            </w:pPr>
            <w:bookmarkStart w:id="46" w:name="_bookmark43"/>
            <w:bookmarkEnd w:id="46"/>
            <w:r w:rsidRPr="00F11C9C">
              <w:rPr>
                <w:rFonts w:eastAsia="Calibri"/>
                <w:b/>
                <w:bCs/>
                <w:szCs w:val="22"/>
              </w:rPr>
              <w:t>11.3.2.1.1 Горим тодорхойлогч</w:t>
            </w:r>
          </w:p>
          <w:p w:rsidR="00F11C9C" w:rsidRPr="00F11C9C" w:rsidRDefault="00F11C9C" w:rsidP="00F11C9C">
            <w:pPr>
              <w:tabs>
                <w:tab w:val="left" w:pos="0"/>
              </w:tabs>
              <w:ind w:left="0" w:firstLine="0"/>
              <w:rPr>
                <w:rFonts w:eastAsia="Calibri"/>
                <w:bCs/>
                <w:szCs w:val="22"/>
              </w:rPr>
            </w:pPr>
            <w:r w:rsidRPr="00F11C9C">
              <w:rPr>
                <w:rFonts w:eastAsia="Calibri"/>
                <w:bCs/>
                <w:szCs w:val="22"/>
              </w:rPr>
              <w:t>Дөрвөн (4) Горим Тодорхойлогчийг тодорхойлсон:</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ТуннелдсэнGOOSE ба Түүвэрлэсэн Утгын Багцын хувьд: SI нь A0-ийн арван зургаатын утга байна.</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SI нь ачаалалд SV ба GOOSE багцуудыг хоёуланг нь багтаах боломжийг олгодог. Гэсэн хэдий ч ачаалал нь зөвхөнтуннеллтэй PDU төрлийх байх ёстой.</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Туннелдээгүй GOOSE APDU-г агуулдаг SPDU-ийн хувьд: SI нь A1-ийн арван зургаатын утга байна.SI нь ачааллын GOOSE APDU-ын PDU төрлийг агуулсан байхаар хязгаарладаг.</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ТуннелдээгүйТүүвэрлэсэн Утгын APDU-г агуулдаг SPDU-ийн хувьд: SI нь A2-ийн арван зургаатын утга байна.SI нь ачааллынSV APDU -ын PDU төрлийг агуулсан байхаар хязгаарладаг.</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Туннелдээгүйменежменттэй APDU-г агуулдаг SPDU-ийн хувьд: SI нь A3-ийн арван зургаатын утга байна.SI нь ачааллынMNGT APDU-ын PDU төрлийг агуулсан байхаар хязгаарладаг.</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SI-ийн хувьд холбогдох LI талбар нь нийт горимын гарчгийн урт байх ёстой.</w:t>
            </w:r>
          </w:p>
          <w:p w:rsidR="00F11C9C" w:rsidRPr="00F11C9C" w:rsidRDefault="00F11C9C" w:rsidP="00F11C9C">
            <w:pPr>
              <w:tabs>
                <w:tab w:val="left" w:pos="0"/>
              </w:tabs>
              <w:ind w:left="0" w:firstLine="0"/>
              <w:rPr>
                <w:rFonts w:eastAsia="Calibri"/>
                <w:bCs/>
                <w:szCs w:val="22"/>
              </w:rPr>
            </w:pPr>
            <w:r w:rsidRPr="00F11C9C">
              <w:rPr>
                <w:rFonts w:eastAsia="Calibri"/>
                <w:bCs/>
                <w:szCs w:val="22"/>
              </w:rPr>
              <w:t>Стандартчилагдсан нийтлэг горимын гарчгийн утгыг тэг утгатай PI-ээр зааж өгнө (80 арванзургаатын). Горимын гарчгийн PV нь дараах утгуудын дарааллыг агуулна:</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SPDULength,</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SPDUNumber,</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Version,</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TimeofCurrentKey,</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TimetoNextKey,</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SignatureAlgorithm,</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KeyID.</w:t>
            </w:r>
          </w:p>
          <w:p w:rsidR="00F11C9C" w:rsidRPr="00F11C9C" w:rsidRDefault="00F11C9C" w:rsidP="00F11C9C">
            <w:pPr>
              <w:tabs>
                <w:tab w:val="left" w:pos="0"/>
              </w:tabs>
              <w:ind w:left="0" w:firstLine="0"/>
              <w:rPr>
                <w:rFonts w:eastAsia="Calibri"/>
                <w:bCs/>
                <w:szCs w:val="22"/>
              </w:rPr>
            </w:pPr>
            <w:r w:rsidRPr="00F11C9C">
              <w:rPr>
                <w:rFonts w:eastAsia="Calibri"/>
                <w:bCs/>
                <w:szCs w:val="22"/>
              </w:rPr>
              <w:t>Эдгээр талбарын дүрслэл ба тодорхойлолт дараах байдалтай байна.</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11.3.2.1.2 SDPU урт</w:t>
            </w:r>
          </w:p>
          <w:p w:rsidR="00F11C9C" w:rsidRPr="00F11C9C" w:rsidRDefault="00F11C9C" w:rsidP="00F11C9C">
            <w:pPr>
              <w:tabs>
                <w:tab w:val="left" w:pos="0"/>
              </w:tabs>
              <w:ind w:left="0" w:firstLine="0"/>
              <w:rPr>
                <w:rFonts w:eastAsia="Calibri"/>
                <w:bCs/>
                <w:szCs w:val="22"/>
              </w:rPr>
            </w:pPr>
            <w:r w:rsidRPr="00F11C9C">
              <w:rPr>
                <w:rFonts w:eastAsia="Calibri"/>
                <w:bCs/>
                <w:szCs w:val="22"/>
              </w:rPr>
              <w:t>SPDU уртын хамгийн их хэмжээ нь UDP-ийн хамгийн ихбагцын хэмжээнээс хамаарна. Энэхүү протоколын 1-р хувилбар нь Jumbograms-ийн IPv6 чадварыг дэмждэггүй тул UDP багцын дээд хэмжээ 65,535 октет байх ёстой. Гэсэн хэдий ч энэхүү протоколын цаашдын хувилбарт Jumbograms дэмжигдэж магадгүй юм. Тиймээс SPDU уртын утга нь 32 битийн баталгаажуулагдаагүй бүхэл тоо байх ёстой. Тиймээс SPDU уртын параметр нь дөрвөн (4) октет байх ёстой.</w:t>
            </w:r>
          </w:p>
          <w:p w:rsidR="00F11C9C" w:rsidRPr="00F11C9C" w:rsidRDefault="00F11C9C" w:rsidP="00F11C9C">
            <w:pPr>
              <w:tabs>
                <w:tab w:val="left" w:pos="0"/>
              </w:tabs>
              <w:ind w:left="0" w:firstLine="0"/>
              <w:rPr>
                <w:rFonts w:eastAsia="Calibri"/>
                <w:bCs/>
                <w:szCs w:val="22"/>
              </w:rPr>
            </w:pPr>
            <w:r w:rsidRPr="00F11C9C">
              <w:rPr>
                <w:rFonts w:eastAsia="Calibri"/>
                <w:bCs/>
                <w:szCs w:val="22"/>
              </w:rPr>
              <w:t>Энэ хувилбарын зөвшөөрөгдсөн хамгийн их утга нь: 65,519 октет.</w:t>
            </w:r>
          </w:p>
          <w:p w:rsidR="00F11C9C" w:rsidRPr="00F11C9C" w:rsidRDefault="00F11C9C" w:rsidP="00F11C9C">
            <w:pPr>
              <w:tabs>
                <w:tab w:val="left" w:pos="0"/>
              </w:tabs>
              <w:ind w:left="0" w:firstLine="0"/>
              <w:rPr>
                <w:rFonts w:eastAsia="Calibri"/>
                <w:bCs/>
                <w:szCs w:val="22"/>
              </w:rPr>
            </w:pPr>
            <w:r w:rsidRPr="00F11C9C">
              <w:rPr>
                <w:rFonts w:eastAsia="Calibri"/>
                <w:bCs/>
                <w:szCs w:val="22"/>
              </w:rPr>
              <w:t>UDP хамгийн их хэмжээ:                   65 535</w:t>
            </w:r>
          </w:p>
          <w:p w:rsidR="00F11C9C" w:rsidRPr="00F11C9C" w:rsidRDefault="00F11C9C" w:rsidP="00F11C9C">
            <w:pPr>
              <w:tabs>
                <w:tab w:val="left" w:pos="0"/>
              </w:tabs>
              <w:ind w:left="0" w:firstLine="0"/>
              <w:rPr>
                <w:rFonts w:eastAsia="Calibri"/>
                <w:bCs/>
                <w:szCs w:val="22"/>
              </w:rPr>
            </w:pPr>
            <w:r w:rsidRPr="00F11C9C">
              <w:rPr>
                <w:rFonts w:eastAsia="Calibri"/>
                <w:bCs/>
                <w:szCs w:val="22"/>
              </w:rPr>
              <w:t>UDP протокол дахь октетуудын тоо: -    8</w:t>
            </w:r>
          </w:p>
          <w:p w:rsidR="00F11C9C" w:rsidRPr="00F11C9C" w:rsidRDefault="00F11C9C" w:rsidP="00F11C9C">
            <w:pPr>
              <w:tabs>
                <w:tab w:val="left" w:pos="0"/>
              </w:tabs>
              <w:ind w:left="0" w:firstLine="0"/>
              <w:rPr>
                <w:rFonts w:eastAsia="Calibri"/>
                <w:bCs/>
                <w:szCs w:val="22"/>
              </w:rPr>
            </w:pPr>
            <w:r w:rsidRPr="00F11C9C">
              <w:rPr>
                <w:rFonts w:eastAsia="Calibri"/>
                <w:bCs/>
                <w:szCs w:val="22"/>
              </w:rPr>
              <w:t>X.234 дэх октедуудын тоо :                -    2</w:t>
            </w:r>
          </w:p>
          <w:p w:rsidR="00F11C9C" w:rsidRPr="00F11C9C" w:rsidRDefault="00F11C9C" w:rsidP="00F11C9C">
            <w:pPr>
              <w:tabs>
                <w:tab w:val="left" w:pos="0"/>
              </w:tabs>
              <w:ind w:left="0" w:firstLine="0"/>
              <w:rPr>
                <w:rFonts w:eastAsia="Calibri"/>
                <w:bCs/>
                <w:szCs w:val="22"/>
              </w:rPr>
            </w:pPr>
            <w:r w:rsidRPr="00F11C9C">
              <w:rPr>
                <w:rFonts w:eastAsia="Calibri"/>
                <w:bCs/>
                <w:szCs w:val="22"/>
              </w:rPr>
              <w:t>SI дахь октедуудын тоо:                     -    2</w:t>
            </w:r>
          </w:p>
          <w:p w:rsidR="00F11C9C" w:rsidRPr="00F11C9C" w:rsidRDefault="00F11C9C" w:rsidP="00F11C9C">
            <w:pPr>
              <w:tabs>
                <w:tab w:val="left" w:pos="0"/>
              </w:tabs>
              <w:ind w:left="0" w:firstLine="0"/>
              <w:rPr>
                <w:rFonts w:eastAsia="Calibri"/>
                <w:bCs/>
                <w:szCs w:val="22"/>
              </w:rPr>
            </w:pPr>
            <w:r w:rsidRPr="00F11C9C">
              <w:rPr>
                <w:rFonts w:eastAsia="Calibri"/>
                <w:bCs/>
                <w:szCs w:val="22"/>
              </w:rPr>
              <w:t>Нийтлэг гарчигт октетийн тоо:           -    2</w:t>
            </w:r>
          </w:p>
          <w:p w:rsidR="00F11C9C" w:rsidRPr="00F11C9C" w:rsidRDefault="00F11C9C" w:rsidP="00F11C9C">
            <w:pPr>
              <w:tabs>
                <w:tab w:val="left" w:pos="0"/>
              </w:tabs>
              <w:ind w:left="0" w:firstLine="0"/>
              <w:rPr>
                <w:rFonts w:eastAsia="Calibri"/>
                <w:bCs/>
                <w:szCs w:val="22"/>
              </w:rPr>
            </w:pPr>
            <w:r w:rsidRPr="00F11C9C">
              <w:rPr>
                <w:rFonts w:eastAsia="Calibri"/>
                <w:bCs/>
                <w:szCs w:val="22"/>
              </w:rPr>
              <w:t>SPDU уртад октетуудын тоо:             -    4</w:t>
            </w:r>
          </w:p>
          <w:p w:rsidR="00F11C9C" w:rsidRPr="00F11C9C" w:rsidRDefault="00F11C9C" w:rsidP="00F11C9C">
            <w:pPr>
              <w:tabs>
                <w:tab w:val="left" w:pos="0"/>
              </w:tabs>
              <w:ind w:left="0" w:firstLine="0"/>
              <w:rPr>
                <w:rFonts w:eastAsia="Calibri"/>
                <w:bCs/>
                <w:szCs w:val="22"/>
              </w:rPr>
            </w:pPr>
            <w:r w:rsidRPr="00F11C9C">
              <w:rPr>
                <w:rFonts w:eastAsia="Calibri"/>
                <w:bCs/>
                <w:szCs w:val="22"/>
              </w:rPr>
              <w:t>Maxiхамгийн их хэмжээ:                     65  517</w:t>
            </w:r>
          </w:p>
          <w:p w:rsidR="00F11C9C" w:rsidRPr="00F11C9C" w:rsidRDefault="00F11C9C" w:rsidP="00F11C9C">
            <w:pPr>
              <w:tabs>
                <w:tab w:val="left" w:pos="0"/>
              </w:tabs>
              <w:ind w:left="0" w:firstLine="0"/>
              <w:rPr>
                <w:rFonts w:eastAsia="Calibri"/>
                <w:bCs/>
                <w:szCs w:val="22"/>
              </w:rPr>
            </w:pPr>
            <w:r w:rsidRPr="00F11C9C">
              <w:rPr>
                <w:rFonts w:eastAsia="Calibri"/>
                <w:bCs/>
                <w:szCs w:val="22"/>
              </w:rPr>
              <w:t>Хамгийн их утгаас их утгатай хүлээн авсан протоколын өгөгдлийн нэгжүүдийг хасна.</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SPDU уртын утгын өөр өөр кодчилолын жишээг Хүснэгт 7-д үзүүлэв.</w:t>
            </w:r>
          </w:p>
        </w:tc>
        <w:tc>
          <w:tcPr>
            <w:tcW w:w="4672" w:type="dxa"/>
          </w:tcPr>
          <w:p w:rsidR="00F11C9C" w:rsidRPr="00F11C9C" w:rsidRDefault="00D80958" w:rsidP="00F11C9C">
            <w:pPr>
              <w:tabs>
                <w:tab w:val="left" w:pos="0"/>
              </w:tabs>
              <w:ind w:left="0" w:firstLine="0"/>
              <w:rPr>
                <w:rFonts w:eastAsia="Calibri"/>
                <w:bCs/>
                <w:szCs w:val="22"/>
              </w:rPr>
            </w:pPr>
            <w:hyperlink w:anchor="_bookmark42" w:history="1">
              <w:r w:rsidR="00F11C9C" w:rsidRPr="00F11C9C">
                <w:rPr>
                  <w:rFonts w:eastAsia="Calibri"/>
                  <w:bCs/>
                  <w:szCs w:val="22"/>
                </w:rPr>
                <w:t>Figure 25</w:t>
              </w:r>
            </w:hyperlink>
            <w:r w:rsidR="00F11C9C" w:rsidRPr="00F11C9C">
              <w:rPr>
                <w:rFonts w:eastAsia="Calibri"/>
                <w:bCs/>
                <w:szCs w:val="22"/>
              </w:rPr>
              <w:t xml:space="preserve"> shows that the SI Length (LI) will provide the length of the Session Header. The Session Header shall contain the following information. The order of the  information shall be  as follows:</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Session Protocol Data Unit (SPDU) Length,</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Session Protocol Data Unit Number,</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Session Protocol Version Number,</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Security Information that contains:</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lastRenderedPageBreak/>
              <w:t>TimeofCurrentKey: The time at  which the current signature and encryption key was  first used.</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TimetoNextKey: A relative time that indicates the time before another key is  put  into use for the signature and encryption.</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SecurityAlgorithms: Used to indicate which cipher suites and algorithms are used to generate the Signature and used to encrypt the user payload.</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Key ID: Used to provide a reference to the key that is currently in use.</w:t>
            </w:r>
          </w:p>
          <w:p w:rsidR="00F11C9C" w:rsidRPr="00F11C9C" w:rsidRDefault="00F11C9C" w:rsidP="00F11C9C">
            <w:pPr>
              <w:tabs>
                <w:tab w:val="left" w:pos="0"/>
              </w:tabs>
              <w:ind w:left="0" w:firstLine="0"/>
              <w:rPr>
                <w:rFonts w:eastAsia="Calibri"/>
                <w:bCs/>
                <w:szCs w:val="22"/>
              </w:rPr>
            </w:pPr>
            <w:r w:rsidRPr="00F11C9C">
              <w:rPr>
                <w:rFonts w:eastAsia="Calibri"/>
                <w:bCs/>
                <w:szCs w:val="22"/>
              </w:rPr>
              <w:t>The Session Header is then followed by Session User Information. The user information contains the following sequence:</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Length: This information represents the length of the user payload.</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User Payload: This represents a sequence of GOOSE, SV, or Tunnelled packets. The actual contents are constrained based upon the actual Session Identifier.</w:t>
            </w:r>
          </w:p>
          <w:p w:rsidR="00F11C9C" w:rsidRPr="00F11C9C" w:rsidRDefault="00F11C9C" w:rsidP="00472036">
            <w:pPr>
              <w:pStyle w:val="ListParagraph"/>
              <w:numPr>
                <w:ilvl w:val="0"/>
                <w:numId w:val="16"/>
              </w:numPr>
              <w:tabs>
                <w:tab w:val="left" w:pos="0"/>
              </w:tabs>
              <w:spacing w:after="0"/>
              <w:ind w:left="0" w:firstLine="0"/>
              <w:rPr>
                <w:rFonts w:eastAsia="Calibri"/>
                <w:bCs/>
                <w:szCs w:val="22"/>
              </w:rPr>
            </w:pPr>
            <w:r w:rsidRPr="00F11C9C">
              <w:rPr>
                <w:rFonts w:eastAsia="Calibri"/>
                <w:bCs/>
                <w:szCs w:val="22"/>
              </w:rPr>
              <w:t>Signature: The contents of this field are calculated based upon the choice of security algorithms specified in the value of the SecurityAlgorithm field. The signature is calculated based upon the SPDU length including the Session Identifier, but not including the Signature itself. Specifics of this will be provided in another clause.</w:t>
            </w:r>
          </w:p>
          <w:p w:rsidR="00F11C9C" w:rsidRPr="00F11C9C" w:rsidRDefault="00F11C9C" w:rsidP="00F11C9C">
            <w:pPr>
              <w:tabs>
                <w:tab w:val="left" w:pos="0"/>
              </w:tabs>
              <w:ind w:left="0" w:firstLine="0"/>
              <w:rPr>
                <w:rFonts w:eastAsia="Calibri"/>
                <w:bCs/>
                <w:szCs w:val="22"/>
              </w:rPr>
            </w:pPr>
            <w:r w:rsidRPr="00F11C9C">
              <w:rPr>
                <w:rFonts w:eastAsia="Calibri"/>
                <w:bCs/>
                <w:szCs w:val="22"/>
              </w:rPr>
              <w:t>The following ASN.1 production is used to show the structure and future expansion capability  of the session protocol, specifically the session identifier and 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t>sessionIdentifier::= CHOICE {</w:t>
            </w:r>
          </w:p>
          <w:p w:rsidR="00F11C9C" w:rsidRPr="00F11C9C" w:rsidRDefault="00F11C9C" w:rsidP="00F11C9C">
            <w:pPr>
              <w:tabs>
                <w:tab w:val="left" w:pos="0"/>
              </w:tabs>
              <w:ind w:left="0" w:firstLine="0"/>
              <w:rPr>
                <w:rFonts w:eastAsia="Calibri"/>
                <w:bCs/>
                <w:szCs w:val="22"/>
              </w:rPr>
            </w:pPr>
            <w:r w:rsidRPr="00F11C9C">
              <w:rPr>
                <w:rFonts w:eastAsia="Calibri"/>
                <w:bCs/>
                <w:szCs w:val="22"/>
              </w:rPr>
              <w:t>tunneled    [0] IMPLICIT SessionHeader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t>goose        [1] IMPLICIT SessionHeader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t>sv              [2] IMPLICIT SessionHeader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t>mngt          [3] IMPLICIT SessionHeader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SessionHeader::=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commonHeader [0] IMPLICIT OCTETSTRING,</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11.3.2.1.1 Session identifier</w:t>
            </w:r>
          </w:p>
          <w:p w:rsidR="00F11C9C" w:rsidRPr="00F11C9C" w:rsidRDefault="00F11C9C" w:rsidP="00F11C9C">
            <w:pPr>
              <w:tabs>
                <w:tab w:val="left" w:pos="0"/>
              </w:tabs>
              <w:ind w:left="0" w:firstLine="0"/>
              <w:rPr>
                <w:rFonts w:eastAsia="Calibri"/>
                <w:bCs/>
                <w:szCs w:val="22"/>
              </w:rPr>
            </w:pPr>
            <w:r w:rsidRPr="00F11C9C">
              <w:rPr>
                <w:rFonts w:eastAsia="Calibri"/>
                <w:bCs/>
                <w:szCs w:val="22"/>
              </w:rPr>
              <w:t>There are four (4) Session Identifiers defined:</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For Tunnelled GOOSE and Sampled Value Packets: The SI shall have a hexadecimal  value of A0.</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This SI allows for the Payload to contain both SV and GOOSE packets. However, the Payload shall be constrained to only having a PDU type of Tunnelled.</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For SPDUs that contain non-tunnelled GOOSE APDUs: The SI shall have a hexadecimal value of A1. This SI shall constrain the Payload to contain PDU types of GOOSE APDU.</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For SPDUs that contain non-tunnelled Sampled Value APDU: The SI shall have a hexadecimal value of A2. This SI shall constrain the Payload to contain PDU types of SV APDU.</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For SPDUs  that contain non-tunnelled management APDU: The SI shall  have a hexadecimal value of A3. This SI shall constrain the Payload to contain PDU types of MNGT APDU.</w:t>
            </w:r>
          </w:p>
          <w:p w:rsidR="00F11C9C" w:rsidRPr="00F11C9C" w:rsidRDefault="00F11C9C" w:rsidP="00F11C9C">
            <w:pPr>
              <w:tabs>
                <w:tab w:val="left" w:pos="0"/>
              </w:tabs>
              <w:ind w:left="0" w:firstLine="0"/>
              <w:rPr>
                <w:rFonts w:eastAsia="Calibri"/>
                <w:bCs/>
                <w:szCs w:val="22"/>
              </w:rPr>
            </w:pPr>
            <w:r w:rsidRPr="00F11C9C">
              <w:rPr>
                <w:rFonts w:eastAsia="Calibri"/>
                <w:bCs/>
                <w:szCs w:val="22"/>
              </w:rPr>
              <w:t>The associated LI field, for the SI, shall be the length of the entire session header.</w:t>
            </w:r>
          </w:p>
          <w:p w:rsidR="00F11C9C" w:rsidRPr="00F11C9C" w:rsidRDefault="00F11C9C" w:rsidP="00F11C9C">
            <w:pPr>
              <w:tabs>
                <w:tab w:val="left" w:pos="0"/>
              </w:tabs>
              <w:ind w:left="0" w:firstLine="0"/>
              <w:rPr>
                <w:rFonts w:eastAsia="Calibri"/>
                <w:bCs/>
                <w:szCs w:val="22"/>
              </w:rPr>
            </w:pPr>
            <w:r w:rsidRPr="00F11C9C">
              <w:rPr>
                <w:rFonts w:eastAsia="Calibri"/>
                <w:bCs/>
                <w:szCs w:val="22"/>
              </w:rPr>
              <w:t>The standardized common session header contents shall be indicated by a PI whose value is zero (80 hexadecimal). The PV of the session header shall contain a sequence of  the  following values:</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SPDU Length,</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SPDU Number,</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Version,</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TimeofCurrentKey,</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lastRenderedPageBreak/>
              <w:t>TimetoNextKey,</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SignatureAlgorithm,</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Key ID.</w:t>
            </w:r>
          </w:p>
          <w:p w:rsidR="00F11C9C" w:rsidRPr="00F11C9C" w:rsidRDefault="00F11C9C" w:rsidP="00F11C9C">
            <w:pPr>
              <w:tabs>
                <w:tab w:val="left" w:pos="0"/>
              </w:tabs>
              <w:ind w:left="0" w:firstLine="0"/>
              <w:rPr>
                <w:rFonts w:eastAsia="Calibri"/>
                <w:bCs/>
                <w:szCs w:val="22"/>
              </w:rPr>
            </w:pPr>
            <w:r w:rsidRPr="00F11C9C">
              <w:rPr>
                <w:rFonts w:eastAsia="Calibri"/>
                <w:bCs/>
                <w:szCs w:val="22"/>
              </w:rPr>
              <w:t>The representation and definition of these fields follows.</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11.3.2.1.2 SDPU length</w:t>
            </w:r>
          </w:p>
          <w:p w:rsidR="00F11C9C" w:rsidRPr="00F11C9C" w:rsidRDefault="00F11C9C" w:rsidP="00F11C9C">
            <w:pPr>
              <w:tabs>
                <w:tab w:val="left" w:pos="0"/>
              </w:tabs>
              <w:ind w:left="0" w:firstLine="0"/>
              <w:rPr>
                <w:rFonts w:eastAsia="Calibri"/>
                <w:bCs/>
                <w:szCs w:val="22"/>
              </w:rPr>
            </w:pPr>
            <w:r w:rsidRPr="00F11C9C">
              <w:rPr>
                <w:rFonts w:eastAsia="Calibri"/>
                <w:bCs/>
                <w:szCs w:val="22"/>
              </w:rPr>
              <w:t>The maximum size of the SPDU length is based upon the maximum packet size for UDP. Version 1 of this protocol does not support the IPv6 capability of  Jumbograms and therefore  the maximum UDP packet size shall be 65,535 octets. However, in future versions of this protocol, Jumbograms may be supported. Therefore, the SPDU Length value shall be a 32-bit unsigned integer value. Therefore, the SPDU Length parameter shall be four (4) octets.</w:t>
            </w: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r w:rsidRPr="00F11C9C">
              <w:rPr>
                <w:rFonts w:eastAsia="Calibri"/>
                <w:bCs/>
                <w:szCs w:val="22"/>
              </w:rPr>
              <w:t>Its maximum allowed value, for this version, shall be: 65,519 octets.</w:t>
            </w:r>
          </w:p>
          <w:p w:rsidR="00F11C9C" w:rsidRPr="00F11C9C" w:rsidRDefault="00F11C9C" w:rsidP="00F11C9C">
            <w:pPr>
              <w:tabs>
                <w:tab w:val="left" w:pos="0"/>
              </w:tabs>
              <w:ind w:left="0" w:firstLine="0"/>
              <w:rPr>
                <w:rFonts w:eastAsia="Calibri"/>
                <w:bCs/>
                <w:szCs w:val="22"/>
              </w:rPr>
            </w:pPr>
            <w:r w:rsidRPr="00F11C9C">
              <w:rPr>
                <w:rFonts w:eastAsia="Calibri"/>
                <w:bCs/>
                <w:szCs w:val="22"/>
              </w:rPr>
              <w:t>Maximum UDP size:                         65 535</w:t>
            </w:r>
          </w:p>
          <w:p w:rsidR="00F11C9C" w:rsidRPr="00F11C9C" w:rsidRDefault="00F11C9C" w:rsidP="00F11C9C">
            <w:pPr>
              <w:tabs>
                <w:tab w:val="left" w:pos="0"/>
              </w:tabs>
              <w:ind w:left="0" w:firstLine="0"/>
              <w:rPr>
                <w:rFonts w:eastAsia="Calibri"/>
                <w:bCs/>
                <w:szCs w:val="22"/>
              </w:rPr>
            </w:pPr>
            <w:r w:rsidRPr="00F11C9C">
              <w:rPr>
                <w:rFonts w:eastAsia="Calibri"/>
                <w:bCs/>
                <w:szCs w:val="22"/>
              </w:rPr>
              <w:t>Number octets in UDP protocol:        -    8</w:t>
            </w:r>
          </w:p>
          <w:p w:rsidR="00F11C9C" w:rsidRPr="00F11C9C" w:rsidRDefault="00F11C9C" w:rsidP="00F11C9C">
            <w:pPr>
              <w:tabs>
                <w:tab w:val="left" w:pos="0"/>
              </w:tabs>
              <w:ind w:left="0" w:firstLine="0"/>
              <w:rPr>
                <w:rFonts w:eastAsia="Calibri"/>
                <w:bCs/>
                <w:szCs w:val="22"/>
              </w:rPr>
            </w:pPr>
            <w:r w:rsidRPr="00F11C9C">
              <w:rPr>
                <w:rFonts w:eastAsia="Calibri"/>
                <w:bCs/>
                <w:szCs w:val="22"/>
              </w:rPr>
              <w:t>Number octets in X 234:                    -    2</w:t>
            </w:r>
          </w:p>
          <w:p w:rsidR="00F11C9C" w:rsidRPr="00F11C9C" w:rsidRDefault="00F11C9C" w:rsidP="00F11C9C">
            <w:pPr>
              <w:tabs>
                <w:tab w:val="left" w:pos="0"/>
              </w:tabs>
              <w:ind w:left="0" w:firstLine="0"/>
              <w:rPr>
                <w:rFonts w:eastAsia="Calibri"/>
                <w:bCs/>
                <w:szCs w:val="22"/>
              </w:rPr>
            </w:pPr>
            <w:r w:rsidRPr="00F11C9C">
              <w:rPr>
                <w:rFonts w:eastAsia="Calibri"/>
                <w:bCs/>
                <w:szCs w:val="22"/>
              </w:rPr>
              <w:t>Number octets in SI:                          -    2</w:t>
            </w:r>
          </w:p>
          <w:p w:rsidR="00F11C9C" w:rsidRPr="00F11C9C" w:rsidRDefault="00F11C9C" w:rsidP="00F11C9C">
            <w:pPr>
              <w:tabs>
                <w:tab w:val="left" w:pos="0"/>
              </w:tabs>
              <w:ind w:left="0" w:firstLine="0"/>
              <w:rPr>
                <w:rFonts w:eastAsia="Calibri"/>
                <w:bCs/>
                <w:szCs w:val="22"/>
              </w:rPr>
            </w:pPr>
            <w:r w:rsidRPr="00F11C9C">
              <w:rPr>
                <w:rFonts w:eastAsia="Calibri"/>
                <w:bCs/>
                <w:szCs w:val="22"/>
              </w:rPr>
              <w:t>Number octets for common header:  -    2</w:t>
            </w:r>
          </w:p>
          <w:p w:rsidR="00F11C9C" w:rsidRPr="00F11C9C" w:rsidRDefault="00F11C9C" w:rsidP="00F11C9C">
            <w:pPr>
              <w:tabs>
                <w:tab w:val="left" w:pos="0"/>
              </w:tabs>
              <w:ind w:left="0" w:firstLine="0"/>
              <w:rPr>
                <w:rFonts w:eastAsia="Calibri"/>
                <w:bCs/>
                <w:szCs w:val="22"/>
              </w:rPr>
            </w:pPr>
            <w:r w:rsidRPr="00F11C9C">
              <w:rPr>
                <w:rFonts w:eastAsia="Calibri"/>
                <w:bCs/>
                <w:szCs w:val="22"/>
              </w:rPr>
              <w:t>Number octets for SPDU Length:      -    4</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Maximum size:                      65  517</w:t>
            </w:r>
          </w:p>
          <w:p w:rsidR="00F11C9C" w:rsidRPr="00F11C9C" w:rsidRDefault="00F11C9C" w:rsidP="00F11C9C">
            <w:pPr>
              <w:tabs>
                <w:tab w:val="left" w:pos="0"/>
              </w:tabs>
              <w:ind w:left="0" w:firstLine="0"/>
              <w:rPr>
                <w:rFonts w:eastAsia="Calibri"/>
                <w:bCs/>
                <w:szCs w:val="22"/>
              </w:rPr>
            </w:pPr>
            <w:r w:rsidRPr="00F11C9C">
              <w:rPr>
                <w:rFonts w:eastAsia="Calibri"/>
                <w:bCs/>
                <w:szCs w:val="22"/>
              </w:rPr>
              <w:t>Protocol data units received that have a value greater than the maximum value shall be discarded.</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Examples of various SPDU length value encodings are provided in </w:t>
            </w:r>
            <w:hyperlink w:anchor="_bookmark44" w:history="1">
              <w:r w:rsidRPr="00F11C9C">
                <w:rPr>
                  <w:rFonts w:eastAsia="Calibri"/>
                  <w:bCs/>
                  <w:szCs w:val="22"/>
                </w:rPr>
                <w:t>Table 7:</w:t>
              </w:r>
            </w:hyperlink>
          </w:p>
          <w:p w:rsidR="00F11C9C" w:rsidRPr="00F11C9C" w:rsidRDefault="00F11C9C" w:rsidP="00F11C9C">
            <w:pPr>
              <w:tabs>
                <w:tab w:val="left" w:pos="0"/>
              </w:tabs>
              <w:ind w:left="0" w:firstLine="0"/>
              <w:rPr>
                <w:rFonts w:eastAsia="Calibri"/>
                <w:bCs/>
                <w:szCs w:val="22"/>
              </w:rPr>
            </w:pPr>
          </w:p>
        </w:tc>
      </w:tr>
    </w:tbl>
    <w:p w:rsidR="00F11C9C" w:rsidRDefault="00F11C9C" w:rsidP="00F11C9C">
      <w:pPr>
        <w:ind w:left="0" w:firstLine="0"/>
        <w:jc w:val="center"/>
        <w:rPr>
          <w:b/>
        </w:rPr>
      </w:pPr>
    </w:p>
    <w:p w:rsidR="00F11C9C" w:rsidRPr="00F11C9C" w:rsidRDefault="00F11C9C" w:rsidP="00F11C9C">
      <w:pPr>
        <w:ind w:left="0" w:firstLine="0"/>
        <w:jc w:val="center"/>
        <w:rPr>
          <w:b/>
        </w:rPr>
      </w:pPr>
      <w:r w:rsidRPr="00F11C9C">
        <w:rPr>
          <w:b/>
        </w:rPr>
        <w:t>7</w:t>
      </w:r>
      <w:r>
        <w:rPr>
          <w:b/>
        </w:rPr>
        <w:t>-р хүснэгт</w:t>
      </w:r>
      <w:r w:rsidRPr="00F11C9C">
        <w:rPr>
          <w:b/>
        </w:rPr>
        <w:t xml:space="preserve"> – SPDU уртын кодчилолын жишээ</w:t>
      </w:r>
    </w:p>
    <w:tbl>
      <w:tblPr>
        <w:tblStyle w:val="TableGrid"/>
        <w:tblW w:w="0" w:type="auto"/>
        <w:tblLook w:val="04A0" w:firstRow="1" w:lastRow="0" w:firstColumn="1" w:lastColumn="0" w:noHBand="0" w:noVBand="1"/>
      </w:tblPr>
      <w:tblGrid>
        <w:gridCol w:w="1868"/>
        <w:gridCol w:w="1869"/>
        <w:gridCol w:w="1869"/>
        <w:gridCol w:w="1869"/>
        <w:gridCol w:w="1869"/>
      </w:tblGrid>
      <w:tr w:rsidR="00F11C9C" w:rsidTr="00F11C9C">
        <w:tc>
          <w:tcPr>
            <w:tcW w:w="1868" w:type="dxa"/>
          </w:tcPr>
          <w:p w:rsidR="00F11C9C" w:rsidRPr="00F11C9C" w:rsidRDefault="00F11C9C" w:rsidP="00F11C9C">
            <w:pPr>
              <w:pStyle w:val="TableParagraph"/>
              <w:tabs>
                <w:tab w:val="left" w:pos="0"/>
              </w:tabs>
              <w:spacing w:before="53" w:line="276" w:lineRule="auto"/>
              <w:ind w:left="446"/>
              <w:rPr>
                <w:b/>
                <w:sz w:val="20"/>
                <w:szCs w:val="20"/>
                <w:lang w:val="mn-MN"/>
              </w:rPr>
            </w:pPr>
            <w:r w:rsidRPr="00F11C9C">
              <w:rPr>
                <w:b/>
                <w:sz w:val="20"/>
                <w:szCs w:val="20"/>
                <w:lang w:val="mn-MN"/>
              </w:rPr>
              <w:t>Утга</w:t>
            </w:r>
          </w:p>
        </w:tc>
        <w:tc>
          <w:tcPr>
            <w:tcW w:w="1869" w:type="dxa"/>
          </w:tcPr>
          <w:p w:rsidR="00F11C9C" w:rsidRPr="00F11C9C" w:rsidRDefault="00F11C9C" w:rsidP="00F11C9C">
            <w:pPr>
              <w:pStyle w:val="TableParagraph"/>
              <w:tabs>
                <w:tab w:val="left" w:pos="0"/>
              </w:tabs>
              <w:spacing w:before="53" w:line="276" w:lineRule="auto"/>
              <w:ind w:left="381"/>
              <w:rPr>
                <w:b/>
                <w:sz w:val="20"/>
                <w:szCs w:val="20"/>
                <w:lang w:val="mn-MN"/>
              </w:rPr>
            </w:pPr>
            <w:r w:rsidRPr="00F11C9C">
              <w:rPr>
                <w:b/>
                <w:sz w:val="20"/>
                <w:szCs w:val="20"/>
                <w:lang w:val="mn-MN"/>
              </w:rPr>
              <w:t>Октет 1</w:t>
            </w:r>
          </w:p>
        </w:tc>
        <w:tc>
          <w:tcPr>
            <w:tcW w:w="1869" w:type="dxa"/>
          </w:tcPr>
          <w:p w:rsidR="00F11C9C" w:rsidRPr="00F11C9C" w:rsidRDefault="00F11C9C" w:rsidP="00F11C9C">
            <w:pPr>
              <w:pStyle w:val="TableParagraph"/>
              <w:tabs>
                <w:tab w:val="left" w:pos="0"/>
              </w:tabs>
              <w:spacing w:before="53" w:line="276" w:lineRule="auto"/>
              <w:ind w:left="381"/>
              <w:rPr>
                <w:b/>
                <w:sz w:val="20"/>
                <w:szCs w:val="20"/>
                <w:lang w:val="mn-MN"/>
              </w:rPr>
            </w:pPr>
            <w:r w:rsidRPr="00F11C9C">
              <w:rPr>
                <w:b/>
                <w:sz w:val="20"/>
                <w:szCs w:val="20"/>
                <w:lang w:val="mn-MN"/>
              </w:rPr>
              <w:t>Октет 2</w:t>
            </w:r>
          </w:p>
        </w:tc>
        <w:tc>
          <w:tcPr>
            <w:tcW w:w="1869" w:type="dxa"/>
          </w:tcPr>
          <w:p w:rsidR="00F11C9C" w:rsidRPr="00F11C9C" w:rsidRDefault="00F11C9C" w:rsidP="00F11C9C">
            <w:pPr>
              <w:pStyle w:val="TableParagraph"/>
              <w:tabs>
                <w:tab w:val="left" w:pos="0"/>
              </w:tabs>
              <w:spacing w:before="53" w:line="276" w:lineRule="auto"/>
              <w:ind w:left="380"/>
              <w:rPr>
                <w:b/>
                <w:sz w:val="20"/>
                <w:szCs w:val="20"/>
                <w:lang w:val="mn-MN"/>
              </w:rPr>
            </w:pPr>
            <w:r w:rsidRPr="00F11C9C">
              <w:rPr>
                <w:b/>
                <w:sz w:val="20"/>
                <w:szCs w:val="20"/>
                <w:lang w:val="mn-MN"/>
              </w:rPr>
              <w:t>Октет 3</w:t>
            </w:r>
          </w:p>
        </w:tc>
        <w:tc>
          <w:tcPr>
            <w:tcW w:w="1869" w:type="dxa"/>
          </w:tcPr>
          <w:p w:rsidR="00F11C9C" w:rsidRPr="00F11C9C" w:rsidRDefault="00F11C9C" w:rsidP="00F11C9C">
            <w:pPr>
              <w:pStyle w:val="TableParagraph"/>
              <w:tabs>
                <w:tab w:val="left" w:pos="0"/>
              </w:tabs>
              <w:spacing w:before="53" w:line="276" w:lineRule="auto"/>
              <w:ind w:left="380"/>
              <w:rPr>
                <w:b/>
                <w:sz w:val="20"/>
                <w:szCs w:val="20"/>
                <w:lang w:val="mn-MN"/>
              </w:rPr>
            </w:pPr>
            <w:r w:rsidRPr="00F11C9C">
              <w:rPr>
                <w:b/>
                <w:sz w:val="20"/>
                <w:szCs w:val="20"/>
                <w:lang w:val="mn-MN"/>
              </w:rPr>
              <w:t>Октет 4</w:t>
            </w:r>
          </w:p>
        </w:tc>
      </w:tr>
      <w:tr w:rsidR="00F11C9C" w:rsidTr="00F11C9C">
        <w:tc>
          <w:tcPr>
            <w:tcW w:w="1868"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1</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01</w:t>
            </w:r>
          </w:p>
        </w:tc>
      </w:tr>
      <w:tr w:rsidR="00F11C9C" w:rsidTr="00F11C9C">
        <w:tc>
          <w:tcPr>
            <w:tcW w:w="1868" w:type="dxa"/>
          </w:tcPr>
          <w:p w:rsidR="00F11C9C" w:rsidRPr="00F11C9C" w:rsidRDefault="00F11C9C" w:rsidP="00F11C9C">
            <w:pPr>
              <w:pStyle w:val="TableParagraph"/>
              <w:tabs>
                <w:tab w:val="left" w:pos="0"/>
              </w:tabs>
              <w:spacing w:before="58" w:line="276" w:lineRule="auto"/>
              <w:ind w:left="107"/>
              <w:rPr>
                <w:sz w:val="20"/>
                <w:szCs w:val="20"/>
                <w:lang w:val="mn-MN"/>
              </w:rPr>
            </w:pPr>
            <w:r w:rsidRPr="00F11C9C">
              <w:rPr>
                <w:sz w:val="20"/>
                <w:szCs w:val="20"/>
                <w:lang w:val="mn-MN"/>
              </w:rPr>
              <w:t>255</w:t>
            </w:r>
          </w:p>
        </w:tc>
        <w:tc>
          <w:tcPr>
            <w:tcW w:w="1869" w:type="dxa"/>
          </w:tcPr>
          <w:p w:rsidR="00F11C9C" w:rsidRPr="00F11C9C" w:rsidRDefault="00F11C9C" w:rsidP="00F11C9C">
            <w:pPr>
              <w:pStyle w:val="TableParagraph"/>
              <w:tabs>
                <w:tab w:val="left" w:pos="0"/>
              </w:tabs>
              <w:spacing w:before="58"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before="58"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before="58"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before="58" w:line="276" w:lineRule="auto"/>
              <w:ind w:left="107"/>
              <w:rPr>
                <w:sz w:val="20"/>
                <w:szCs w:val="20"/>
                <w:lang w:val="mn-MN"/>
              </w:rPr>
            </w:pPr>
            <w:r w:rsidRPr="00F11C9C">
              <w:rPr>
                <w:sz w:val="20"/>
                <w:szCs w:val="20"/>
                <w:lang w:val="mn-MN"/>
              </w:rPr>
              <w:t>FF</w:t>
            </w:r>
          </w:p>
        </w:tc>
      </w:tr>
      <w:tr w:rsidR="00F11C9C" w:rsidTr="00F11C9C">
        <w:tc>
          <w:tcPr>
            <w:tcW w:w="1868"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32 765</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7F</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FD</w:t>
            </w:r>
          </w:p>
        </w:tc>
      </w:tr>
      <w:tr w:rsidR="00F11C9C" w:rsidTr="00F11C9C">
        <w:tc>
          <w:tcPr>
            <w:tcW w:w="1868"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65 517</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F11C9C">
            <w:pPr>
              <w:pStyle w:val="TableParagraph"/>
              <w:tabs>
                <w:tab w:val="left" w:pos="0"/>
              </w:tabs>
              <w:spacing w:line="276" w:lineRule="auto"/>
              <w:ind w:left="-614"/>
              <w:rPr>
                <w:sz w:val="20"/>
                <w:szCs w:val="20"/>
                <w:lang w:val="mn-MN"/>
              </w:rPr>
            </w:pPr>
            <w:r w:rsidRPr="00F11C9C">
              <w:rPr>
                <w:sz w:val="20"/>
                <w:szCs w:val="20"/>
                <w:lang w:val="mn-MN"/>
              </w:rPr>
              <w:t>FF</w:t>
            </w:r>
          </w:p>
        </w:tc>
        <w:tc>
          <w:tcPr>
            <w:tcW w:w="1869" w:type="dxa"/>
          </w:tcPr>
          <w:p w:rsidR="00F11C9C" w:rsidRPr="00F11C9C" w:rsidRDefault="00F11C9C" w:rsidP="00F11C9C">
            <w:pPr>
              <w:pStyle w:val="TableParagraph"/>
              <w:tabs>
                <w:tab w:val="left" w:pos="0"/>
              </w:tabs>
              <w:spacing w:line="276" w:lineRule="auto"/>
              <w:ind w:left="107"/>
              <w:rPr>
                <w:sz w:val="20"/>
                <w:szCs w:val="20"/>
                <w:lang w:val="mn-MN"/>
              </w:rPr>
            </w:pPr>
            <w:r w:rsidRPr="00F11C9C">
              <w:rPr>
                <w:sz w:val="20"/>
                <w:szCs w:val="20"/>
                <w:lang w:val="mn-MN"/>
              </w:rPr>
              <w:t>ED</w:t>
            </w:r>
          </w:p>
        </w:tc>
      </w:tr>
    </w:tbl>
    <w:p w:rsidR="00F11C9C" w:rsidRDefault="00F11C9C" w:rsidP="00F11C9C">
      <w:pPr>
        <w:ind w:left="0" w:firstLine="0"/>
      </w:pPr>
    </w:p>
    <w:p w:rsidR="00F11C9C" w:rsidRPr="00F11C9C" w:rsidRDefault="00F11C9C" w:rsidP="00F11C9C">
      <w:pPr>
        <w:ind w:left="0" w:firstLine="0"/>
        <w:jc w:val="center"/>
        <w:rPr>
          <w:b/>
        </w:rPr>
      </w:pPr>
      <w:r w:rsidRPr="00F11C9C">
        <w:rPr>
          <w:b/>
        </w:rPr>
        <w:t>Table 7 – Example encodings of SPDU length</w:t>
      </w:r>
    </w:p>
    <w:tbl>
      <w:tblPr>
        <w:tblStyle w:val="TableGrid"/>
        <w:tblW w:w="0" w:type="auto"/>
        <w:tblLook w:val="04A0" w:firstRow="1" w:lastRow="0" w:firstColumn="1" w:lastColumn="0" w:noHBand="0" w:noVBand="1"/>
      </w:tblPr>
      <w:tblGrid>
        <w:gridCol w:w="1868"/>
        <w:gridCol w:w="1869"/>
        <w:gridCol w:w="1869"/>
        <w:gridCol w:w="1869"/>
        <w:gridCol w:w="1869"/>
      </w:tblGrid>
      <w:tr w:rsidR="00F11C9C" w:rsidTr="009E4499">
        <w:tc>
          <w:tcPr>
            <w:tcW w:w="1868" w:type="dxa"/>
          </w:tcPr>
          <w:p w:rsidR="00F11C9C" w:rsidRPr="00F11C9C" w:rsidRDefault="00F11C9C" w:rsidP="009E4499">
            <w:pPr>
              <w:pStyle w:val="TableParagraph"/>
              <w:tabs>
                <w:tab w:val="left" w:pos="0"/>
              </w:tabs>
              <w:spacing w:before="53" w:line="276" w:lineRule="auto"/>
              <w:ind w:left="446"/>
              <w:rPr>
                <w:b/>
                <w:sz w:val="20"/>
                <w:szCs w:val="20"/>
                <w:lang w:val="mn-MN"/>
              </w:rPr>
            </w:pPr>
            <w:r w:rsidRPr="00F11C9C">
              <w:rPr>
                <w:b/>
                <w:sz w:val="20"/>
                <w:szCs w:val="20"/>
                <w:lang w:val="mn-MN"/>
              </w:rPr>
              <w:t>Утга</w:t>
            </w:r>
          </w:p>
        </w:tc>
        <w:tc>
          <w:tcPr>
            <w:tcW w:w="1869" w:type="dxa"/>
          </w:tcPr>
          <w:p w:rsidR="00F11C9C" w:rsidRPr="00F11C9C" w:rsidRDefault="00F11C9C" w:rsidP="009E4499">
            <w:pPr>
              <w:pStyle w:val="TableParagraph"/>
              <w:tabs>
                <w:tab w:val="left" w:pos="0"/>
              </w:tabs>
              <w:spacing w:before="53" w:line="276" w:lineRule="auto"/>
              <w:ind w:left="381"/>
              <w:rPr>
                <w:b/>
                <w:sz w:val="20"/>
                <w:szCs w:val="20"/>
                <w:lang w:val="mn-MN"/>
              </w:rPr>
            </w:pPr>
            <w:r w:rsidRPr="00F11C9C">
              <w:rPr>
                <w:b/>
                <w:sz w:val="20"/>
                <w:szCs w:val="20"/>
              </w:rPr>
              <w:t>Octet</w:t>
            </w:r>
            <w:r w:rsidRPr="00F11C9C">
              <w:rPr>
                <w:b/>
                <w:sz w:val="20"/>
                <w:szCs w:val="20"/>
                <w:lang w:val="mn-MN"/>
              </w:rPr>
              <w:t xml:space="preserve"> 1</w:t>
            </w:r>
          </w:p>
        </w:tc>
        <w:tc>
          <w:tcPr>
            <w:tcW w:w="1869" w:type="dxa"/>
          </w:tcPr>
          <w:p w:rsidR="00F11C9C" w:rsidRPr="00F11C9C" w:rsidRDefault="00F11C9C" w:rsidP="009E4499">
            <w:pPr>
              <w:pStyle w:val="TableParagraph"/>
              <w:tabs>
                <w:tab w:val="left" w:pos="0"/>
              </w:tabs>
              <w:spacing w:before="53" w:line="276" w:lineRule="auto"/>
              <w:ind w:left="381"/>
              <w:rPr>
                <w:b/>
                <w:sz w:val="20"/>
                <w:szCs w:val="20"/>
              </w:rPr>
            </w:pPr>
            <w:r w:rsidRPr="00F11C9C">
              <w:rPr>
                <w:b/>
                <w:sz w:val="20"/>
                <w:szCs w:val="20"/>
              </w:rPr>
              <w:t>Octet 2</w:t>
            </w:r>
          </w:p>
        </w:tc>
        <w:tc>
          <w:tcPr>
            <w:tcW w:w="1869" w:type="dxa"/>
          </w:tcPr>
          <w:p w:rsidR="00F11C9C" w:rsidRPr="00F11C9C" w:rsidRDefault="00F11C9C" w:rsidP="009E4499">
            <w:pPr>
              <w:pStyle w:val="TableParagraph"/>
              <w:tabs>
                <w:tab w:val="left" w:pos="0"/>
              </w:tabs>
              <w:spacing w:before="53" w:line="276" w:lineRule="auto"/>
              <w:ind w:left="380"/>
              <w:rPr>
                <w:b/>
                <w:sz w:val="20"/>
                <w:szCs w:val="20"/>
              </w:rPr>
            </w:pPr>
            <w:r w:rsidRPr="00F11C9C">
              <w:rPr>
                <w:b/>
                <w:sz w:val="20"/>
                <w:szCs w:val="20"/>
              </w:rPr>
              <w:t>Octet3</w:t>
            </w:r>
          </w:p>
        </w:tc>
        <w:tc>
          <w:tcPr>
            <w:tcW w:w="1869" w:type="dxa"/>
          </w:tcPr>
          <w:p w:rsidR="00F11C9C" w:rsidRPr="00F11C9C" w:rsidRDefault="00F11C9C" w:rsidP="009E4499">
            <w:pPr>
              <w:pStyle w:val="TableParagraph"/>
              <w:tabs>
                <w:tab w:val="left" w:pos="0"/>
              </w:tabs>
              <w:spacing w:before="53" w:line="276" w:lineRule="auto"/>
              <w:ind w:left="380"/>
              <w:rPr>
                <w:b/>
                <w:sz w:val="20"/>
                <w:szCs w:val="20"/>
              </w:rPr>
            </w:pPr>
            <w:r w:rsidRPr="00F11C9C">
              <w:rPr>
                <w:b/>
                <w:sz w:val="20"/>
                <w:szCs w:val="20"/>
              </w:rPr>
              <w:t>Octet 4</w:t>
            </w:r>
          </w:p>
        </w:tc>
      </w:tr>
      <w:tr w:rsidR="00F11C9C" w:rsidTr="009E4499">
        <w:tc>
          <w:tcPr>
            <w:tcW w:w="1868"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1</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01</w:t>
            </w:r>
          </w:p>
        </w:tc>
      </w:tr>
      <w:tr w:rsidR="00F11C9C" w:rsidTr="009E4499">
        <w:tc>
          <w:tcPr>
            <w:tcW w:w="1868" w:type="dxa"/>
          </w:tcPr>
          <w:p w:rsidR="00F11C9C" w:rsidRPr="00F11C9C" w:rsidRDefault="00F11C9C" w:rsidP="009E4499">
            <w:pPr>
              <w:pStyle w:val="TableParagraph"/>
              <w:tabs>
                <w:tab w:val="left" w:pos="0"/>
              </w:tabs>
              <w:spacing w:before="58" w:line="276" w:lineRule="auto"/>
              <w:ind w:left="107"/>
              <w:rPr>
                <w:sz w:val="20"/>
                <w:szCs w:val="20"/>
                <w:lang w:val="mn-MN"/>
              </w:rPr>
            </w:pPr>
            <w:r w:rsidRPr="00F11C9C">
              <w:rPr>
                <w:sz w:val="20"/>
                <w:szCs w:val="20"/>
                <w:lang w:val="mn-MN"/>
              </w:rPr>
              <w:t>255</w:t>
            </w:r>
          </w:p>
        </w:tc>
        <w:tc>
          <w:tcPr>
            <w:tcW w:w="1869" w:type="dxa"/>
          </w:tcPr>
          <w:p w:rsidR="00F11C9C" w:rsidRPr="00F11C9C" w:rsidRDefault="00F11C9C" w:rsidP="009E4499">
            <w:pPr>
              <w:pStyle w:val="TableParagraph"/>
              <w:tabs>
                <w:tab w:val="left" w:pos="0"/>
              </w:tabs>
              <w:spacing w:before="58"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before="58"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before="58"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before="58" w:line="276" w:lineRule="auto"/>
              <w:ind w:left="107"/>
              <w:rPr>
                <w:sz w:val="20"/>
                <w:szCs w:val="20"/>
                <w:lang w:val="mn-MN"/>
              </w:rPr>
            </w:pPr>
            <w:r w:rsidRPr="00F11C9C">
              <w:rPr>
                <w:sz w:val="20"/>
                <w:szCs w:val="20"/>
                <w:lang w:val="mn-MN"/>
              </w:rPr>
              <w:t>FF</w:t>
            </w:r>
          </w:p>
        </w:tc>
      </w:tr>
      <w:tr w:rsidR="00F11C9C" w:rsidTr="009E4499">
        <w:tc>
          <w:tcPr>
            <w:tcW w:w="1868"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32 765</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7F</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FD</w:t>
            </w:r>
          </w:p>
        </w:tc>
      </w:tr>
      <w:tr w:rsidR="00F11C9C" w:rsidTr="009E4499">
        <w:tc>
          <w:tcPr>
            <w:tcW w:w="1868"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65 517</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00</w:t>
            </w:r>
          </w:p>
        </w:tc>
        <w:tc>
          <w:tcPr>
            <w:tcW w:w="1869" w:type="dxa"/>
          </w:tcPr>
          <w:p w:rsidR="00F11C9C" w:rsidRPr="00F11C9C" w:rsidRDefault="00F11C9C" w:rsidP="009E4499">
            <w:pPr>
              <w:pStyle w:val="TableParagraph"/>
              <w:tabs>
                <w:tab w:val="left" w:pos="0"/>
              </w:tabs>
              <w:spacing w:line="276" w:lineRule="auto"/>
              <w:ind w:left="-614"/>
              <w:rPr>
                <w:sz w:val="20"/>
                <w:szCs w:val="20"/>
                <w:lang w:val="mn-MN"/>
              </w:rPr>
            </w:pPr>
            <w:r w:rsidRPr="00F11C9C">
              <w:rPr>
                <w:sz w:val="20"/>
                <w:szCs w:val="20"/>
                <w:lang w:val="mn-MN"/>
              </w:rPr>
              <w:t>FF</w:t>
            </w:r>
          </w:p>
        </w:tc>
        <w:tc>
          <w:tcPr>
            <w:tcW w:w="1869" w:type="dxa"/>
          </w:tcPr>
          <w:p w:rsidR="00F11C9C" w:rsidRPr="00F11C9C" w:rsidRDefault="00F11C9C" w:rsidP="009E4499">
            <w:pPr>
              <w:pStyle w:val="TableParagraph"/>
              <w:tabs>
                <w:tab w:val="left" w:pos="0"/>
              </w:tabs>
              <w:spacing w:line="276" w:lineRule="auto"/>
              <w:ind w:left="107"/>
              <w:rPr>
                <w:sz w:val="20"/>
                <w:szCs w:val="20"/>
                <w:lang w:val="mn-MN"/>
              </w:rPr>
            </w:pPr>
            <w:r w:rsidRPr="00F11C9C">
              <w:rPr>
                <w:sz w:val="20"/>
                <w:szCs w:val="20"/>
                <w:lang w:val="mn-MN"/>
              </w:rPr>
              <w:t>ED</w:t>
            </w:r>
          </w:p>
        </w:tc>
      </w:tr>
    </w:tbl>
    <w:p w:rsidR="00F11C9C" w:rsidRDefault="00F11C9C" w:rsidP="00F11C9C">
      <w:pPr>
        <w:ind w:left="0" w:firstLine="0"/>
      </w:pPr>
    </w:p>
    <w:tbl>
      <w:tblPr>
        <w:tblStyle w:val="TableGrid"/>
        <w:tblW w:w="0" w:type="auto"/>
        <w:tblLook w:val="04A0" w:firstRow="1" w:lastRow="0" w:firstColumn="1" w:lastColumn="0" w:noHBand="0" w:noVBand="1"/>
      </w:tblPr>
      <w:tblGrid>
        <w:gridCol w:w="4672"/>
        <w:gridCol w:w="4672"/>
      </w:tblGrid>
      <w:tr w:rsidR="00F11C9C" w:rsidTr="00F11C9C">
        <w:tc>
          <w:tcPr>
            <w:tcW w:w="4672" w:type="dxa"/>
          </w:tcPr>
          <w:p w:rsidR="00F11C9C" w:rsidRPr="00F11C9C" w:rsidRDefault="00F11C9C" w:rsidP="00F11C9C">
            <w:pPr>
              <w:tabs>
                <w:tab w:val="left" w:pos="0"/>
              </w:tabs>
              <w:ind w:left="0" w:firstLine="0"/>
              <w:rPr>
                <w:rFonts w:eastAsia="Calibri"/>
                <w:b/>
                <w:bCs/>
                <w:szCs w:val="22"/>
              </w:rPr>
            </w:pPr>
            <w:r w:rsidRPr="00F11C9C">
              <w:rPr>
                <w:rFonts w:eastAsia="Calibri"/>
                <w:b/>
                <w:bCs/>
                <w:szCs w:val="22"/>
              </w:rPr>
              <w:t>11.3.2.1.3 SPDU дугаар</w:t>
            </w:r>
          </w:p>
          <w:p w:rsidR="00F11C9C" w:rsidRPr="00F11C9C" w:rsidRDefault="00F11C9C" w:rsidP="00F11C9C">
            <w:pPr>
              <w:tabs>
                <w:tab w:val="left" w:pos="0"/>
              </w:tabs>
              <w:ind w:left="0" w:firstLine="0"/>
              <w:rPr>
                <w:rFonts w:eastAsia="Calibri"/>
                <w:bCs/>
                <w:szCs w:val="22"/>
              </w:rPr>
            </w:pPr>
            <w:r w:rsidRPr="00F11C9C">
              <w:rPr>
                <w:rFonts w:eastAsia="Calibri"/>
                <w:bCs/>
                <w:szCs w:val="22"/>
              </w:rPr>
              <w:t>SPDU дугаар нь захиалагчийн захиалгыг давхардсан эсвэл дэс дугаар алдагдсан багц дамжуулалтыг илрүүлэхэд ашиглах боломжтой утга.SPDU дугаарын атрибут нь дөрөв (4) октет байх ба утга нь 0 –  4 294 967 295 хүртэлх Баталгаажуулагдаагүй Бүхэл Тоон Утгыг илэрхийлнэ.</w:t>
            </w:r>
          </w:p>
          <w:p w:rsidR="00F11C9C" w:rsidRPr="00F11C9C" w:rsidRDefault="00F11C9C" w:rsidP="00F11C9C">
            <w:pPr>
              <w:tabs>
                <w:tab w:val="left" w:pos="0"/>
              </w:tabs>
              <w:ind w:left="0" w:firstLine="0"/>
              <w:rPr>
                <w:rFonts w:eastAsia="Calibri"/>
                <w:bCs/>
                <w:szCs w:val="22"/>
              </w:rPr>
            </w:pPr>
            <w:r w:rsidRPr="00F11C9C">
              <w:rPr>
                <w:rFonts w:eastAsia="Calibri"/>
                <w:bCs/>
                <w:szCs w:val="22"/>
              </w:rPr>
              <w:t>SPDU дугаарыг илгээгчийн зүгээс очих газар бүрт хүртэл хадгалах ёстой.Анхны SPDU дугаар нь тэг утга байх ёстой. Дараагийн SPDU-ийн дугаарын утгыг нэг нэгээр нэмэгдүүлнэ. Хамгийн их утгадхүрэх үед утга нь тэг (0) -ээс эхэлнэ.</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 xml:space="preserve">11.3.2.1.4 Хувилбар </w:t>
            </w:r>
          </w:p>
          <w:p w:rsidR="00F11C9C" w:rsidRPr="00F11C9C" w:rsidRDefault="00F11C9C" w:rsidP="00F11C9C">
            <w:pPr>
              <w:tabs>
                <w:tab w:val="left" w:pos="0"/>
              </w:tabs>
              <w:ind w:left="0" w:firstLine="0"/>
              <w:rPr>
                <w:rFonts w:eastAsia="Calibri"/>
                <w:bCs/>
                <w:szCs w:val="22"/>
              </w:rPr>
            </w:pPr>
            <w:r w:rsidRPr="00F11C9C">
              <w:rPr>
                <w:rFonts w:eastAsia="Calibri"/>
                <w:bCs/>
                <w:szCs w:val="22"/>
              </w:rPr>
              <w:t>Хувилбар атрибут нь энэ баримт бичигт тодорхойлсоноор горимын протоколын хувилбарын тоогагуулсан байна. Аттрибутын утга нь хоёр (2) октет байх бөгөөд Баталгаажуулагдаагүй Бүхэл Тоон Утгыг илэрхийлнэ.</w:t>
            </w:r>
          </w:p>
          <w:p w:rsidR="00F11C9C" w:rsidRPr="00F11C9C" w:rsidRDefault="00F11C9C" w:rsidP="00F11C9C">
            <w:pPr>
              <w:tabs>
                <w:tab w:val="left" w:pos="0"/>
              </w:tabs>
              <w:ind w:left="0" w:firstLine="0"/>
              <w:rPr>
                <w:rFonts w:eastAsia="Calibri"/>
                <w:bCs/>
                <w:szCs w:val="22"/>
              </w:rPr>
            </w:pPr>
            <w:r w:rsidRPr="00F11C9C">
              <w:rPr>
                <w:rFonts w:eastAsia="Calibri"/>
                <w:bCs/>
                <w:szCs w:val="22"/>
              </w:rPr>
              <w:t>Хувилбарт олгох утга нь 1 байна.</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 Аюулгүй байдалтай холбоотой атрибутууд</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Гаримын гарчиг дээрх аюулгүй байдлын талбаруудыг дараах дэд бүлэгт тодорхойлсон болно.</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11.3.2.2.1 TimeofCurrentKey</w:t>
            </w:r>
          </w:p>
          <w:p w:rsidR="00F11C9C" w:rsidRPr="00F11C9C" w:rsidRDefault="00F11C9C" w:rsidP="00F11C9C">
            <w:pPr>
              <w:tabs>
                <w:tab w:val="left" w:pos="0"/>
              </w:tabs>
              <w:ind w:left="0" w:firstLine="0"/>
              <w:rPr>
                <w:rFonts w:eastAsia="Calibri"/>
                <w:bCs/>
                <w:szCs w:val="22"/>
              </w:rPr>
            </w:pPr>
            <w:r w:rsidRPr="00F11C9C">
              <w:rPr>
                <w:rFonts w:eastAsia="Calibri"/>
                <w:bCs/>
                <w:szCs w:val="22"/>
              </w:rPr>
              <w:t>TimeofCurrentKey атрибут нь Баталгаажуулагдаагүй Бүхэл Тоон Утгыг илэрхийлдэгдөрвөн (4) октет байх ёстой.Энэ атрибутын утга нь SecondSinceEpoch-ыг төлөөлнө.SecondSinceEpoch нь 1970-01-01 00:00:00 UTC цаг үеэс хойш секундээр тасралтгүй тоологдох интервал болно.Энэ утгыг үсрэлтийн секундын(leap seconds) турш тохируулж болохгүй.</w:t>
            </w:r>
          </w:p>
          <w:p w:rsidR="00F11C9C" w:rsidRPr="00F11C9C" w:rsidRDefault="00F11C9C" w:rsidP="00F11C9C">
            <w:pPr>
              <w:tabs>
                <w:tab w:val="left" w:pos="0"/>
              </w:tabs>
              <w:ind w:left="0" w:firstLine="0"/>
              <w:rPr>
                <w:rFonts w:eastAsia="Calibri"/>
                <w:bCs/>
                <w:sz w:val="20"/>
                <w:szCs w:val="20"/>
              </w:rPr>
            </w:pPr>
            <w:r w:rsidRPr="00F11C9C">
              <w:rPr>
                <w:rFonts w:eastAsia="Calibri"/>
                <w:bCs/>
                <w:sz w:val="20"/>
                <w:szCs w:val="20"/>
              </w:rPr>
              <w:t>ТАЙЛБАР: SecondSinceEpoch нь Unix эрин үетэй таардаг</w:t>
            </w:r>
          </w:p>
          <w:p w:rsidR="00F11C9C" w:rsidRPr="00F11C9C" w:rsidRDefault="00F11C9C" w:rsidP="00F11C9C">
            <w:pPr>
              <w:tabs>
                <w:tab w:val="left" w:pos="0"/>
              </w:tabs>
              <w:ind w:left="0" w:firstLine="0"/>
              <w:rPr>
                <w:rFonts w:eastAsia="Calibri"/>
                <w:bCs/>
                <w:szCs w:val="22"/>
              </w:rPr>
            </w:pPr>
            <w:r w:rsidRPr="00F11C9C">
              <w:rPr>
                <w:rFonts w:eastAsia="Calibri"/>
                <w:bCs/>
                <w:szCs w:val="22"/>
              </w:rPr>
              <w:t>Зарим үйлдлийн системүүд SecondsSinceEpoch (жишээ нь Unix) -ийг төлөөлдөг 32 битийн баталгаажуулалттай утга байдаг. Ийм үйлдлийн системд хэрэгжүүлэхийн тулд баталгаажуулагдаагүй бүхэл тоог ашиглах боломжийг олгохын тулд зохих хугацааны нөхөлтөөр хангах үүргийг хэрэгжүүлэгч хариуцна.</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11.3.2.2.2 TimetoNextKey</w:t>
            </w:r>
          </w:p>
          <w:p w:rsidR="00F11C9C" w:rsidRPr="00F11C9C" w:rsidRDefault="00F11C9C" w:rsidP="00F11C9C">
            <w:pPr>
              <w:tabs>
                <w:tab w:val="left" w:pos="0"/>
              </w:tabs>
              <w:ind w:left="0" w:firstLine="0"/>
              <w:rPr>
                <w:rFonts w:eastAsia="Calibri"/>
                <w:bCs/>
                <w:szCs w:val="22"/>
              </w:rPr>
            </w:pPr>
            <w:r w:rsidRPr="00F11C9C">
              <w:rPr>
                <w:rFonts w:eastAsia="Calibri"/>
                <w:bCs/>
                <w:szCs w:val="22"/>
              </w:rPr>
              <w:t>imetoNextKey атрибут нь баталгаажуулагдсан бүхэл тоог илэрхийлдэг хоёр (2) октет байх ёстой.Аттрибутын утга нь шинэ түлхүүрийг ашиглахаас өмнөх минутын тоог илэрхийлдэг. Хэрэв хамгийн чухал бит нь сөрөг утгыг илэрхийлсэн нэг (1) -ийн утга байвал энэ нь шинэ түлхүүрийг ашиглалтад оруулахаар төлөвлөөгүй байгааг илтгэхэд ашиглагдах ёстой.Аливаа эерэг утгыг шинэ түлхүүрийг ашиглалтад оруулахаас өмнөх минутын тоог тэмдэглэхэд ашиглана.</w:t>
            </w:r>
          </w:p>
          <w:p w:rsidR="00F11C9C" w:rsidRPr="00F11C9C" w:rsidRDefault="00F11C9C" w:rsidP="00F11C9C">
            <w:pPr>
              <w:tabs>
                <w:tab w:val="left" w:pos="0"/>
              </w:tabs>
              <w:ind w:left="0" w:firstLine="0"/>
              <w:rPr>
                <w:rFonts w:eastAsia="Calibri"/>
                <w:bCs/>
                <w:szCs w:val="22"/>
              </w:rPr>
            </w:pPr>
            <w:r>
              <w:rPr>
                <w:rFonts w:eastAsia="Calibri"/>
                <w:bCs/>
                <w:szCs w:val="22"/>
              </w:rPr>
              <w:t>26-р зураг</w:t>
            </w:r>
            <w:r w:rsidRPr="00F11C9C">
              <w:rPr>
                <w:rFonts w:eastAsia="Calibri"/>
                <w:bCs/>
                <w:szCs w:val="22"/>
              </w:rPr>
              <w:t xml:space="preserve"> баталгаажуулагдаагүй бүхэл тоон утгын кодчиллыг харуулав.</w:t>
            </w:r>
          </w:p>
        </w:tc>
        <w:tc>
          <w:tcPr>
            <w:tcW w:w="4672" w:type="dxa"/>
          </w:tcPr>
          <w:p w:rsidR="00F11C9C" w:rsidRPr="00F11C9C" w:rsidRDefault="00F11C9C" w:rsidP="00F11C9C">
            <w:pPr>
              <w:tabs>
                <w:tab w:val="left" w:pos="0"/>
              </w:tabs>
              <w:ind w:left="0" w:firstLine="0"/>
              <w:rPr>
                <w:rFonts w:eastAsia="Calibri"/>
                <w:b/>
                <w:bCs/>
                <w:szCs w:val="22"/>
              </w:rPr>
            </w:pPr>
            <w:r w:rsidRPr="00F11C9C">
              <w:rPr>
                <w:rFonts w:eastAsia="Calibri"/>
                <w:b/>
                <w:bCs/>
                <w:szCs w:val="22"/>
              </w:rPr>
              <w:lastRenderedPageBreak/>
              <w:t>11.3.2.1.3 SPDU number</w:t>
            </w:r>
          </w:p>
          <w:p w:rsidR="00F11C9C" w:rsidRPr="00F11C9C" w:rsidRDefault="00F11C9C" w:rsidP="00F11C9C">
            <w:pPr>
              <w:tabs>
                <w:tab w:val="left" w:pos="0"/>
              </w:tabs>
              <w:ind w:left="0" w:firstLine="0"/>
              <w:rPr>
                <w:rFonts w:eastAsia="Calibri"/>
                <w:bCs/>
                <w:szCs w:val="22"/>
              </w:rPr>
            </w:pPr>
            <w:r w:rsidRPr="00F11C9C">
              <w:rPr>
                <w:rFonts w:eastAsia="Calibri"/>
                <w:bCs/>
                <w:szCs w:val="22"/>
              </w:rPr>
              <w:t>The SPDU Number is a value that can be used by the subscriber to detect duplicate or out-of- order packet delivery. The SPDU number attribute shall be four (4) octets and represent an Unsigned Integer Value whose range of values is 0 to 4 294 967 295.</w:t>
            </w:r>
          </w:p>
          <w:p w:rsidR="00F11C9C" w:rsidRPr="00F11C9C" w:rsidRDefault="00F11C9C" w:rsidP="00F11C9C">
            <w:pPr>
              <w:tabs>
                <w:tab w:val="left" w:pos="0"/>
              </w:tabs>
              <w:ind w:left="0" w:firstLine="0"/>
              <w:rPr>
                <w:rFonts w:eastAsia="Calibri"/>
                <w:bCs/>
                <w:szCs w:val="22"/>
              </w:rPr>
            </w:pPr>
            <w:r w:rsidRPr="00F11C9C">
              <w:rPr>
                <w:rFonts w:eastAsia="Calibri"/>
                <w:bCs/>
                <w:szCs w:val="22"/>
              </w:rPr>
              <w:t>The SPDU Number shall be maintained, by the sender, on a per destination basis. The initial SPDU Number sent shall be a value of zero. Subsequent SPDU Number values shall be incremented. When the maximum value is reached, the value shall start at a value of zero (0).</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11.3.2.1.4 Version</w:t>
            </w:r>
          </w:p>
          <w:p w:rsidR="00F11C9C" w:rsidRPr="00F11C9C" w:rsidRDefault="00F11C9C" w:rsidP="00F11C9C">
            <w:pPr>
              <w:tabs>
                <w:tab w:val="left" w:pos="0"/>
              </w:tabs>
              <w:ind w:left="0" w:firstLine="0"/>
              <w:rPr>
                <w:rFonts w:eastAsia="Calibri"/>
                <w:bCs/>
                <w:szCs w:val="22"/>
              </w:rPr>
            </w:pPr>
            <w:r w:rsidRPr="00F11C9C">
              <w:rPr>
                <w:rFonts w:eastAsia="Calibri"/>
                <w:bCs/>
                <w:szCs w:val="22"/>
              </w:rPr>
              <w:t>The Version attribute shall contain the session protocol version number as specified by this document. The attribute value shall be two (2) octets and represent  an  Unsigned Integer Value.</w:t>
            </w:r>
          </w:p>
          <w:p w:rsidR="00F11C9C" w:rsidRPr="00F11C9C" w:rsidRDefault="00F11C9C" w:rsidP="00F11C9C">
            <w:pPr>
              <w:tabs>
                <w:tab w:val="left" w:pos="0"/>
              </w:tabs>
              <w:ind w:left="0" w:firstLine="0"/>
              <w:rPr>
                <w:rFonts w:eastAsia="Calibri"/>
                <w:bCs/>
                <w:szCs w:val="22"/>
              </w:rPr>
            </w:pPr>
            <w:r w:rsidRPr="00F11C9C">
              <w:rPr>
                <w:rFonts w:eastAsia="Calibri"/>
                <w:bCs/>
                <w:szCs w:val="22"/>
              </w:rPr>
              <w:t>The value assigned for the Version shall be 1</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 Security related attributes</w:t>
            </w:r>
          </w:p>
          <w:p w:rsidR="00F11C9C" w:rsidRPr="00F11C9C" w:rsidRDefault="00F11C9C" w:rsidP="00F11C9C">
            <w:pPr>
              <w:tabs>
                <w:tab w:val="left" w:pos="0"/>
              </w:tabs>
              <w:ind w:left="0" w:firstLine="0"/>
              <w:rPr>
                <w:rFonts w:eastAsia="Calibri"/>
                <w:bCs/>
                <w:szCs w:val="22"/>
              </w:rPr>
            </w:pPr>
            <w:r w:rsidRPr="00F11C9C">
              <w:rPr>
                <w:rFonts w:eastAsia="Calibri"/>
                <w:bCs/>
                <w:szCs w:val="22"/>
              </w:rPr>
              <w:t>The security fields in the Session Header are described in the following subclauses.</w:t>
            </w:r>
          </w:p>
          <w:p w:rsidR="00F11C9C" w:rsidRPr="00F11C9C" w:rsidRDefault="00F11C9C" w:rsidP="00F11C9C">
            <w:pPr>
              <w:tabs>
                <w:tab w:val="left" w:pos="0"/>
              </w:tabs>
              <w:ind w:left="0" w:firstLine="0"/>
              <w:rPr>
                <w:rFonts w:eastAsia="Calibri"/>
                <w:b/>
                <w:bCs/>
                <w:szCs w:val="22"/>
              </w:rPr>
            </w:pPr>
            <w:bookmarkStart w:id="47" w:name="_bookmark45"/>
            <w:bookmarkEnd w:id="47"/>
            <w:r w:rsidRPr="00F11C9C">
              <w:rPr>
                <w:rFonts w:eastAsia="Calibri"/>
                <w:b/>
                <w:bCs/>
                <w:szCs w:val="22"/>
              </w:rPr>
              <w:lastRenderedPageBreak/>
              <w:t>11.3.2.2.1 TimeofCurrentKey</w:t>
            </w:r>
          </w:p>
          <w:p w:rsidR="00F11C9C" w:rsidRPr="00F11C9C" w:rsidRDefault="00F11C9C" w:rsidP="00F11C9C">
            <w:pPr>
              <w:tabs>
                <w:tab w:val="left" w:pos="0"/>
              </w:tabs>
              <w:ind w:left="0" w:firstLine="0"/>
              <w:rPr>
                <w:rFonts w:eastAsia="Calibri"/>
                <w:bCs/>
                <w:szCs w:val="22"/>
              </w:rPr>
            </w:pPr>
            <w:r w:rsidRPr="00F11C9C">
              <w:rPr>
                <w:rFonts w:eastAsia="Calibri"/>
                <w:bCs/>
                <w:szCs w:val="22"/>
              </w:rPr>
              <w:t>The TimeofCurrentKey attribute shall be four (4) octets that represent an Unsigned Integer value. The value of the attribute shall represent the SecondSinceEpoch. SecondSinceEpoch shall be the interval in seconds continuously counted from the epoch 1970-01-01 00:00:00  UTC. The value shall not be adjusted for leap seconds.</w:t>
            </w:r>
          </w:p>
          <w:p w:rsidR="00F11C9C" w:rsidRPr="00F11C9C" w:rsidRDefault="00F11C9C" w:rsidP="00F11C9C">
            <w:pPr>
              <w:tabs>
                <w:tab w:val="left" w:pos="0"/>
              </w:tabs>
              <w:ind w:left="0" w:firstLine="0"/>
              <w:rPr>
                <w:rFonts w:eastAsia="Calibri"/>
                <w:bCs/>
                <w:sz w:val="20"/>
                <w:szCs w:val="20"/>
              </w:rPr>
            </w:pPr>
            <w:r w:rsidRPr="00F11C9C">
              <w:rPr>
                <w:rFonts w:eastAsia="Calibri"/>
                <w:bCs/>
                <w:sz w:val="20"/>
                <w:szCs w:val="20"/>
              </w:rPr>
              <w:t>NOTE SecondSinceEpoch corresponds to the Unix epoch.</w:t>
            </w:r>
          </w:p>
          <w:p w:rsidR="00F11C9C" w:rsidRPr="00F11C9C" w:rsidRDefault="00F11C9C" w:rsidP="00F11C9C">
            <w:pPr>
              <w:tabs>
                <w:tab w:val="left" w:pos="0"/>
              </w:tabs>
              <w:ind w:left="0" w:firstLine="0"/>
              <w:rPr>
                <w:rFonts w:eastAsia="Calibri"/>
                <w:bCs/>
                <w:szCs w:val="22"/>
              </w:rPr>
            </w:pPr>
            <w:r w:rsidRPr="00F11C9C">
              <w:rPr>
                <w:rFonts w:eastAsia="Calibri"/>
                <w:bCs/>
                <w:szCs w:val="22"/>
              </w:rPr>
              <w:t>Some operating systems have a 32-bit Signed value  that  represents  SecondsSinceEpoch (e.g. Unix). For implementations in such operating systems, it shall be the implementation’s responsibility to provide the appropriate time offsets to allow the full range of the Unsigned Integer value to be used.</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11.3.2.2.2 TimetoNextKey</w:t>
            </w:r>
          </w:p>
          <w:p w:rsidR="00F11C9C" w:rsidRPr="00F11C9C" w:rsidRDefault="00F11C9C" w:rsidP="00F11C9C">
            <w:pPr>
              <w:tabs>
                <w:tab w:val="left" w:pos="0"/>
              </w:tabs>
              <w:ind w:left="0" w:firstLine="0"/>
              <w:rPr>
                <w:rFonts w:eastAsia="Calibri"/>
                <w:bCs/>
                <w:szCs w:val="22"/>
              </w:rPr>
            </w:pPr>
            <w:r w:rsidRPr="00F11C9C">
              <w:rPr>
                <w:rFonts w:eastAsia="Calibri"/>
                <w:bCs/>
                <w:szCs w:val="22"/>
              </w:rPr>
              <w:t>The TimetoNextKey attribute shall be two (2) octets that represent a  Signed Integer  value. The value of the attribute represents the number of minutes prior to a new key being used. If the Most Significant Bit is a value of one (1), representing a negative value, it shall be used to indicate that no new key has been scheduled to be placed into service. Any positive  value shall be used to indicate the number of minutes prior to the new key being placed into service.</w:t>
            </w:r>
          </w:p>
          <w:p w:rsidR="00F11C9C" w:rsidRPr="00F11C9C" w:rsidRDefault="00D80958" w:rsidP="00F11C9C">
            <w:pPr>
              <w:tabs>
                <w:tab w:val="left" w:pos="0"/>
              </w:tabs>
              <w:ind w:left="0" w:firstLine="0"/>
              <w:rPr>
                <w:rFonts w:eastAsia="Calibri"/>
                <w:bCs/>
                <w:szCs w:val="22"/>
              </w:rPr>
            </w:pPr>
            <w:hyperlink w:anchor="_bookmark46" w:history="1">
              <w:r w:rsidR="00F11C9C" w:rsidRPr="00F11C9C">
                <w:rPr>
                  <w:rFonts w:eastAsia="Calibri"/>
                  <w:bCs/>
                  <w:szCs w:val="22"/>
                </w:rPr>
                <w:t xml:space="preserve">Figure 26 </w:t>
              </w:r>
            </w:hyperlink>
            <w:r w:rsidR="00F11C9C" w:rsidRPr="00F11C9C">
              <w:rPr>
                <w:rFonts w:eastAsia="Calibri"/>
                <w:bCs/>
                <w:szCs w:val="22"/>
              </w:rPr>
              <w:t>shows the encoding of the unsigned integer value.</w:t>
            </w: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tc>
      </w:tr>
    </w:tbl>
    <w:p w:rsidR="00F11C9C" w:rsidRDefault="00F11C9C" w:rsidP="00F11C9C">
      <w:pPr>
        <w:ind w:left="0" w:firstLine="0"/>
      </w:pPr>
    </w:p>
    <w:p w:rsidR="00F11C9C" w:rsidRDefault="00F11C9C" w:rsidP="00F11C9C">
      <w:pPr>
        <w:ind w:left="0" w:firstLine="0"/>
        <w:jc w:val="center"/>
      </w:pPr>
      <w:r w:rsidRPr="00731F96">
        <w:object w:dxaOrig="7015" w:dyaOrig="1800">
          <v:shape id="_x0000_i1075" type="#_x0000_t75" style="width:353.45pt;height:90.7pt" o:ole="">
            <v:imagedata r:id="rId74" o:title=""/>
          </v:shape>
          <o:OLEObject Type="Embed" ProgID="Visio.Drawing.11" ShapeID="_x0000_i1075" DrawAspect="Content" ObjectID="_1701177465" r:id="rId75"/>
        </w:object>
      </w:r>
    </w:p>
    <w:p w:rsidR="00F11C9C" w:rsidRDefault="00F11C9C" w:rsidP="00F11C9C">
      <w:pPr>
        <w:jc w:val="left"/>
        <w:rPr>
          <w:rFonts w:eastAsia="Arial"/>
          <w:b/>
        </w:rPr>
      </w:pPr>
      <w:r w:rsidRPr="00731F96">
        <w:rPr>
          <w:rFonts w:eastAsia="Arial"/>
          <w:b/>
        </w:rPr>
        <w:t>26</w:t>
      </w:r>
      <w:r>
        <w:rPr>
          <w:rFonts w:eastAsia="Arial"/>
          <w:b/>
        </w:rPr>
        <w:t>-р зураг</w:t>
      </w:r>
      <w:r w:rsidRPr="00731F96">
        <w:rPr>
          <w:rFonts w:eastAsia="Arial"/>
          <w:b/>
        </w:rPr>
        <w:t xml:space="preserve"> – TimetoNextKey-ийн кодчилол</w:t>
      </w:r>
    </w:p>
    <w:p w:rsidR="00F11C9C" w:rsidRDefault="00F11C9C" w:rsidP="00F11C9C">
      <w:pPr>
        <w:jc w:val="left"/>
        <w:rPr>
          <w:rFonts w:eastAsia="Arial"/>
          <w:b/>
        </w:rPr>
      </w:pPr>
    </w:p>
    <w:p w:rsidR="00F11C9C" w:rsidRPr="00EF2D2B" w:rsidRDefault="00F11C9C" w:rsidP="00F11C9C">
      <w:pPr>
        <w:jc w:val="center"/>
        <w:rPr>
          <w:rFonts w:eastAsia="Arial"/>
          <w:bCs/>
        </w:rPr>
      </w:pPr>
      <w:r w:rsidRPr="00EF2D2B">
        <w:rPr>
          <w:noProof/>
          <w:lang w:val="en-US"/>
        </w:rPr>
        <w:drawing>
          <wp:inline distT="0" distB="0" distL="0" distR="0" wp14:anchorId="3A841058" wp14:editId="7773C93F">
            <wp:extent cx="4626591" cy="1395731"/>
            <wp:effectExtent l="0" t="0" r="317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36345" cy="1398674"/>
                    </a:xfrm>
                    <a:prstGeom prst="rect">
                      <a:avLst/>
                    </a:prstGeom>
                  </pic:spPr>
                </pic:pic>
              </a:graphicData>
            </a:graphic>
          </wp:inline>
        </w:drawing>
      </w:r>
    </w:p>
    <w:p w:rsidR="00F11C9C" w:rsidRPr="00B16517" w:rsidRDefault="00F11C9C" w:rsidP="00F11C9C">
      <w:pPr>
        <w:rPr>
          <w:rFonts w:eastAsia="Arial"/>
          <w:b/>
          <w:bCs/>
        </w:rPr>
      </w:pPr>
      <w:r w:rsidRPr="00731F96">
        <w:rPr>
          <w:rFonts w:eastAsia="Arial"/>
          <w:b/>
        </w:rPr>
        <w:t>Figure</w:t>
      </w:r>
      <w:r>
        <w:rPr>
          <w:rFonts w:eastAsia="Arial"/>
          <w:b/>
        </w:rPr>
        <w:t xml:space="preserve"> 26 – Encoding of TimetoNextKey</w:t>
      </w:r>
    </w:p>
    <w:p w:rsidR="00F11C9C" w:rsidRDefault="00F11C9C" w:rsidP="00F11C9C">
      <w:pPr>
        <w:ind w:left="0" w:firstLine="0"/>
      </w:pPr>
    </w:p>
    <w:tbl>
      <w:tblPr>
        <w:tblStyle w:val="TableGrid"/>
        <w:tblW w:w="0" w:type="auto"/>
        <w:tblLook w:val="04A0" w:firstRow="1" w:lastRow="0" w:firstColumn="1" w:lastColumn="0" w:noHBand="0" w:noVBand="1"/>
      </w:tblPr>
      <w:tblGrid>
        <w:gridCol w:w="4672"/>
        <w:gridCol w:w="4672"/>
      </w:tblGrid>
      <w:tr w:rsidR="00F11C9C" w:rsidTr="00F11C9C">
        <w:tc>
          <w:tcPr>
            <w:tcW w:w="4672" w:type="dxa"/>
          </w:tcPr>
          <w:p w:rsidR="00F11C9C" w:rsidRPr="00F11C9C" w:rsidRDefault="00F11C9C" w:rsidP="00F11C9C">
            <w:pPr>
              <w:tabs>
                <w:tab w:val="left" w:pos="0"/>
              </w:tabs>
              <w:ind w:left="0" w:firstLine="0"/>
              <w:rPr>
                <w:rFonts w:eastAsia="Calibri"/>
                <w:bCs/>
                <w:szCs w:val="22"/>
              </w:rPr>
            </w:pPr>
            <w:r w:rsidRPr="00F11C9C">
              <w:rPr>
                <w:rFonts w:eastAsia="Calibri"/>
                <w:bCs/>
                <w:szCs w:val="22"/>
              </w:rPr>
              <w:t>Эерэг утгыг тохируулахын өмнө Групп менежер (Group Manager) (ж.нь IED)ашиглагдах шинэ түлхүүрийг тодорхойлно. Энэ нь захиалагчдад Групп Түлхүүр Менежмент Протокол (Group Key Management Protocol)-ыг ашиглаж дуусахаас өмнө шинэбаталгаажуулагдсан түлхүүрийг олж авах боломжийг олгоно.</w:t>
            </w:r>
          </w:p>
          <w:p w:rsidR="00F11C9C" w:rsidRPr="00F11C9C" w:rsidRDefault="00F11C9C" w:rsidP="00F11C9C">
            <w:pPr>
              <w:tabs>
                <w:tab w:val="left" w:pos="0"/>
              </w:tabs>
              <w:ind w:left="0" w:firstLine="0"/>
              <w:rPr>
                <w:rFonts w:eastAsia="Calibri"/>
                <w:bCs/>
                <w:szCs w:val="22"/>
              </w:rPr>
            </w:pPr>
            <w:r w:rsidRPr="00F11C9C">
              <w:rPr>
                <w:rFonts w:eastAsia="Calibri"/>
                <w:bCs/>
                <w:szCs w:val="22"/>
              </w:rPr>
              <w:t>Шинэ түлхүүрийг ашиглалтад оруулах хүртэл эерэг тоо нь харьцангуй цаг байх ёстой.Тиймээс шинэ түлхүүр бодитоор ашиглагдах хүртэл энэ тоо буурдаг. Шинэ түлхүүр ашиглагдахад TimeofCurrentKey атрибут утга шинэчлэгдэнэ.</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11.3.2.2.3 SecurityAlgorithms</w:t>
            </w:r>
            <w:r>
              <w:rPr>
                <w:rFonts w:eastAsia="Calibri"/>
                <w:b/>
                <w:bCs/>
                <w:szCs w:val="22"/>
              </w:rPr>
              <w:t xml:space="preserve"> </w:t>
            </w:r>
            <w:r w:rsidRPr="00F11C9C">
              <w:rPr>
                <w:rFonts w:eastAsia="Calibri"/>
                <w:b/>
                <w:bCs/>
                <w:szCs w:val="22"/>
              </w:rPr>
              <w:t>(Аюулгүй байдлын алгоритм)</w:t>
            </w:r>
          </w:p>
          <w:p w:rsidR="00F11C9C" w:rsidRPr="00F11C9C" w:rsidRDefault="00F11C9C" w:rsidP="00F11C9C">
            <w:pPr>
              <w:tabs>
                <w:tab w:val="left" w:pos="0"/>
              </w:tabs>
              <w:ind w:left="0" w:firstLine="0"/>
              <w:rPr>
                <w:rFonts w:eastAsia="Calibri"/>
                <w:bCs/>
                <w:szCs w:val="22"/>
              </w:rPr>
            </w:pPr>
            <w:r w:rsidRPr="00F11C9C">
              <w:rPr>
                <w:rFonts w:eastAsia="Calibri"/>
                <w:bCs/>
                <w:szCs w:val="22"/>
              </w:rPr>
              <w:t>SecurityAlgorithmsN талбар нь хоёр (2) октет талбар юм. Хамгийн чухал октет нь өгөгдсөн нууцлалын төрлийг зааж өгөх ёстой.</w:t>
            </w:r>
          </w:p>
        </w:tc>
        <w:tc>
          <w:tcPr>
            <w:tcW w:w="4672" w:type="dxa"/>
          </w:tcPr>
          <w:p w:rsidR="00F11C9C" w:rsidRPr="00F11C9C" w:rsidRDefault="00F11C9C" w:rsidP="00F11C9C">
            <w:pPr>
              <w:tabs>
                <w:tab w:val="left" w:pos="0"/>
              </w:tabs>
              <w:ind w:left="0" w:firstLine="0"/>
              <w:rPr>
                <w:rFonts w:eastAsia="Calibri"/>
                <w:bCs/>
                <w:szCs w:val="22"/>
              </w:rPr>
            </w:pPr>
            <w:r w:rsidRPr="00F11C9C">
              <w:rPr>
                <w:rFonts w:eastAsia="Calibri"/>
                <w:bCs/>
                <w:szCs w:val="22"/>
              </w:rPr>
              <w:t>Prior to setting a  positive value, the Group Manager (e.g. IED) shall determine the new key  that will be applied. This will allow the subscribers to use the Group  Key  Management  Protocol to obtain the new assigned key prior to expiration.</w:t>
            </w:r>
          </w:p>
          <w:p w:rsidR="00F11C9C" w:rsidRPr="00F11C9C" w:rsidRDefault="00F11C9C" w:rsidP="00F11C9C">
            <w:pPr>
              <w:tabs>
                <w:tab w:val="left" w:pos="0"/>
              </w:tabs>
              <w:ind w:left="0" w:firstLine="0"/>
              <w:rPr>
                <w:rFonts w:eastAsia="Calibri"/>
                <w:bCs/>
                <w:szCs w:val="22"/>
              </w:rPr>
            </w:pPr>
            <w:r w:rsidRPr="00F11C9C">
              <w:rPr>
                <w:rFonts w:eastAsia="Calibri"/>
                <w:bCs/>
                <w:szCs w:val="22"/>
              </w:rPr>
              <w:t>The positive number shall be the relative time until the new key is put into service. Therefore, the number is decremented until the new key is in actual use. When the  new key is  placed  into use, the TimeofCurrentKey attribute value is updated.</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11.3.2.2.3 SecurityAlgorithms</w:t>
            </w:r>
          </w:p>
          <w:p w:rsidR="00F11C9C" w:rsidRPr="00F11C9C" w:rsidRDefault="00F11C9C" w:rsidP="00F11C9C">
            <w:pPr>
              <w:tabs>
                <w:tab w:val="left" w:pos="0"/>
              </w:tabs>
              <w:ind w:left="0" w:firstLine="0"/>
              <w:rPr>
                <w:rFonts w:eastAsia="Calibri"/>
                <w:bCs/>
                <w:szCs w:val="22"/>
              </w:rPr>
            </w:pPr>
            <w:r w:rsidRPr="00F11C9C">
              <w:rPr>
                <w:rFonts w:eastAsia="Calibri"/>
                <w:bCs/>
                <w:szCs w:val="22"/>
              </w:rPr>
              <w:t>The SecurityAlgorithmsN field is a two (2) octet field. The most significant octet shall be reserved to indicate the type of encryption provided.</w:t>
            </w:r>
          </w:p>
          <w:p w:rsidR="00F11C9C" w:rsidRPr="00F11C9C" w:rsidRDefault="00F11C9C" w:rsidP="00F11C9C">
            <w:pPr>
              <w:pStyle w:val="BodyText"/>
              <w:tabs>
                <w:tab w:val="left" w:pos="0"/>
              </w:tabs>
              <w:spacing w:line="276" w:lineRule="auto"/>
              <w:ind w:right="509"/>
              <w:jc w:val="both"/>
              <w:rPr>
                <w:rFonts w:eastAsia="Calibri"/>
                <w:sz w:val="24"/>
                <w:szCs w:val="22"/>
                <w:lang w:val="mn-MN"/>
              </w:rPr>
            </w:pPr>
          </w:p>
          <w:p w:rsidR="00F11C9C" w:rsidRPr="00F11C9C" w:rsidRDefault="00F11C9C" w:rsidP="00F11C9C">
            <w:pPr>
              <w:tabs>
                <w:tab w:val="left" w:pos="0"/>
              </w:tabs>
              <w:ind w:left="0" w:firstLine="0"/>
              <w:jc w:val="center"/>
              <w:rPr>
                <w:rFonts w:eastAsia="Calibri"/>
                <w:bCs/>
                <w:szCs w:val="22"/>
              </w:rPr>
            </w:pPr>
          </w:p>
        </w:tc>
      </w:tr>
    </w:tbl>
    <w:p w:rsidR="00F11C9C" w:rsidRDefault="00F11C9C" w:rsidP="00F11C9C">
      <w:pPr>
        <w:ind w:left="0" w:firstLine="0"/>
      </w:pPr>
    </w:p>
    <w:tbl>
      <w:tblPr>
        <w:tblStyle w:val="TableGrid"/>
        <w:tblW w:w="0" w:type="auto"/>
        <w:tblLook w:val="04A0" w:firstRow="1" w:lastRow="0" w:firstColumn="1" w:lastColumn="0" w:noHBand="0" w:noVBand="1"/>
      </w:tblPr>
      <w:tblGrid>
        <w:gridCol w:w="4672"/>
        <w:gridCol w:w="4672"/>
      </w:tblGrid>
      <w:tr w:rsidR="00F11C9C" w:rsidTr="00F11C9C">
        <w:tc>
          <w:tcPr>
            <w:tcW w:w="4672" w:type="dxa"/>
          </w:tcPr>
          <w:p w:rsidR="00F11C9C" w:rsidRPr="00731F96" w:rsidRDefault="00F11C9C" w:rsidP="00F11C9C">
            <w:pPr>
              <w:pStyle w:val="TableParagraph"/>
              <w:tabs>
                <w:tab w:val="left" w:pos="0"/>
              </w:tabs>
              <w:spacing w:before="53" w:line="276" w:lineRule="auto"/>
              <w:ind w:left="1245" w:right="1245"/>
              <w:jc w:val="center"/>
              <w:rPr>
                <w:b/>
                <w:sz w:val="20"/>
                <w:szCs w:val="20"/>
                <w:lang w:val="mn-MN"/>
              </w:rPr>
            </w:pPr>
            <w:r w:rsidRPr="00731F96">
              <w:rPr>
                <w:b/>
                <w:sz w:val="20"/>
                <w:szCs w:val="20"/>
                <w:lang w:val="mn-MN"/>
              </w:rPr>
              <w:t>Октет утга</w:t>
            </w:r>
          </w:p>
        </w:tc>
        <w:tc>
          <w:tcPr>
            <w:tcW w:w="4672" w:type="dxa"/>
          </w:tcPr>
          <w:p w:rsidR="00F11C9C" w:rsidRPr="00EF2D2B" w:rsidRDefault="00F11C9C" w:rsidP="00F11C9C">
            <w:pPr>
              <w:pStyle w:val="TableParagraph"/>
              <w:tabs>
                <w:tab w:val="left" w:pos="0"/>
              </w:tabs>
              <w:spacing w:before="53" w:line="276" w:lineRule="auto"/>
              <w:ind w:left="813"/>
              <w:rPr>
                <w:b/>
                <w:sz w:val="20"/>
                <w:szCs w:val="20"/>
                <w:lang w:val="mn-MN"/>
              </w:rPr>
            </w:pPr>
            <w:r w:rsidRPr="00EF2D2B">
              <w:rPr>
                <w:b/>
                <w:sz w:val="20"/>
                <w:szCs w:val="20"/>
                <w:lang w:val="mn-MN"/>
              </w:rPr>
              <w:t>Нууцлалын алгоритм</w:t>
            </w:r>
          </w:p>
        </w:tc>
      </w:tr>
      <w:tr w:rsidR="00F11C9C" w:rsidTr="00F11C9C">
        <w:tc>
          <w:tcPr>
            <w:tcW w:w="4672" w:type="dxa"/>
          </w:tcPr>
          <w:p w:rsidR="00F11C9C" w:rsidRPr="00731F96" w:rsidRDefault="00F11C9C" w:rsidP="00F11C9C">
            <w:pPr>
              <w:pStyle w:val="TableParagraph"/>
              <w:tabs>
                <w:tab w:val="left" w:pos="0"/>
              </w:tabs>
              <w:spacing w:before="58" w:line="276" w:lineRule="auto"/>
              <w:ind w:left="107"/>
              <w:rPr>
                <w:sz w:val="20"/>
                <w:szCs w:val="20"/>
                <w:lang w:val="mn-MN"/>
              </w:rPr>
            </w:pPr>
            <w:r w:rsidRPr="00EF2D2B">
              <w:rPr>
                <w:sz w:val="20"/>
                <w:szCs w:val="20"/>
                <w:lang w:val="mn-MN"/>
              </w:rPr>
              <w:t>0</w:t>
            </w:r>
          </w:p>
        </w:tc>
        <w:tc>
          <w:tcPr>
            <w:tcW w:w="4672" w:type="dxa"/>
          </w:tcPr>
          <w:p w:rsidR="00F11C9C" w:rsidRPr="00EF2D2B" w:rsidRDefault="00F11C9C" w:rsidP="00F11C9C">
            <w:pPr>
              <w:pStyle w:val="TableParagraph"/>
              <w:tabs>
                <w:tab w:val="left" w:pos="0"/>
              </w:tabs>
              <w:spacing w:before="58" w:line="276" w:lineRule="auto"/>
              <w:ind w:left="105"/>
              <w:rPr>
                <w:sz w:val="20"/>
                <w:szCs w:val="20"/>
                <w:lang w:val="mn-MN"/>
              </w:rPr>
            </w:pPr>
            <w:r w:rsidRPr="00EF2D2B">
              <w:rPr>
                <w:sz w:val="20"/>
                <w:szCs w:val="20"/>
                <w:lang w:val="mn-MN"/>
              </w:rPr>
              <w:t>None</w:t>
            </w:r>
          </w:p>
        </w:tc>
      </w:tr>
      <w:tr w:rsidR="00F11C9C" w:rsidTr="00F11C9C">
        <w:tc>
          <w:tcPr>
            <w:tcW w:w="4672" w:type="dxa"/>
          </w:tcPr>
          <w:p w:rsidR="00F11C9C" w:rsidRPr="00731F96" w:rsidRDefault="00F11C9C" w:rsidP="00F11C9C">
            <w:pPr>
              <w:pStyle w:val="TableParagraph"/>
              <w:tabs>
                <w:tab w:val="left" w:pos="0"/>
              </w:tabs>
              <w:spacing w:line="276" w:lineRule="auto"/>
              <w:ind w:left="107"/>
              <w:rPr>
                <w:sz w:val="20"/>
                <w:szCs w:val="20"/>
                <w:lang w:val="mn-MN"/>
              </w:rPr>
            </w:pPr>
            <w:r w:rsidRPr="00EF2D2B">
              <w:rPr>
                <w:sz w:val="20"/>
                <w:szCs w:val="20"/>
                <w:lang w:val="mn-MN"/>
              </w:rPr>
              <w:t>1</w:t>
            </w:r>
          </w:p>
        </w:tc>
        <w:tc>
          <w:tcPr>
            <w:tcW w:w="4672" w:type="dxa"/>
          </w:tcPr>
          <w:p w:rsidR="00F11C9C" w:rsidRPr="00EF2D2B" w:rsidRDefault="00F11C9C" w:rsidP="00F11C9C">
            <w:pPr>
              <w:pStyle w:val="TableParagraph"/>
              <w:tabs>
                <w:tab w:val="left" w:pos="0"/>
              </w:tabs>
              <w:spacing w:line="276" w:lineRule="auto"/>
              <w:ind w:left="105"/>
              <w:rPr>
                <w:sz w:val="20"/>
                <w:szCs w:val="20"/>
                <w:lang w:val="mn-MN"/>
              </w:rPr>
            </w:pPr>
            <w:r w:rsidRPr="00EF2D2B">
              <w:rPr>
                <w:sz w:val="20"/>
                <w:szCs w:val="20"/>
                <w:lang w:val="mn-MN"/>
              </w:rPr>
              <w:t>AES-128-GCM</w:t>
            </w:r>
          </w:p>
        </w:tc>
      </w:tr>
      <w:tr w:rsidR="00F11C9C" w:rsidTr="00F11C9C">
        <w:tc>
          <w:tcPr>
            <w:tcW w:w="4672" w:type="dxa"/>
          </w:tcPr>
          <w:p w:rsidR="00F11C9C" w:rsidRPr="00731F96" w:rsidRDefault="00F11C9C" w:rsidP="00F11C9C">
            <w:pPr>
              <w:pStyle w:val="TableParagraph"/>
              <w:tabs>
                <w:tab w:val="left" w:pos="0"/>
              </w:tabs>
              <w:spacing w:line="276" w:lineRule="auto"/>
              <w:ind w:left="107"/>
              <w:rPr>
                <w:sz w:val="20"/>
                <w:szCs w:val="20"/>
                <w:lang w:val="mn-MN"/>
              </w:rPr>
            </w:pPr>
            <w:r w:rsidRPr="00EF2D2B">
              <w:rPr>
                <w:sz w:val="20"/>
                <w:szCs w:val="20"/>
                <w:lang w:val="mn-MN"/>
              </w:rPr>
              <w:t>2</w:t>
            </w:r>
          </w:p>
        </w:tc>
        <w:tc>
          <w:tcPr>
            <w:tcW w:w="4672" w:type="dxa"/>
          </w:tcPr>
          <w:p w:rsidR="00F11C9C" w:rsidRPr="00EF2D2B" w:rsidRDefault="00F11C9C" w:rsidP="00F11C9C">
            <w:pPr>
              <w:pStyle w:val="TableParagraph"/>
              <w:tabs>
                <w:tab w:val="left" w:pos="0"/>
              </w:tabs>
              <w:spacing w:line="276" w:lineRule="auto"/>
              <w:ind w:left="105"/>
              <w:rPr>
                <w:sz w:val="20"/>
                <w:szCs w:val="20"/>
                <w:lang w:val="mn-MN"/>
              </w:rPr>
            </w:pPr>
            <w:r w:rsidRPr="00EF2D2B">
              <w:rPr>
                <w:sz w:val="20"/>
                <w:szCs w:val="20"/>
                <w:lang w:val="mn-MN"/>
              </w:rPr>
              <w:t>AES-256-GCM</w:t>
            </w:r>
          </w:p>
        </w:tc>
      </w:tr>
    </w:tbl>
    <w:p w:rsidR="00F11C9C" w:rsidRDefault="00F11C9C" w:rsidP="00F11C9C">
      <w:pPr>
        <w:ind w:left="0" w:firstLine="0"/>
      </w:pPr>
    </w:p>
    <w:tbl>
      <w:tblPr>
        <w:tblStyle w:val="TableGrid"/>
        <w:tblW w:w="0" w:type="auto"/>
        <w:tblLook w:val="04A0" w:firstRow="1" w:lastRow="0" w:firstColumn="1" w:lastColumn="0" w:noHBand="0" w:noVBand="1"/>
      </w:tblPr>
      <w:tblGrid>
        <w:gridCol w:w="4672"/>
        <w:gridCol w:w="4672"/>
      </w:tblGrid>
      <w:tr w:rsidR="00F11C9C" w:rsidRPr="00EF2D2B" w:rsidTr="009E4499">
        <w:tc>
          <w:tcPr>
            <w:tcW w:w="4672" w:type="dxa"/>
          </w:tcPr>
          <w:p w:rsidR="00F11C9C" w:rsidRPr="00731F96" w:rsidRDefault="00F11C9C" w:rsidP="00F11C9C">
            <w:pPr>
              <w:pStyle w:val="TableParagraph"/>
              <w:tabs>
                <w:tab w:val="left" w:pos="0"/>
              </w:tabs>
              <w:spacing w:before="53" w:line="276" w:lineRule="auto"/>
              <w:ind w:left="1245" w:right="1245"/>
              <w:jc w:val="center"/>
              <w:rPr>
                <w:b/>
                <w:sz w:val="20"/>
                <w:szCs w:val="20"/>
                <w:lang w:val="mn-MN"/>
              </w:rPr>
            </w:pPr>
            <w:r w:rsidRPr="00731F96">
              <w:rPr>
                <w:b/>
                <w:sz w:val="20"/>
                <w:szCs w:val="20"/>
                <w:lang w:val="mn-MN"/>
              </w:rPr>
              <w:t>Octet value</w:t>
            </w:r>
          </w:p>
        </w:tc>
        <w:tc>
          <w:tcPr>
            <w:tcW w:w="4672" w:type="dxa"/>
          </w:tcPr>
          <w:p w:rsidR="00F11C9C" w:rsidRPr="00EF2D2B" w:rsidRDefault="00F11C9C" w:rsidP="00F11C9C">
            <w:pPr>
              <w:pStyle w:val="TableParagraph"/>
              <w:tabs>
                <w:tab w:val="left" w:pos="0"/>
              </w:tabs>
              <w:spacing w:before="53" w:line="276" w:lineRule="auto"/>
              <w:ind w:left="813"/>
              <w:rPr>
                <w:b/>
                <w:sz w:val="20"/>
                <w:szCs w:val="20"/>
                <w:lang w:val="mn-MN"/>
              </w:rPr>
            </w:pPr>
            <w:r w:rsidRPr="00EF2D2B">
              <w:rPr>
                <w:b/>
                <w:sz w:val="20"/>
                <w:szCs w:val="20"/>
                <w:lang w:val="mn-MN"/>
              </w:rPr>
              <w:t>Encryption algorithm</w:t>
            </w:r>
          </w:p>
        </w:tc>
      </w:tr>
      <w:tr w:rsidR="00F11C9C" w:rsidRPr="00EF2D2B" w:rsidTr="009E4499">
        <w:tc>
          <w:tcPr>
            <w:tcW w:w="4672" w:type="dxa"/>
          </w:tcPr>
          <w:p w:rsidR="00F11C9C" w:rsidRPr="00731F96" w:rsidRDefault="00F11C9C" w:rsidP="00F11C9C">
            <w:pPr>
              <w:pStyle w:val="TableParagraph"/>
              <w:tabs>
                <w:tab w:val="left" w:pos="0"/>
              </w:tabs>
              <w:spacing w:before="58" w:line="276" w:lineRule="auto"/>
              <w:ind w:left="107"/>
              <w:rPr>
                <w:sz w:val="20"/>
                <w:szCs w:val="20"/>
                <w:lang w:val="mn-MN"/>
              </w:rPr>
            </w:pPr>
            <w:r w:rsidRPr="00EF2D2B">
              <w:rPr>
                <w:sz w:val="20"/>
                <w:szCs w:val="20"/>
                <w:lang w:val="mn-MN"/>
              </w:rPr>
              <w:t>0</w:t>
            </w:r>
          </w:p>
        </w:tc>
        <w:tc>
          <w:tcPr>
            <w:tcW w:w="4672" w:type="dxa"/>
          </w:tcPr>
          <w:p w:rsidR="00F11C9C" w:rsidRPr="00EF2D2B" w:rsidRDefault="00F11C9C" w:rsidP="00F11C9C">
            <w:pPr>
              <w:pStyle w:val="TableParagraph"/>
              <w:tabs>
                <w:tab w:val="left" w:pos="0"/>
              </w:tabs>
              <w:spacing w:before="58" w:line="276" w:lineRule="auto"/>
              <w:ind w:left="105"/>
              <w:rPr>
                <w:sz w:val="20"/>
                <w:szCs w:val="20"/>
                <w:lang w:val="mn-MN"/>
              </w:rPr>
            </w:pPr>
            <w:r w:rsidRPr="00EF2D2B">
              <w:rPr>
                <w:sz w:val="20"/>
                <w:szCs w:val="20"/>
                <w:lang w:val="mn-MN"/>
              </w:rPr>
              <w:t>None</w:t>
            </w:r>
          </w:p>
        </w:tc>
      </w:tr>
      <w:tr w:rsidR="00F11C9C" w:rsidRPr="00EF2D2B" w:rsidTr="009E4499">
        <w:tc>
          <w:tcPr>
            <w:tcW w:w="4672" w:type="dxa"/>
          </w:tcPr>
          <w:p w:rsidR="00F11C9C" w:rsidRPr="00731F96" w:rsidRDefault="00F11C9C" w:rsidP="00F11C9C">
            <w:pPr>
              <w:pStyle w:val="TableParagraph"/>
              <w:tabs>
                <w:tab w:val="left" w:pos="0"/>
              </w:tabs>
              <w:spacing w:line="276" w:lineRule="auto"/>
              <w:ind w:left="107"/>
              <w:rPr>
                <w:sz w:val="20"/>
                <w:szCs w:val="20"/>
                <w:lang w:val="mn-MN"/>
              </w:rPr>
            </w:pPr>
            <w:r w:rsidRPr="00EF2D2B">
              <w:rPr>
                <w:sz w:val="20"/>
                <w:szCs w:val="20"/>
                <w:lang w:val="mn-MN"/>
              </w:rPr>
              <w:t>1</w:t>
            </w:r>
          </w:p>
        </w:tc>
        <w:tc>
          <w:tcPr>
            <w:tcW w:w="4672" w:type="dxa"/>
          </w:tcPr>
          <w:p w:rsidR="00F11C9C" w:rsidRPr="00EF2D2B" w:rsidRDefault="00F11C9C" w:rsidP="00F11C9C">
            <w:pPr>
              <w:pStyle w:val="TableParagraph"/>
              <w:tabs>
                <w:tab w:val="left" w:pos="0"/>
              </w:tabs>
              <w:spacing w:line="276" w:lineRule="auto"/>
              <w:ind w:left="105"/>
              <w:rPr>
                <w:sz w:val="20"/>
                <w:szCs w:val="20"/>
                <w:lang w:val="mn-MN"/>
              </w:rPr>
            </w:pPr>
            <w:r w:rsidRPr="00EF2D2B">
              <w:rPr>
                <w:sz w:val="20"/>
                <w:szCs w:val="20"/>
                <w:lang w:val="mn-MN"/>
              </w:rPr>
              <w:t>AES-128-GCM</w:t>
            </w:r>
          </w:p>
        </w:tc>
      </w:tr>
      <w:tr w:rsidR="00F11C9C" w:rsidRPr="00EF2D2B" w:rsidTr="009E4499">
        <w:tc>
          <w:tcPr>
            <w:tcW w:w="4672" w:type="dxa"/>
          </w:tcPr>
          <w:p w:rsidR="00F11C9C" w:rsidRPr="00731F96" w:rsidRDefault="00F11C9C" w:rsidP="00F11C9C">
            <w:pPr>
              <w:pStyle w:val="TableParagraph"/>
              <w:tabs>
                <w:tab w:val="left" w:pos="0"/>
              </w:tabs>
              <w:spacing w:line="276" w:lineRule="auto"/>
              <w:ind w:left="107"/>
              <w:rPr>
                <w:sz w:val="20"/>
                <w:szCs w:val="20"/>
                <w:lang w:val="mn-MN"/>
              </w:rPr>
            </w:pPr>
            <w:r w:rsidRPr="00EF2D2B">
              <w:rPr>
                <w:sz w:val="20"/>
                <w:szCs w:val="20"/>
                <w:lang w:val="mn-MN"/>
              </w:rPr>
              <w:t>2</w:t>
            </w:r>
          </w:p>
        </w:tc>
        <w:tc>
          <w:tcPr>
            <w:tcW w:w="4672" w:type="dxa"/>
          </w:tcPr>
          <w:p w:rsidR="00F11C9C" w:rsidRPr="00EF2D2B" w:rsidRDefault="00F11C9C" w:rsidP="00F11C9C">
            <w:pPr>
              <w:pStyle w:val="TableParagraph"/>
              <w:tabs>
                <w:tab w:val="left" w:pos="0"/>
              </w:tabs>
              <w:spacing w:line="276" w:lineRule="auto"/>
              <w:ind w:left="105"/>
              <w:rPr>
                <w:sz w:val="20"/>
                <w:szCs w:val="20"/>
                <w:lang w:val="mn-MN"/>
              </w:rPr>
            </w:pPr>
            <w:r w:rsidRPr="00EF2D2B">
              <w:rPr>
                <w:sz w:val="20"/>
                <w:szCs w:val="20"/>
                <w:lang w:val="mn-MN"/>
              </w:rPr>
              <w:t>AES-256-GCM</w:t>
            </w:r>
          </w:p>
        </w:tc>
      </w:tr>
    </w:tbl>
    <w:p w:rsidR="00F11C9C" w:rsidRDefault="00F11C9C" w:rsidP="00F11C9C">
      <w:pPr>
        <w:ind w:left="0" w:firstLine="0"/>
      </w:pPr>
    </w:p>
    <w:tbl>
      <w:tblPr>
        <w:tblStyle w:val="TableGrid"/>
        <w:tblW w:w="0" w:type="auto"/>
        <w:tblLook w:val="04A0" w:firstRow="1" w:lastRow="0" w:firstColumn="1" w:lastColumn="0" w:noHBand="0" w:noVBand="1"/>
      </w:tblPr>
      <w:tblGrid>
        <w:gridCol w:w="4672"/>
        <w:gridCol w:w="4672"/>
      </w:tblGrid>
      <w:tr w:rsidR="00F11C9C" w:rsidTr="00F11C9C">
        <w:tc>
          <w:tcPr>
            <w:tcW w:w="4672" w:type="dxa"/>
          </w:tcPr>
          <w:p w:rsidR="00F11C9C" w:rsidRPr="00F11C9C" w:rsidRDefault="00F11C9C" w:rsidP="00F11C9C">
            <w:pPr>
              <w:tabs>
                <w:tab w:val="left" w:pos="0"/>
              </w:tabs>
              <w:ind w:left="0" w:firstLine="0"/>
              <w:rPr>
                <w:rFonts w:eastAsia="Calibri"/>
                <w:bCs/>
                <w:szCs w:val="22"/>
              </w:rPr>
            </w:pPr>
            <w:r w:rsidRPr="00F11C9C">
              <w:rPr>
                <w:rFonts w:eastAsia="Calibri"/>
                <w:bCs/>
                <w:szCs w:val="22"/>
              </w:rPr>
              <w:t>Хамгийн бага ач холбогдолтой октет нь баталгаажуулалт үүсгэхтэй холбоотой HMAC алгоритмын мэдээллийг агуулна. Энэ утга нь Хүснэгт 9-ийн утгуудын нэг байх ёстой.</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11.3.2.2.4 Key ID(Түлхүүр ID)</w:t>
            </w:r>
          </w:p>
          <w:p w:rsidR="00F11C9C" w:rsidRPr="00F11C9C" w:rsidRDefault="00F11C9C" w:rsidP="00F11C9C">
            <w:pPr>
              <w:tabs>
                <w:tab w:val="left" w:pos="0"/>
              </w:tabs>
              <w:ind w:left="0" w:firstLine="0"/>
              <w:rPr>
                <w:rFonts w:eastAsia="Calibri"/>
                <w:bCs/>
                <w:szCs w:val="22"/>
              </w:rPr>
            </w:pPr>
            <w:r w:rsidRPr="00F11C9C">
              <w:rPr>
                <w:rFonts w:eastAsia="Calibri"/>
                <w:bCs/>
                <w:szCs w:val="22"/>
              </w:rPr>
              <w:t>Key ID -ийн утга нь KDC-ээс ашиглагдаж буй түлхүүрийн тайлбар болгон өгөгдсөндөрвөн (4) октет утга юм.</w:t>
            </w:r>
          </w:p>
          <w:p w:rsidR="00F11C9C" w:rsidRPr="00F11C9C" w:rsidRDefault="00F11C9C" w:rsidP="00F11C9C">
            <w:pPr>
              <w:tabs>
                <w:tab w:val="left" w:pos="0"/>
              </w:tabs>
              <w:ind w:left="0" w:firstLine="0"/>
              <w:rPr>
                <w:rFonts w:eastAsia="Calibri"/>
                <w:bCs/>
                <w:szCs w:val="22"/>
              </w:rPr>
            </w:pPr>
            <w:r w:rsidRPr="00F11C9C">
              <w:rPr>
                <w:rFonts w:eastAsia="Calibri"/>
                <w:bCs/>
                <w:szCs w:val="22"/>
              </w:rPr>
              <w:t>Түлхүүр ID сонгох нь Хэрэглэгчийн өгөгдлийн агуулгад үндэслэнэ:</w:t>
            </w:r>
          </w:p>
          <w:p w:rsidR="00F11C9C" w:rsidRPr="00F11C9C" w:rsidRDefault="00F11C9C" w:rsidP="00F11C9C">
            <w:pPr>
              <w:tabs>
                <w:tab w:val="left" w:pos="0"/>
              </w:tabs>
              <w:ind w:left="0" w:firstLine="0"/>
              <w:rPr>
                <w:rFonts w:eastAsia="Calibri"/>
                <w:bCs/>
                <w:szCs w:val="22"/>
              </w:rPr>
            </w:pPr>
            <w:r w:rsidRPr="00F11C9C">
              <w:rPr>
                <w:rFonts w:eastAsia="Calibri"/>
                <w:bCs/>
                <w:szCs w:val="22"/>
              </w:rPr>
              <w:t>Нэг DataSetмэдээлэлтэй ачааллыг агуулсан хэрэглэгчийн өгөгдөлд Key ID нь тухайн DataSet-д зориулагдсан KDC-ийн өгсөн Key ID байх ёстой.</w:t>
            </w:r>
          </w:p>
          <w:p w:rsidR="00F11C9C" w:rsidRPr="00F11C9C" w:rsidRDefault="00F11C9C" w:rsidP="00F11C9C">
            <w:pPr>
              <w:tabs>
                <w:tab w:val="left" w:pos="0"/>
              </w:tabs>
              <w:ind w:left="0" w:firstLine="0"/>
              <w:rPr>
                <w:rFonts w:eastAsia="Calibri"/>
                <w:bCs/>
                <w:szCs w:val="22"/>
              </w:rPr>
            </w:pPr>
            <w:r w:rsidRPr="00F11C9C">
              <w:rPr>
                <w:rFonts w:eastAsia="Calibri"/>
                <w:bCs/>
                <w:szCs w:val="22"/>
              </w:rPr>
              <w:t>Олон тооны DataSets-тэй ачааллыг агуулсан хэрэглэгчийн өгөгдөлд Key ID нь DataSets-ийн Түлхүүр ID-ийн нэг байх ёстой. DataSet сонголтыг дотооддоо хийсний дараа сонгосон DataSet-ийг өөрчилж болохгүй.</w:t>
            </w:r>
          </w:p>
          <w:p w:rsidR="00F11C9C" w:rsidRPr="00F11C9C" w:rsidRDefault="00F11C9C" w:rsidP="00F11C9C">
            <w:pPr>
              <w:tabs>
                <w:tab w:val="left" w:pos="0"/>
              </w:tabs>
              <w:ind w:left="0" w:firstLine="0"/>
              <w:rPr>
                <w:rFonts w:eastAsia="Calibri"/>
                <w:bCs/>
                <w:szCs w:val="22"/>
              </w:rPr>
            </w:pPr>
            <w:r w:rsidRPr="00F11C9C">
              <w:rPr>
                <w:rFonts w:eastAsia="Calibri"/>
                <w:bCs/>
                <w:szCs w:val="22"/>
              </w:rPr>
              <w:t>MNGT-ийн ачааллын хувьд Түлхүүр ID нь KDC-ийн DataSet-д өгөгдсөн утга байх ёстой.</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11.3.2.3 Userdata(хэрэглэгчийн өгөгдөл)</w:t>
            </w:r>
          </w:p>
          <w:p w:rsidR="00F11C9C" w:rsidRPr="00F11C9C" w:rsidRDefault="00F11C9C" w:rsidP="00F11C9C">
            <w:pPr>
              <w:tabs>
                <w:tab w:val="left" w:pos="0"/>
              </w:tabs>
              <w:ind w:left="0" w:firstLine="0"/>
              <w:rPr>
                <w:rFonts w:eastAsia="Calibri"/>
                <w:bCs/>
                <w:szCs w:val="22"/>
              </w:rPr>
            </w:pPr>
            <w:r w:rsidRPr="00F11C9C">
              <w:rPr>
                <w:rFonts w:eastAsia="Calibri"/>
                <w:bCs/>
                <w:szCs w:val="22"/>
              </w:rPr>
              <w:t>Горимын хэрэглэгчийн өгөгдөл нь хоёр талбараас бүрдэнэ: Урт ба Ачаалал</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11.3.2.3.1 Length(Урт)</w:t>
            </w:r>
          </w:p>
          <w:p w:rsidR="00F11C9C" w:rsidRPr="00F11C9C" w:rsidRDefault="00F11C9C" w:rsidP="00F11C9C">
            <w:pPr>
              <w:tabs>
                <w:tab w:val="left" w:pos="0"/>
              </w:tabs>
              <w:ind w:left="0" w:firstLine="0"/>
              <w:rPr>
                <w:rFonts w:eastAsia="Calibri"/>
                <w:bCs/>
                <w:szCs w:val="22"/>
              </w:rPr>
            </w:pPr>
            <w:r w:rsidRPr="00F11C9C">
              <w:rPr>
                <w:rFonts w:eastAsia="Calibri"/>
                <w:bCs/>
                <w:szCs w:val="22"/>
              </w:rPr>
              <w:t>Уртын хамгийн их хэмжээ нь SPDU уртын багцын хамгийн их хэмжээнээс хамаарна. Хамгийн их утга нь SPDU Урт – 14 –Баталшаажуулалтын Хэмжээнээс их байж болохгүй..</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Уртынатрибут нь Баталгаажуулагдаагүй бүхэл тоон утгатай Дөрвөн (4) октет талбар байна. </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Нэг зуун октет нь хэрэглэгчийн өгөгдлийн баталгаажуулаттай хэсэгт хадгалагдана.</w:t>
            </w:r>
          </w:p>
          <w:p w:rsidR="00F11C9C" w:rsidRPr="00F11C9C" w:rsidRDefault="00F11C9C" w:rsidP="00F11C9C">
            <w:pPr>
              <w:tabs>
                <w:tab w:val="left" w:pos="0"/>
              </w:tabs>
              <w:ind w:left="0" w:firstLine="0"/>
              <w:rPr>
                <w:rFonts w:eastAsia="Calibri"/>
                <w:bCs/>
                <w:szCs w:val="22"/>
              </w:rPr>
            </w:pPr>
            <w:r w:rsidRPr="00F11C9C">
              <w:rPr>
                <w:rFonts w:eastAsia="Calibri"/>
                <w:bCs/>
                <w:szCs w:val="22"/>
              </w:rPr>
              <w:t>Тиймээс, энэ хувилбарын зөвшөөрөгдсөн хамгийн их утга нь 65 399 октет.</w:t>
            </w:r>
          </w:p>
          <w:p w:rsidR="00F11C9C" w:rsidRPr="00F11C9C" w:rsidRDefault="00F11C9C" w:rsidP="00F11C9C">
            <w:pPr>
              <w:tabs>
                <w:tab w:val="left" w:pos="0"/>
              </w:tabs>
              <w:ind w:left="0" w:firstLine="0"/>
              <w:rPr>
                <w:rFonts w:eastAsia="Calibri"/>
                <w:bCs/>
                <w:szCs w:val="22"/>
              </w:rPr>
            </w:pPr>
            <w:r w:rsidRPr="00F11C9C">
              <w:rPr>
                <w:rFonts w:eastAsia="Calibri"/>
                <w:bCs/>
                <w:szCs w:val="22"/>
              </w:rPr>
              <w:t>Утга нь ачааллын бүх октетуудын урттай байх ёстой. Үүнд баталгаажуулалт хамааруулахгүй.</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 Payload(хэрэгтэй ачаалал)</w:t>
            </w:r>
          </w:p>
          <w:p w:rsidR="00F11C9C" w:rsidRPr="00F11C9C" w:rsidRDefault="00F11C9C" w:rsidP="00F11C9C">
            <w:pPr>
              <w:tabs>
                <w:tab w:val="left" w:pos="0"/>
              </w:tabs>
              <w:ind w:left="0" w:firstLine="0"/>
              <w:rPr>
                <w:rFonts w:eastAsia="Calibri"/>
                <w:bCs/>
                <w:szCs w:val="22"/>
              </w:rPr>
            </w:pPr>
            <w:r w:rsidRPr="00F11C9C">
              <w:rPr>
                <w:rFonts w:eastAsia="Calibri"/>
                <w:bCs/>
                <w:szCs w:val="22"/>
              </w:rPr>
              <w:t>Зураг 25-т харуулснаар ачааллын хэсэг нь олон тооны хэрэглэгчийн өгөгдөл  PDU-ийг нэг SPDU-д нэгтгэх боломжийг олгодог. Нэгтгэж болох PDU-ийн төрлийг Горим Тодорхойлогч (SI)SPDU-ээр хязгаарладаг (73-р хуудсыг үзнэ үү).</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11.3.3.1 Ачааллын нийтлэг атрибутууд</w:t>
            </w:r>
          </w:p>
          <w:p w:rsidR="00F11C9C" w:rsidRPr="00F11C9C" w:rsidRDefault="00F11C9C" w:rsidP="00F11C9C">
            <w:pPr>
              <w:tabs>
                <w:tab w:val="left" w:pos="0"/>
              </w:tabs>
              <w:ind w:left="0" w:firstLine="0"/>
              <w:rPr>
                <w:rFonts w:eastAsia="Calibri"/>
                <w:bCs/>
                <w:szCs w:val="22"/>
              </w:rPr>
            </w:pPr>
            <w:r w:rsidRPr="00F11C9C">
              <w:rPr>
                <w:rFonts w:eastAsia="Calibri"/>
                <w:bCs/>
                <w:szCs w:val="22"/>
              </w:rPr>
              <w:t>GOOSE, SV, буюу Tunnelled-ийн ачаалал нь хоёр (2) нийтлэг атрибут байдаг: Simulation ба APPID.</w:t>
            </w:r>
          </w:p>
          <w:p w:rsidR="00F11C9C" w:rsidRPr="00F11C9C" w:rsidRDefault="00F11C9C" w:rsidP="00F11C9C">
            <w:pPr>
              <w:tabs>
                <w:tab w:val="left" w:pos="0"/>
              </w:tabs>
              <w:ind w:left="0" w:firstLine="0"/>
              <w:rPr>
                <w:rFonts w:eastAsia="Calibri"/>
                <w:bCs/>
                <w:szCs w:val="22"/>
              </w:rPr>
            </w:pPr>
            <w:r w:rsidRPr="00F11C9C">
              <w:rPr>
                <w:rFonts w:eastAsia="Calibri"/>
                <w:bCs/>
                <w:szCs w:val="22"/>
              </w:rPr>
              <w:t>Нийтлэг утгууд нь ачааллын ачааллыг төрлийг тодорхойлдог хаяг эхэлдэг дарааллын нэг хэсэг юм. Өөр өөр payload_type_tag(s) (ачааллын_төрөл_хаяг (ууд)) -ын утгууд нь::</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GOOSE–хаягийн утгыг81 гэж арван зургаатын тооллын системээр тодорхойлно.</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SV–хаягийн утгыг 82 гэж арван зургаатын тооллын системээр тодорхойлно.</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Tunnel–хаягийн утгыг 83 гэж арван зургаатын тооллын системээр тодорхойлно.</w:t>
            </w:r>
          </w:p>
          <w:p w:rsidR="00F11C9C" w:rsidRPr="00F11C9C" w:rsidRDefault="00F11C9C" w:rsidP="00472036">
            <w:pPr>
              <w:pStyle w:val="ListParagraph"/>
              <w:numPr>
                <w:ilvl w:val="5"/>
                <w:numId w:val="22"/>
              </w:numPr>
              <w:tabs>
                <w:tab w:val="left" w:pos="0"/>
              </w:tabs>
              <w:spacing w:after="0"/>
              <w:ind w:left="0" w:firstLine="0"/>
              <w:rPr>
                <w:rFonts w:eastAsia="Calibri"/>
                <w:bCs/>
                <w:szCs w:val="22"/>
              </w:rPr>
            </w:pPr>
            <w:r w:rsidRPr="00F11C9C">
              <w:rPr>
                <w:rFonts w:eastAsia="Calibri"/>
                <w:bCs/>
                <w:szCs w:val="22"/>
              </w:rPr>
              <w:t>MNGT–хаягийн утгыг 84 гэж арван зургаатын тооллын системээр тодорхойлно.</w:t>
            </w:r>
          </w:p>
          <w:p w:rsidR="00F11C9C" w:rsidRPr="00F11C9C" w:rsidRDefault="00F11C9C" w:rsidP="00F11C9C">
            <w:pPr>
              <w:tabs>
                <w:tab w:val="left" w:pos="0"/>
              </w:tabs>
              <w:ind w:left="0" w:firstLine="0"/>
              <w:rPr>
                <w:rFonts w:eastAsia="Calibri"/>
                <w:bCs/>
                <w:szCs w:val="22"/>
              </w:rPr>
            </w:pPr>
            <w:r w:rsidRPr="00F11C9C">
              <w:rPr>
                <w:rFonts w:eastAsia="Calibri"/>
                <w:bCs/>
                <w:szCs w:val="22"/>
              </w:rPr>
              <w:t>Payload_type боловсруулах арга нь::</w:t>
            </w:r>
          </w:p>
          <w:p w:rsidR="00F11C9C" w:rsidRPr="00F11C9C" w:rsidRDefault="00F11C9C" w:rsidP="00F11C9C">
            <w:pPr>
              <w:tabs>
                <w:tab w:val="left" w:pos="0"/>
              </w:tabs>
              <w:ind w:left="0" w:firstLine="0"/>
              <w:rPr>
                <w:rFonts w:eastAsia="Calibri"/>
                <w:bCs/>
                <w:szCs w:val="22"/>
              </w:rPr>
            </w:pPr>
            <w:r w:rsidRPr="00F11C9C">
              <w:rPr>
                <w:rFonts w:eastAsia="Calibri"/>
                <w:bCs/>
                <w:szCs w:val="22"/>
              </w:rPr>
              <w:t>Payload type:=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Payload type tag</w:t>
            </w:r>
          </w:p>
          <w:p w:rsidR="00F11C9C" w:rsidRPr="00F11C9C" w:rsidRDefault="00F11C9C" w:rsidP="00F11C9C">
            <w:pPr>
              <w:tabs>
                <w:tab w:val="left" w:pos="0"/>
              </w:tabs>
              <w:ind w:left="0" w:firstLine="0"/>
              <w:rPr>
                <w:rFonts w:eastAsia="Calibri"/>
                <w:bCs/>
                <w:szCs w:val="22"/>
              </w:rPr>
            </w:pPr>
            <w:r w:rsidRPr="00F11C9C">
              <w:rPr>
                <w:rFonts w:eastAsia="Calibri"/>
                <w:bCs/>
                <w:szCs w:val="22"/>
              </w:rPr>
              <w:t>Simulation</w:t>
            </w:r>
          </w:p>
          <w:p w:rsidR="00F11C9C" w:rsidRPr="00F11C9C" w:rsidRDefault="00F11C9C" w:rsidP="00F11C9C">
            <w:pPr>
              <w:tabs>
                <w:tab w:val="left" w:pos="0"/>
              </w:tabs>
              <w:ind w:left="0" w:firstLine="0"/>
              <w:rPr>
                <w:rFonts w:eastAsia="Calibri"/>
                <w:bCs/>
                <w:szCs w:val="22"/>
              </w:rPr>
            </w:pPr>
            <w:r w:rsidRPr="00F11C9C">
              <w:rPr>
                <w:rFonts w:eastAsia="Calibri"/>
                <w:bCs/>
                <w:szCs w:val="22"/>
              </w:rPr>
              <w:t>APPID,</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w:t>
            </w: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r w:rsidRPr="00F11C9C">
              <w:rPr>
                <w:rFonts w:eastAsia="Calibri"/>
                <w:bCs/>
                <w:szCs w:val="22"/>
              </w:rPr>
              <w:t>Дараах дэд бүлгүүдэд эдгээр нийтлэг утгыг тодорхойлсон.</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11.3.3.2 Simulation(Симуляци)</w:t>
            </w:r>
          </w:p>
          <w:p w:rsidR="00F11C9C" w:rsidRPr="00F11C9C" w:rsidRDefault="00F11C9C" w:rsidP="00F11C9C">
            <w:pPr>
              <w:tabs>
                <w:tab w:val="left" w:pos="0"/>
              </w:tabs>
              <w:ind w:left="0" w:firstLine="0"/>
              <w:rPr>
                <w:rFonts w:eastAsia="Calibri"/>
                <w:bCs/>
                <w:szCs w:val="22"/>
              </w:rPr>
            </w:pPr>
            <w:r w:rsidRPr="00F11C9C">
              <w:rPr>
                <w:rFonts w:eastAsia="Calibri"/>
                <w:bCs/>
                <w:szCs w:val="22"/>
              </w:rPr>
              <w:t>Симуляци нь БУЛИЙН (BOOLEAN) утга байх ба IEC 61850-8-1-т тодорхойлсон.</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11.3.3.3 APPID</w:t>
            </w:r>
          </w:p>
          <w:p w:rsidR="00F11C9C" w:rsidRPr="00F11C9C" w:rsidRDefault="00F11C9C" w:rsidP="00F11C9C">
            <w:pPr>
              <w:tabs>
                <w:tab w:val="left" w:pos="0"/>
              </w:tabs>
              <w:ind w:left="0" w:firstLine="0"/>
              <w:rPr>
                <w:rFonts w:eastAsia="Calibri"/>
                <w:bCs/>
                <w:szCs w:val="22"/>
              </w:rPr>
            </w:pPr>
            <w:r w:rsidRPr="00F11C9C">
              <w:rPr>
                <w:rFonts w:eastAsia="Calibri"/>
                <w:bCs/>
                <w:szCs w:val="22"/>
              </w:rPr>
              <w:t>APPID нь хоёр (2) октет утга байх ба IEC 61850-8-1-д тодорхойлсон.</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11.3.3.4 GOOSEpayload</w:t>
            </w:r>
          </w:p>
          <w:p w:rsidR="00F11C9C" w:rsidRPr="00F11C9C" w:rsidRDefault="00F11C9C" w:rsidP="00F11C9C">
            <w:pPr>
              <w:tabs>
                <w:tab w:val="left" w:pos="0"/>
              </w:tabs>
              <w:ind w:left="0" w:firstLine="0"/>
              <w:rPr>
                <w:rFonts w:eastAsia="Calibri"/>
                <w:bCs/>
                <w:szCs w:val="22"/>
              </w:rPr>
            </w:pPr>
            <w:r w:rsidRPr="00F11C9C">
              <w:rPr>
                <w:rFonts w:eastAsia="Calibri"/>
                <w:bCs/>
                <w:szCs w:val="22"/>
              </w:rPr>
              <w:t>GOOSE ачааллын төрлийг дараах байдлаар тодорхойлдог:</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GOOSE_payload_type::=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payload_type_tag,</w:t>
            </w:r>
            <w:r w:rsidRPr="00F11C9C">
              <w:rPr>
                <w:rFonts w:eastAsia="Calibri"/>
                <w:bCs/>
                <w:szCs w:val="22"/>
              </w:rPr>
              <w:tab/>
              <w:t>-- 81 гэсэн</w:t>
            </w:r>
          </w:p>
          <w:p w:rsidR="00F11C9C" w:rsidRPr="00F11C9C" w:rsidRDefault="00F11C9C" w:rsidP="00F11C9C">
            <w:pPr>
              <w:tabs>
                <w:tab w:val="left" w:pos="0"/>
              </w:tabs>
              <w:ind w:left="0" w:firstLine="0"/>
              <w:rPr>
                <w:rFonts w:eastAsia="Calibri"/>
                <w:bCs/>
                <w:szCs w:val="22"/>
              </w:rPr>
            </w:pPr>
            <w:r w:rsidRPr="00F11C9C">
              <w:rPr>
                <w:rFonts w:eastAsia="Calibri"/>
                <w:bCs/>
                <w:szCs w:val="22"/>
              </w:rPr>
              <w:t>арванзургаатын утга байна</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simulation,</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APPID,</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APDU Length,</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GOOSE APDU</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APDU урт нь хоёр октет утга, баталгаажуулагдаагүй  бүхэл тоо ба GOOSE APDU-ийн октетуудын тоон утгыг агуулдаг.</w:t>
            </w:r>
          </w:p>
          <w:p w:rsidR="00F11C9C" w:rsidRPr="00F11C9C" w:rsidRDefault="00F11C9C" w:rsidP="00F11C9C">
            <w:pPr>
              <w:tabs>
                <w:tab w:val="left" w:pos="0"/>
              </w:tabs>
              <w:ind w:left="0" w:firstLine="0"/>
              <w:rPr>
                <w:rFonts w:eastAsia="Calibri"/>
                <w:bCs/>
                <w:szCs w:val="22"/>
              </w:rPr>
            </w:pPr>
            <w:r w:rsidRPr="00F11C9C">
              <w:rPr>
                <w:rFonts w:eastAsia="Calibri"/>
                <w:bCs/>
                <w:szCs w:val="22"/>
              </w:rPr>
              <w:t>GOOSE APDU нь IEC 61850-8-1-д тодорхойлсоноор goosePdu гэж тодорхойлогддог.</w:t>
            </w:r>
          </w:p>
          <w:p w:rsidR="00F11C9C" w:rsidRPr="00F11C9C" w:rsidRDefault="00F11C9C" w:rsidP="00F11C9C">
            <w:pPr>
              <w:tabs>
                <w:tab w:val="left" w:pos="0"/>
              </w:tabs>
              <w:ind w:left="0" w:firstLine="0"/>
              <w:rPr>
                <w:rFonts w:eastAsia="Calibri"/>
                <w:bCs/>
                <w:szCs w:val="22"/>
              </w:rPr>
            </w:pPr>
            <w:r w:rsidRPr="00F11C9C">
              <w:rPr>
                <w:rFonts w:eastAsia="Calibri"/>
                <w:bCs/>
                <w:szCs w:val="22"/>
              </w:rPr>
              <w:t>Нормчлолын ASN.1 боловсруулах аргыг IEC 61850-8-1-ээс олж авах боломжтой ба зөвхөн мэдээллээр хангах зорилгоор доор дурьдсан болно.</w:t>
            </w:r>
          </w:p>
          <w:p w:rsidR="00F11C9C" w:rsidRPr="00F11C9C" w:rsidRDefault="00F11C9C" w:rsidP="00F11C9C">
            <w:pPr>
              <w:tabs>
                <w:tab w:val="left" w:pos="0"/>
              </w:tabs>
              <w:ind w:left="0" w:firstLine="0"/>
              <w:rPr>
                <w:rFonts w:eastAsia="Calibri"/>
                <w:bCs/>
                <w:szCs w:val="22"/>
              </w:rPr>
            </w:pPr>
            <w:r w:rsidRPr="00F11C9C">
              <w:rPr>
                <w:rFonts w:eastAsia="Calibri"/>
                <w:bCs/>
                <w:szCs w:val="22"/>
              </w:rPr>
              <w:t>IEC 61850-8-1 Specific Protocol::= CHOICE{</w:t>
            </w:r>
          </w:p>
          <w:p w:rsidR="00F11C9C" w:rsidRPr="00F11C9C" w:rsidRDefault="00F11C9C" w:rsidP="00F11C9C">
            <w:pPr>
              <w:pStyle w:val="BodyText"/>
              <w:tabs>
                <w:tab w:val="left" w:pos="0"/>
                <w:tab w:val="left" w:pos="4156"/>
              </w:tabs>
              <w:spacing w:before="1" w:line="276" w:lineRule="auto"/>
              <w:rPr>
                <w:rFonts w:eastAsia="Calibri"/>
                <w:sz w:val="24"/>
                <w:szCs w:val="22"/>
                <w:lang w:val="mn-MN"/>
              </w:rPr>
            </w:pPr>
            <w:r w:rsidRPr="00F11C9C">
              <w:rPr>
                <w:rFonts w:eastAsia="Calibri"/>
                <w:sz w:val="24"/>
                <w:szCs w:val="22"/>
                <w:lang w:val="mn-MN"/>
              </w:rPr>
              <w:t>GseMngtPdu            [APPLICATION 0] IMPLICITGSEMngtPdu,</w:t>
            </w:r>
          </w:p>
          <w:p w:rsidR="00F11C9C" w:rsidRPr="00F11C9C" w:rsidRDefault="00F11C9C" w:rsidP="00F11C9C">
            <w:pPr>
              <w:pStyle w:val="BodyText"/>
              <w:tabs>
                <w:tab w:val="left" w:pos="0"/>
                <w:tab w:val="left" w:pos="4155"/>
              </w:tabs>
              <w:spacing w:line="276" w:lineRule="auto"/>
              <w:rPr>
                <w:rFonts w:eastAsia="Calibri"/>
                <w:sz w:val="24"/>
                <w:szCs w:val="22"/>
                <w:lang w:val="mn-MN"/>
              </w:rPr>
            </w:pPr>
            <w:r w:rsidRPr="00F11C9C">
              <w:rPr>
                <w:rFonts w:eastAsia="Calibri"/>
                <w:sz w:val="24"/>
                <w:szCs w:val="22"/>
                <w:lang w:val="mn-MN"/>
              </w:rPr>
              <w:t>goosePdu                 [APPLICATION 1] IMPLICITIECGoosePdu,</w:t>
            </w:r>
          </w:p>
          <w:p w:rsidR="00F11C9C" w:rsidRPr="00F11C9C" w:rsidRDefault="00F11C9C" w:rsidP="00F11C9C">
            <w:pPr>
              <w:pStyle w:val="BodyText"/>
              <w:tabs>
                <w:tab w:val="left" w:pos="0"/>
              </w:tabs>
              <w:spacing w:before="102" w:line="276" w:lineRule="auto"/>
              <w:rPr>
                <w:rFonts w:eastAsia="Calibri"/>
                <w:sz w:val="24"/>
                <w:szCs w:val="22"/>
                <w:lang w:val="mn-MN"/>
              </w:rPr>
            </w:pPr>
            <w:r w:rsidRPr="00F11C9C">
              <w:rPr>
                <w:rFonts w:eastAsia="Calibri"/>
                <w:sz w:val="24"/>
                <w:szCs w:val="22"/>
                <w:lang w:val="mn-MN"/>
              </w:rPr>
              <w:t>… }</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IECGoosePdu::= SEQUENCE {</w:t>
            </w:r>
          </w:p>
          <w:p w:rsidR="00F11C9C" w:rsidRPr="00F11C9C" w:rsidRDefault="00F11C9C" w:rsidP="00F11C9C">
            <w:pPr>
              <w:pStyle w:val="BodyText"/>
              <w:tabs>
                <w:tab w:val="left" w:pos="0"/>
                <w:tab w:val="left" w:pos="4155"/>
                <w:tab w:val="left" w:pos="4875"/>
              </w:tabs>
              <w:spacing w:line="276" w:lineRule="auto"/>
              <w:rPr>
                <w:rFonts w:eastAsia="Calibri"/>
                <w:sz w:val="24"/>
                <w:szCs w:val="22"/>
                <w:lang w:val="mn-MN"/>
              </w:rPr>
            </w:pPr>
            <w:r w:rsidRPr="00F11C9C">
              <w:rPr>
                <w:rFonts w:eastAsia="Calibri"/>
                <w:sz w:val="24"/>
                <w:szCs w:val="22"/>
                <w:lang w:val="mn-MN"/>
              </w:rPr>
              <w:t>gocbRef                   [0] IMPLICITVISIBLE-STRING,</w:t>
            </w:r>
          </w:p>
          <w:p w:rsidR="00F11C9C" w:rsidRPr="00F11C9C" w:rsidRDefault="00F11C9C" w:rsidP="00F11C9C">
            <w:pPr>
              <w:pStyle w:val="BodyText"/>
              <w:tabs>
                <w:tab w:val="left" w:pos="0"/>
                <w:tab w:val="left" w:pos="4155"/>
                <w:tab w:val="left" w:pos="4874"/>
              </w:tabs>
              <w:spacing w:line="276" w:lineRule="auto"/>
              <w:rPr>
                <w:rFonts w:eastAsia="Calibri"/>
                <w:sz w:val="24"/>
                <w:szCs w:val="22"/>
                <w:lang w:val="mn-MN"/>
              </w:rPr>
            </w:pPr>
            <w:r w:rsidRPr="00F11C9C">
              <w:rPr>
                <w:rFonts w:eastAsia="Calibri"/>
                <w:sz w:val="24"/>
                <w:szCs w:val="22"/>
                <w:lang w:val="mn-MN"/>
              </w:rPr>
              <w:t xml:space="preserve">timeAllowedtoLive    [1] </w:t>
            </w:r>
            <w:r w:rsidRPr="00F11C9C">
              <w:rPr>
                <w:rFonts w:eastAsia="Calibri"/>
                <w:sz w:val="24"/>
                <w:szCs w:val="22"/>
                <w:lang w:val="mn-MN"/>
              </w:rPr>
              <w:lastRenderedPageBreak/>
              <w:t>IMPLICITINTEGER,</w:t>
            </w:r>
          </w:p>
          <w:p w:rsidR="00F11C9C" w:rsidRPr="00F11C9C" w:rsidRDefault="00F11C9C" w:rsidP="00F11C9C">
            <w:pPr>
              <w:pStyle w:val="BodyText"/>
              <w:tabs>
                <w:tab w:val="left" w:pos="0"/>
                <w:tab w:val="left" w:pos="4154"/>
                <w:tab w:val="left" w:pos="4874"/>
              </w:tabs>
              <w:spacing w:line="276" w:lineRule="auto"/>
              <w:rPr>
                <w:rFonts w:eastAsia="Calibri"/>
                <w:sz w:val="24"/>
                <w:szCs w:val="22"/>
                <w:lang w:val="mn-MN"/>
              </w:rPr>
            </w:pPr>
            <w:r w:rsidRPr="00F11C9C">
              <w:rPr>
                <w:rFonts w:eastAsia="Calibri"/>
                <w:sz w:val="24"/>
                <w:szCs w:val="22"/>
                <w:lang w:val="mn-MN"/>
              </w:rPr>
              <w:t>datSet                      [2] IMPLICITVISIBLE-STRING,</w:t>
            </w:r>
          </w:p>
          <w:p w:rsidR="00F11C9C" w:rsidRPr="00F11C9C" w:rsidRDefault="00F11C9C" w:rsidP="00F11C9C">
            <w:pPr>
              <w:pStyle w:val="BodyText"/>
              <w:tabs>
                <w:tab w:val="left" w:pos="0"/>
                <w:tab w:val="left" w:pos="4154"/>
                <w:tab w:val="left" w:pos="4874"/>
              </w:tabs>
              <w:spacing w:line="276" w:lineRule="auto"/>
              <w:rPr>
                <w:rFonts w:eastAsia="Calibri"/>
                <w:sz w:val="24"/>
                <w:szCs w:val="22"/>
                <w:lang w:val="mn-MN"/>
              </w:rPr>
            </w:pPr>
            <w:r w:rsidRPr="00F11C9C">
              <w:rPr>
                <w:rFonts w:eastAsia="Calibri"/>
                <w:sz w:val="24"/>
                <w:szCs w:val="22"/>
                <w:lang w:val="mn-MN"/>
              </w:rPr>
              <w:t>goID                         [3] IMPLICIT VISIBLE-STRINGOPTIONAL,</w:t>
            </w:r>
          </w:p>
          <w:p w:rsidR="00F11C9C" w:rsidRPr="00F11C9C" w:rsidRDefault="00F11C9C" w:rsidP="00F11C9C">
            <w:pPr>
              <w:pStyle w:val="BodyText"/>
              <w:tabs>
                <w:tab w:val="left" w:pos="0"/>
                <w:tab w:val="left" w:pos="4153"/>
                <w:tab w:val="left" w:pos="4873"/>
              </w:tabs>
              <w:spacing w:line="276" w:lineRule="auto"/>
              <w:rPr>
                <w:rFonts w:eastAsia="Calibri"/>
                <w:sz w:val="24"/>
                <w:szCs w:val="22"/>
                <w:lang w:val="mn-MN"/>
              </w:rPr>
            </w:pPr>
            <w:r w:rsidRPr="00F11C9C">
              <w:rPr>
                <w:rFonts w:eastAsia="Calibri"/>
                <w:sz w:val="24"/>
                <w:szCs w:val="22"/>
                <w:lang w:val="mn-MN"/>
              </w:rPr>
              <w:t>t                               [4] IMPLICITUtcTime,</w:t>
            </w:r>
          </w:p>
          <w:p w:rsidR="00F11C9C" w:rsidRPr="00F11C9C" w:rsidRDefault="00F11C9C" w:rsidP="00F11C9C">
            <w:pPr>
              <w:pStyle w:val="BodyText"/>
              <w:tabs>
                <w:tab w:val="left" w:pos="0"/>
                <w:tab w:val="left" w:pos="4153"/>
                <w:tab w:val="left" w:pos="4873"/>
              </w:tabs>
              <w:spacing w:line="276" w:lineRule="auto"/>
              <w:rPr>
                <w:rFonts w:eastAsia="Calibri"/>
                <w:sz w:val="24"/>
                <w:szCs w:val="22"/>
                <w:lang w:val="mn-MN"/>
              </w:rPr>
            </w:pPr>
            <w:r w:rsidRPr="00F11C9C">
              <w:rPr>
                <w:rFonts w:eastAsia="Calibri"/>
                <w:sz w:val="24"/>
                <w:szCs w:val="22"/>
                <w:lang w:val="mn-MN"/>
              </w:rPr>
              <w:t>stNum                      [5] IMPLICITINTEGER,</w:t>
            </w:r>
          </w:p>
          <w:p w:rsidR="00F11C9C" w:rsidRPr="00F11C9C" w:rsidRDefault="00F11C9C" w:rsidP="00F11C9C">
            <w:pPr>
              <w:pStyle w:val="BodyText"/>
              <w:tabs>
                <w:tab w:val="left" w:pos="0"/>
                <w:tab w:val="left" w:pos="4153"/>
                <w:tab w:val="left" w:pos="4873"/>
              </w:tabs>
              <w:spacing w:line="276" w:lineRule="auto"/>
              <w:rPr>
                <w:rFonts w:eastAsia="Calibri"/>
                <w:sz w:val="24"/>
                <w:szCs w:val="22"/>
                <w:lang w:val="mn-MN"/>
              </w:rPr>
            </w:pPr>
            <w:r w:rsidRPr="00F11C9C">
              <w:rPr>
                <w:rFonts w:eastAsia="Calibri"/>
                <w:sz w:val="24"/>
                <w:szCs w:val="22"/>
                <w:lang w:val="mn-MN"/>
              </w:rPr>
              <w:t>sqNum                     [6] IMPLICITINTEGER,</w:t>
            </w:r>
          </w:p>
          <w:p w:rsidR="00F11C9C" w:rsidRPr="00F11C9C" w:rsidRDefault="00F11C9C" w:rsidP="00F11C9C">
            <w:pPr>
              <w:pStyle w:val="BodyText"/>
              <w:tabs>
                <w:tab w:val="left" w:pos="0"/>
                <w:tab w:val="left" w:pos="4152"/>
                <w:tab w:val="left" w:pos="4872"/>
              </w:tabs>
              <w:spacing w:line="276" w:lineRule="auto"/>
              <w:rPr>
                <w:rFonts w:eastAsia="Calibri"/>
                <w:sz w:val="24"/>
                <w:szCs w:val="22"/>
                <w:lang w:val="mn-MN"/>
              </w:rPr>
            </w:pPr>
            <w:r w:rsidRPr="00F11C9C">
              <w:rPr>
                <w:rFonts w:eastAsia="Calibri"/>
                <w:sz w:val="24"/>
                <w:szCs w:val="22"/>
                <w:lang w:val="mn-MN"/>
              </w:rPr>
              <w:t>test                          [7] IMPLICIT BOOLEAN DEFAULTFALSE,</w:t>
            </w:r>
          </w:p>
          <w:p w:rsidR="00F11C9C" w:rsidRPr="00F11C9C" w:rsidRDefault="00F11C9C" w:rsidP="00F11C9C">
            <w:pPr>
              <w:pStyle w:val="BodyText"/>
              <w:tabs>
                <w:tab w:val="left" w:pos="0"/>
                <w:tab w:val="left" w:pos="4152"/>
                <w:tab w:val="left" w:pos="4872"/>
              </w:tabs>
              <w:spacing w:line="276" w:lineRule="auto"/>
              <w:rPr>
                <w:rFonts w:eastAsia="Calibri"/>
                <w:sz w:val="24"/>
                <w:szCs w:val="22"/>
                <w:lang w:val="mn-MN"/>
              </w:rPr>
            </w:pPr>
            <w:r w:rsidRPr="00F11C9C">
              <w:rPr>
                <w:rFonts w:eastAsia="Calibri"/>
                <w:sz w:val="24"/>
                <w:szCs w:val="22"/>
                <w:lang w:val="mn-MN"/>
              </w:rPr>
              <w:t>confRev                   [8] IMPLICITINTEGER,</w:t>
            </w:r>
          </w:p>
          <w:p w:rsidR="00F11C9C" w:rsidRPr="00F11C9C" w:rsidRDefault="00F11C9C" w:rsidP="00F11C9C">
            <w:pPr>
              <w:pStyle w:val="BodyText"/>
              <w:tabs>
                <w:tab w:val="left" w:pos="0"/>
                <w:tab w:val="left" w:pos="4152"/>
                <w:tab w:val="left" w:pos="4872"/>
              </w:tabs>
              <w:spacing w:line="276" w:lineRule="auto"/>
              <w:rPr>
                <w:rFonts w:eastAsia="Calibri"/>
                <w:sz w:val="24"/>
                <w:szCs w:val="22"/>
                <w:lang w:val="mn-MN"/>
              </w:rPr>
            </w:pPr>
            <w:r w:rsidRPr="00F11C9C">
              <w:rPr>
                <w:rFonts w:eastAsia="Calibri"/>
                <w:sz w:val="24"/>
                <w:szCs w:val="22"/>
                <w:lang w:val="mn-MN"/>
              </w:rPr>
              <w:t>ndsCom                   [9] IMPLICIT BOOLEAN DEFAULTFALSE,</w:t>
            </w:r>
          </w:p>
          <w:p w:rsidR="00F11C9C" w:rsidRPr="00F11C9C" w:rsidRDefault="00F11C9C" w:rsidP="00F11C9C">
            <w:pPr>
              <w:pStyle w:val="BodyText"/>
              <w:tabs>
                <w:tab w:val="left" w:pos="0"/>
                <w:tab w:val="left" w:pos="4152"/>
                <w:tab w:val="left" w:pos="4872"/>
              </w:tabs>
              <w:spacing w:line="276" w:lineRule="auto"/>
              <w:rPr>
                <w:rFonts w:eastAsia="Calibri"/>
                <w:sz w:val="24"/>
                <w:szCs w:val="22"/>
                <w:lang w:val="mn-MN"/>
              </w:rPr>
            </w:pPr>
            <w:r w:rsidRPr="00F11C9C">
              <w:rPr>
                <w:rFonts w:eastAsia="Calibri"/>
                <w:sz w:val="24"/>
                <w:szCs w:val="22"/>
                <w:lang w:val="mn-MN"/>
              </w:rPr>
              <w:t>numDatSetEntries   [10] IMPLICITINTEGER,</w:t>
            </w:r>
          </w:p>
          <w:p w:rsidR="00F11C9C" w:rsidRPr="00F11C9C" w:rsidRDefault="00F11C9C" w:rsidP="00F11C9C">
            <w:pPr>
              <w:pStyle w:val="BodyText"/>
              <w:tabs>
                <w:tab w:val="left" w:pos="0"/>
                <w:tab w:val="left" w:pos="4152"/>
                <w:tab w:val="left" w:pos="4871"/>
              </w:tabs>
              <w:spacing w:line="276" w:lineRule="auto"/>
              <w:rPr>
                <w:rFonts w:eastAsia="Calibri"/>
                <w:sz w:val="24"/>
                <w:szCs w:val="22"/>
                <w:lang w:val="mn-MN"/>
              </w:rPr>
            </w:pPr>
            <w:r w:rsidRPr="00F11C9C">
              <w:rPr>
                <w:rFonts w:eastAsia="Calibri"/>
                <w:sz w:val="24"/>
                <w:szCs w:val="22"/>
                <w:lang w:val="mn-MN"/>
              </w:rPr>
              <w:t>allData                    [11] IMPLICIT SEQUENCE-OFData</w:t>
            </w:r>
          </w:p>
          <w:p w:rsidR="00F11C9C" w:rsidRPr="00F11C9C" w:rsidRDefault="00F11C9C" w:rsidP="00F11C9C">
            <w:pPr>
              <w:pStyle w:val="BodyText"/>
              <w:tabs>
                <w:tab w:val="left" w:pos="0"/>
                <w:tab w:val="left" w:pos="4152"/>
                <w:tab w:val="left" w:pos="4871"/>
              </w:tabs>
              <w:spacing w:line="276" w:lineRule="auto"/>
              <w:rPr>
                <w:rFonts w:eastAsia="Calibri"/>
                <w:sz w:val="24"/>
                <w:szCs w:val="22"/>
                <w:lang w:val="mn-MN"/>
              </w:rPr>
            </w:pPr>
            <w:r w:rsidRPr="00F11C9C">
              <w:rPr>
                <w:rFonts w:eastAsia="Calibri"/>
                <w:sz w:val="24"/>
                <w:szCs w:val="22"/>
                <w:lang w:val="mn-MN"/>
              </w:rPr>
              <w:t>security                   [12] ANYOPTIONAL—reserved for digitalsignature</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11.3.3.5 Sampled valuepayload(Түүвэрлэсэн утгийн ачаалал)</w:t>
            </w:r>
          </w:p>
          <w:p w:rsidR="00F11C9C" w:rsidRPr="00F11C9C" w:rsidRDefault="00F11C9C" w:rsidP="00F11C9C">
            <w:pPr>
              <w:tabs>
                <w:tab w:val="left" w:pos="0"/>
              </w:tabs>
              <w:ind w:left="0" w:firstLine="0"/>
              <w:rPr>
                <w:rFonts w:eastAsia="Calibri"/>
                <w:bCs/>
                <w:szCs w:val="22"/>
              </w:rPr>
            </w:pPr>
            <w:r w:rsidRPr="00F11C9C">
              <w:rPr>
                <w:rFonts w:eastAsia="Calibri"/>
                <w:bCs/>
                <w:szCs w:val="22"/>
              </w:rPr>
              <w:t>Түүвэрлэсэн утгын ачааллын төрлийг дараах байдлаар тодорхойлдог:</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Sampled_Value_payload_type::= SEQUENCE {</w:t>
            </w:r>
          </w:p>
          <w:p w:rsidR="00F11C9C" w:rsidRPr="00F11C9C" w:rsidRDefault="00F11C9C" w:rsidP="00F11C9C">
            <w:pPr>
              <w:pStyle w:val="BodyText"/>
              <w:tabs>
                <w:tab w:val="left" w:pos="0"/>
                <w:tab w:val="left" w:pos="4158"/>
              </w:tabs>
              <w:spacing w:line="276" w:lineRule="auto"/>
              <w:ind w:right="2050"/>
              <w:rPr>
                <w:rFonts w:eastAsia="Calibri"/>
                <w:sz w:val="24"/>
                <w:szCs w:val="22"/>
                <w:lang w:val="mn-MN"/>
              </w:rPr>
            </w:pPr>
            <w:r w:rsidRPr="00F11C9C">
              <w:rPr>
                <w:rFonts w:eastAsia="Calibri"/>
                <w:sz w:val="24"/>
                <w:szCs w:val="22"/>
                <w:lang w:val="mn-MN"/>
              </w:rPr>
              <w:t>payload_type_tag,</w:t>
            </w:r>
            <w:r w:rsidRPr="00F11C9C">
              <w:rPr>
                <w:rFonts w:eastAsia="Calibri"/>
                <w:sz w:val="24"/>
                <w:szCs w:val="22"/>
                <w:lang w:val="mn-MN"/>
              </w:rPr>
              <w:tab/>
              <w:t>-- 82гэсэн арванзургаатын утга байнаsimulation,</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APPID,</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APDU Length,</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Sampled Value APDU</w:t>
            </w:r>
          </w:p>
          <w:p w:rsidR="00F11C9C" w:rsidRPr="00F11C9C" w:rsidRDefault="00F11C9C" w:rsidP="00F11C9C">
            <w:pPr>
              <w:pStyle w:val="BodyText"/>
              <w:tabs>
                <w:tab w:val="left" w:pos="0"/>
              </w:tabs>
              <w:spacing w:before="3"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APDU урт нь хоёр октет утга, баталгаажуулагдаагүй  бүхэл тоо ба Түүвэрлэсэн Утга APDU-ийн октетуудын тоон утгыг агуулдаг.</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Түүвэрлэсэн Утга APDU нь IEC 61850-8-1-д тодорхойлсоноор savPdu гэж тодорхойлогддог.</w:t>
            </w:r>
          </w:p>
          <w:p w:rsidR="00F11C9C" w:rsidRPr="00F11C9C" w:rsidRDefault="00F11C9C" w:rsidP="00F11C9C">
            <w:pPr>
              <w:tabs>
                <w:tab w:val="left" w:pos="0"/>
              </w:tabs>
              <w:ind w:left="0" w:firstLine="0"/>
              <w:rPr>
                <w:rFonts w:eastAsia="Calibri"/>
                <w:bCs/>
                <w:szCs w:val="22"/>
              </w:rPr>
            </w:pPr>
            <w:r w:rsidRPr="00F11C9C">
              <w:rPr>
                <w:rFonts w:eastAsia="Calibri"/>
                <w:bCs/>
                <w:szCs w:val="22"/>
              </w:rPr>
              <w:t>Нормчлолын ASN.1 боловсруулах аргыг IEC 61850-8-1-ээс олж авах боломжтой ба зөвхөн мэдээллээр хангах зорилгоор доор дурьдсан болно.</w:t>
            </w:r>
          </w:p>
          <w:p w:rsidR="00F11C9C" w:rsidRPr="00F11C9C" w:rsidRDefault="00F11C9C" w:rsidP="00F11C9C">
            <w:pPr>
              <w:pStyle w:val="BodyText"/>
              <w:tabs>
                <w:tab w:val="left" w:pos="0"/>
              </w:tabs>
              <w:spacing w:before="196" w:line="276" w:lineRule="auto"/>
              <w:rPr>
                <w:rFonts w:eastAsia="Calibri"/>
                <w:sz w:val="24"/>
                <w:szCs w:val="22"/>
                <w:lang w:val="mn-MN"/>
              </w:rPr>
            </w:pPr>
            <w:r w:rsidRPr="00F11C9C">
              <w:rPr>
                <w:rFonts w:eastAsia="Calibri"/>
                <w:sz w:val="24"/>
                <w:szCs w:val="22"/>
                <w:lang w:val="mn-MN"/>
              </w:rPr>
              <w:t>IEC 61850-9-2 Specific Protocol::= CHOICE{</w:t>
            </w:r>
          </w:p>
          <w:p w:rsidR="00F11C9C" w:rsidRPr="00F11C9C" w:rsidRDefault="00F11C9C" w:rsidP="00F11C9C">
            <w:pPr>
              <w:pStyle w:val="BodyText"/>
              <w:tabs>
                <w:tab w:val="left" w:pos="0"/>
              </w:tabs>
              <w:spacing w:before="1" w:line="276" w:lineRule="auto"/>
              <w:ind w:right="2333"/>
              <w:rPr>
                <w:rFonts w:eastAsia="Calibri"/>
                <w:sz w:val="24"/>
                <w:szCs w:val="22"/>
                <w:lang w:val="mn-MN"/>
              </w:rPr>
            </w:pPr>
            <w:r w:rsidRPr="00F11C9C">
              <w:rPr>
                <w:rFonts w:eastAsia="Calibri"/>
                <w:sz w:val="24"/>
                <w:szCs w:val="22"/>
                <w:lang w:val="mn-MN"/>
              </w:rPr>
              <w:t>9-1-Pdu [0] IMPLICIT OCTET STRING, -- 9-1 APDU-д зориулж нөөцлөгдсөн Reserved for 9-1 APDU savPdu [APPLICATION 0] IMPLICITSavPdu}</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SavPdu::= SEQUENCE {</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noASDU [0] IMPLICIT INTEGER (1..65535),</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security [1] ANY OPTIONAL,</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asdu [2] IMPLICIT SEQUENCE OFASDU</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tabs>
                <w:tab w:val="left" w:pos="0"/>
              </w:tabs>
              <w:ind w:left="0" w:firstLine="0"/>
              <w:rPr>
                <w:rFonts w:eastAsia="Calibri"/>
                <w:bCs/>
                <w:sz w:val="20"/>
                <w:szCs w:val="20"/>
              </w:rPr>
            </w:pPr>
            <w:r w:rsidRPr="00F11C9C">
              <w:rPr>
                <w:rFonts w:eastAsia="Calibri"/>
                <w:bCs/>
                <w:sz w:val="20"/>
                <w:szCs w:val="20"/>
              </w:rPr>
              <w:t>ТАЙЛБАР: savPdu ба gseMngtPdu ижил ASN.1 хаягтай байна (жишээ нь APPLICATION 0).GseMngtPdu нь IEC / TR 61850-90-5-ийн хамрах хүрээнээс гарсан тул ямар ч зөрчил байхгүй. GoosePdu ба savPdu хаягууд өөр өөр байдаг тулхэрэглэгчийн ачааллын хувьд ялгахад нэмэлт хаяглалт шаардлагагүй. Техникийн үзүүлэлтүүд нь нэг хэрэглэгчийн ачаалалд GOOSE ба SV-ийг илгээх шаардлагатай байдаг тул энэ нь чухал юм.</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11.3.3.6 MNGTpayload(MNGT-ийн ачаалал)</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MNGT-ийн ачааллын төрлийг дараах байдлаар тодорхойлдог:</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MNGT_payload_type::= SEQUENCE {</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payload_type_tag,</w:t>
            </w:r>
            <w:r w:rsidRPr="00F11C9C">
              <w:rPr>
                <w:rFonts w:eastAsia="Calibri"/>
                <w:sz w:val="24"/>
                <w:szCs w:val="22"/>
                <w:lang w:val="mn-MN"/>
              </w:rPr>
              <w:tab/>
              <w:t>-- 84гэсэн арванзургаатын утга байна</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simulation,</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APPID,</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 xml:space="preserve">APDU Length, </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MNGT APDU</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w:t>
            </w:r>
          </w:p>
          <w:p w:rsidR="00F11C9C" w:rsidRPr="00F11C9C" w:rsidRDefault="00F11C9C" w:rsidP="00F11C9C">
            <w:pPr>
              <w:tabs>
                <w:tab w:val="left" w:pos="0"/>
              </w:tabs>
              <w:ind w:left="0" w:firstLine="0"/>
              <w:rPr>
                <w:rFonts w:eastAsia="Calibri"/>
                <w:bCs/>
                <w:szCs w:val="22"/>
              </w:rPr>
            </w:pPr>
            <w:r w:rsidRPr="00F11C9C">
              <w:rPr>
                <w:rFonts w:eastAsia="Calibri"/>
                <w:bCs/>
                <w:szCs w:val="22"/>
              </w:rPr>
              <w:t>APDU урт нь хоёр октет утга, баталгаажуулагдаагүй  бүхэл тоо ба MNGT APDU DU-ийн октетуудын тоон утгыг агуулдаг.</w:t>
            </w:r>
          </w:p>
          <w:p w:rsidR="00F11C9C" w:rsidRPr="00F11C9C" w:rsidRDefault="00F11C9C" w:rsidP="00F11C9C">
            <w:pPr>
              <w:tabs>
                <w:tab w:val="left" w:pos="0"/>
              </w:tabs>
              <w:ind w:left="0" w:firstLine="0"/>
              <w:rPr>
                <w:rFonts w:eastAsia="Calibri"/>
                <w:bCs/>
                <w:szCs w:val="22"/>
              </w:rPr>
            </w:pPr>
            <w:r w:rsidRPr="00F11C9C">
              <w:rPr>
                <w:rFonts w:eastAsia="Calibri"/>
                <w:bCs/>
                <w:szCs w:val="22"/>
              </w:rPr>
              <w:t>MNGT APDU нь gseMngtPdu гэж тодорхойлогддог.</w:t>
            </w:r>
          </w:p>
          <w:p w:rsidR="00F11C9C" w:rsidRPr="00F11C9C" w:rsidRDefault="00F11C9C" w:rsidP="00F11C9C">
            <w:pPr>
              <w:tabs>
                <w:tab w:val="left" w:pos="0"/>
              </w:tabs>
              <w:ind w:left="0" w:firstLine="0"/>
              <w:rPr>
                <w:rFonts w:eastAsia="Calibri"/>
                <w:bCs/>
                <w:szCs w:val="22"/>
              </w:rPr>
            </w:pPr>
            <w:r w:rsidRPr="00F11C9C">
              <w:rPr>
                <w:rFonts w:eastAsia="Calibri"/>
                <w:bCs/>
                <w:szCs w:val="22"/>
              </w:rPr>
              <w:t>Энэ бүлэгт IEC 61805-8-1-т тодорхойлсон нэмэлт сервесийн тодорхойлолтыг нэмж оруулсан. ASN.1-ийн боловсруулах арга нь:</w:t>
            </w:r>
          </w:p>
          <w:p w:rsidR="00F11C9C" w:rsidRPr="00F11C9C" w:rsidRDefault="00F11C9C" w:rsidP="00F11C9C">
            <w:pPr>
              <w:tabs>
                <w:tab w:val="left" w:pos="0"/>
              </w:tabs>
              <w:ind w:left="0" w:firstLine="0"/>
              <w:rPr>
                <w:rFonts w:eastAsia="Calibri"/>
                <w:bCs/>
                <w:szCs w:val="22"/>
              </w:rPr>
            </w:pPr>
            <w:r w:rsidRPr="00F11C9C">
              <w:rPr>
                <w:rFonts w:eastAsia="Calibri"/>
                <w:bCs/>
                <w:szCs w:val="22"/>
              </w:rPr>
              <w:t>IED 61850-8-1 Specific Protocol::=CHOICE{</w:t>
            </w:r>
          </w:p>
          <w:p w:rsidR="00F11C9C" w:rsidRPr="00F11C9C" w:rsidRDefault="00F11C9C" w:rsidP="00F11C9C">
            <w:pPr>
              <w:tabs>
                <w:tab w:val="left" w:pos="0"/>
              </w:tabs>
              <w:ind w:left="0" w:firstLine="0"/>
              <w:rPr>
                <w:rFonts w:eastAsia="Calibri"/>
                <w:bCs/>
                <w:szCs w:val="22"/>
              </w:rPr>
            </w:pPr>
            <w:r w:rsidRPr="00F11C9C">
              <w:rPr>
                <w:rFonts w:eastAsia="Calibri"/>
                <w:bCs/>
                <w:szCs w:val="22"/>
              </w:rPr>
              <w:t>GseMngtPdu    [APPLICATION 0] IMPLICIT MngtPdu,</w:t>
            </w:r>
          </w:p>
          <w:p w:rsidR="00F11C9C" w:rsidRPr="00F11C9C" w:rsidRDefault="00F11C9C" w:rsidP="00F11C9C">
            <w:pPr>
              <w:tabs>
                <w:tab w:val="left" w:pos="0"/>
              </w:tabs>
              <w:ind w:left="0" w:firstLine="0"/>
              <w:rPr>
                <w:rFonts w:eastAsia="Calibri"/>
                <w:bCs/>
                <w:szCs w:val="22"/>
              </w:rPr>
            </w:pPr>
            <w:r w:rsidRPr="00F11C9C">
              <w:rPr>
                <w:rFonts w:eastAsia="Calibri"/>
                <w:bCs/>
                <w:szCs w:val="22"/>
              </w:rPr>
              <w:t>GoosePdu          [APPLICATION 1] IMPLICT IECGoosePdu</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MngtPdu::=SEQUENCE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StateID            [0] IMPLICIT INTEGER,</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Security           [3] ANY OPTIONAL,--цаашид тодорхойлохоор нөөцөлсөн </w:t>
            </w:r>
          </w:p>
          <w:p w:rsidR="00F11C9C" w:rsidRPr="00F11C9C" w:rsidRDefault="00F11C9C" w:rsidP="00F11C9C">
            <w:pPr>
              <w:tabs>
                <w:tab w:val="left" w:pos="0"/>
              </w:tabs>
              <w:ind w:left="0" w:firstLine="0"/>
              <w:rPr>
                <w:rFonts w:eastAsia="Calibri"/>
                <w:bCs/>
                <w:szCs w:val="22"/>
              </w:rPr>
            </w:pPr>
            <w:r w:rsidRPr="00F11C9C">
              <w:rPr>
                <w:rFonts w:eastAsia="Calibri"/>
                <w:bCs/>
                <w:szCs w:val="22"/>
              </w:rPr>
              <w:t>CHOICE{</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Request [1]IMPLICIT GSEMngRequest,</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Responses              [2] IMPLICIT GSEMngtResponses</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Mngtrequests::=CHOICE {</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getGoreference            [1] IMPLICIT GetReferenceRequestPdu </w:t>
            </w:r>
          </w:p>
          <w:p w:rsidR="00F11C9C" w:rsidRPr="00F11C9C" w:rsidRDefault="00F11C9C" w:rsidP="00F11C9C">
            <w:pPr>
              <w:tabs>
                <w:tab w:val="left" w:pos="0"/>
              </w:tabs>
              <w:ind w:left="0" w:firstLine="0"/>
              <w:rPr>
                <w:rFonts w:eastAsia="Calibri"/>
                <w:bCs/>
                <w:szCs w:val="22"/>
              </w:rPr>
            </w:pPr>
            <w:r w:rsidRPr="00F11C9C">
              <w:rPr>
                <w:rFonts w:eastAsia="Calibri"/>
                <w:bCs/>
                <w:szCs w:val="22"/>
              </w:rPr>
              <w:t>getGOOSEElement Number     [2] IMPLICIT GetReferenceRequestPdu</w:t>
            </w:r>
          </w:p>
          <w:p w:rsidR="00F11C9C" w:rsidRPr="00F11C9C" w:rsidRDefault="00F11C9C" w:rsidP="00F11C9C">
            <w:pPr>
              <w:tabs>
                <w:tab w:val="left" w:pos="0"/>
              </w:tabs>
              <w:ind w:left="0" w:firstLine="0"/>
              <w:rPr>
                <w:rFonts w:eastAsia="Calibri"/>
                <w:bCs/>
                <w:szCs w:val="22"/>
              </w:rPr>
            </w:pPr>
            <w:r w:rsidRPr="00F11C9C">
              <w:rPr>
                <w:rFonts w:eastAsia="Calibri"/>
                <w:bCs/>
                <w:szCs w:val="22"/>
              </w:rPr>
              <w:t>getGsReference                           [3]  IMPLICIT GetReferenceRequestPdu,</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getGSSEDataOffset </w:t>
            </w:r>
            <w:r w:rsidRPr="00F11C9C">
              <w:rPr>
                <w:rFonts w:eastAsia="Calibri"/>
                <w:bCs/>
                <w:szCs w:val="22"/>
              </w:rPr>
              <w:tab/>
              <w:t xml:space="preserve">         [4]IMPLICIT</w:t>
            </w:r>
          </w:p>
          <w:p w:rsidR="00F11C9C" w:rsidRPr="00F11C9C" w:rsidRDefault="00F11C9C" w:rsidP="00F11C9C">
            <w:pPr>
              <w:tabs>
                <w:tab w:val="left" w:pos="0"/>
              </w:tabs>
              <w:ind w:left="0" w:firstLine="0"/>
              <w:rPr>
                <w:rFonts w:eastAsia="Calibri"/>
                <w:bCs/>
                <w:szCs w:val="22"/>
              </w:rPr>
            </w:pPr>
            <w:r w:rsidRPr="00F11C9C">
              <w:rPr>
                <w:rFonts w:eastAsia="Calibri"/>
                <w:bCs/>
                <w:szCs w:val="22"/>
              </w:rPr>
              <w:t>GetElementRequestPdu,</w:t>
            </w:r>
          </w:p>
          <w:p w:rsidR="00F11C9C" w:rsidRPr="00F11C9C" w:rsidRDefault="00F11C9C" w:rsidP="00F11C9C">
            <w:pPr>
              <w:tabs>
                <w:tab w:val="left" w:pos="0"/>
              </w:tabs>
              <w:ind w:left="0" w:firstLine="0"/>
              <w:rPr>
                <w:rFonts w:eastAsia="Calibri"/>
                <w:bCs/>
                <w:szCs w:val="22"/>
              </w:rPr>
            </w:pPr>
            <w:r w:rsidRPr="00F11C9C">
              <w:rPr>
                <w:rFonts w:eastAsia="Calibri"/>
                <w:bCs/>
                <w:szCs w:val="22"/>
              </w:rPr>
              <w:t>getSavReference</w:t>
            </w:r>
            <w:r w:rsidRPr="00F11C9C">
              <w:rPr>
                <w:rFonts w:eastAsia="Calibri"/>
                <w:bCs/>
                <w:szCs w:val="22"/>
              </w:rPr>
              <w:tab/>
              <w:t xml:space="preserve">                    [5] IMPLICIT GetReferenceRequestPdu, getSavElementNumber</w:t>
            </w:r>
            <w:r w:rsidRPr="00F11C9C">
              <w:rPr>
                <w:rFonts w:eastAsia="Calibri"/>
                <w:bCs/>
                <w:szCs w:val="22"/>
              </w:rPr>
              <w:tab/>
              <w:t xml:space="preserve">         [6]IMPLICIT GetElementRequestPdu,</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MngtResponses::= CHOICE {</w:t>
            </w:r>
          </w:p>
          <w:p w:rsidR="00F11C9C" w:rsidRPr="00F11C9C" w:rsidRDefault="00F11C9C" w:rsidP="00F11C9C">
            <w:pPr>
              <w:tabs>
                <w:tab w:val="left" w:pos="0"/>
              </w:tabs>
              <w:ind w:left="0" w:firstLine="0"/>
              <w:rPr>
                <w:rFonts w:eastAsia="Calibri"/>
                <w:bCs/>
                <w:szCs w:val="22"/>
              </w:rPr>
            </w:pPr>
            <w:r w:rsidRPr="00F11C9C">
              <w:rPr>
                <w:rFonts w:eastAsia="Calibri"/>
                <w:bCs/>
                <w:szCs w:val="22"/>
              </w:rPr>
              <w:t>gseMngtNotSupported - [0] IMPLICIT NULL,</w:t>
            </w:r>
          </w:p>
          <w:p w:rsidR="00F11C9C" w:rsidRPr="00F11C9C" w:rsidRDefault="00F11C9C" w:rsidP="00F11C9C">
            <w:pPr>
              <w:tabs>
                <w:tab w:val="left" w:pos="0"/>
              </w:tabs>
              <w:ind w:left="0" w:firstLine="0"/>
              <w:rPr>
                <w:rFonts w:eastAsia="Calibri"/>
                <w:bCs/>
                <w:szCs w:val="22"/>
              </w:rPr>
            </w:pPr>
            <w:r w:rsidRPr="00F11C9C">
              <w:rPr>
                <w:rFonts w:eastAsia="Calibri"/>
                <w:bCs/>
                <w:szCs w:val="22"/>
              </w:rPr>
              <w:t>getGoReference-[1]IMPLICITGSE MngtResponsePdu, getGOOSEElementNumber - [2] IMPLICITGSEMngtResponsePdu, getGsReference</w:t>
            </w:r>
            <w:r w:rsidRPr="00F11C9C">
              <w:rPr>
                <w:rFonts w:eastAsia="Calibri"/>
                <w:bCs/>
                <w:szCs w:val="22"/>
              </w:rPr>
              <w:tab/>
              <w:t xml:space="preserve">                    [3] IMPLICIT GSEMngtResponsePdu,</w:t>
            </w:r>
          </w:p>
          <w:p w:rsidR="00F11C9C" w:rsidRPr="00F11C9C" w:rsidRDefault="00F11C9C" w:rsidP="00F11C9C">
            <w:pPr>
              <w:tabs>
                <w:tab w:val="left" w:pos="0"/>
              </w:tabs>
              <w:ind w:left="0" w:firstLine="0"/>
              <w:rPr>
                <w:rFonts w:eastAsia="Calibri"/>
                <w:bCs/>
                <w:szCs w:val="22"/>
              </w:rPr>
            </w:pPr>
            <w:r w:rsidRPr="00F11C9C">
              <w:rPr>
                <w:rFonts w:eastAsia="Calibri"/>
                <w:bCs/>
                <w:szCs w:val="22"/>
              </w:rPr>
              <w:t>getGSSEDataOffset</w:t>
            </w:r>
            <w:r w:rsidRPr="00F11C9C">
              <w:rPr>
                <w:rFonts w:eastAsia="Calibri"/>
                <w:bCs/>
                <w:szCs w:val="22"/>
              </w:rPr>
              <w:tab/>
              <w:t xml:space="preserve">                    [4] IMPLICIT GSEMngtResponsePdu,</w:t>
            </w:r>
          </w:p>
          <w:p w:rsidR="00F11C9C" w:rsidRPr="00F11C9C" w:rsidRDefault="00F11C9C" w:rsidP="00F11C9C">
            <w:pPr>
              <w:tabs>
                <w:tab w:val="left" w:pos="0"/>
              </w:tabs>
              <w:ind w:left="0" w:firstLine="0"/>
              <w:rPr>
                <w:rFonts w:eastAsia="Calibri"/>
                <w:bCs/>
                <w:szCs w:val="22"/>
              </w:rPr>
            </w:pPr>
            <w:r w:rsidRPr="00F11C9C">
              <w:rPr>
                <w:rFonts w:eastAsia="Calibri"/>
                <w:bCs/>
                <w:szCs w:val="22"/>
              </w:rPr>
              <w:t>getSavReference</w:t>
            </w:r>
            <w:r w:rsidRPr="00F11C9C">
              <w:rPr>
                <w:rFonts w:eastAsia="Calibri"/>
                <w:bCs/>
                <w:szCs w:val="22"/>
              </w:rPr>
              <w:tab/>
              <w:t xml:space="preserve">                    [5] IMPLICIT GSEMngtResponsePdu, getSavElementNumber</w:t>
            </w:r>
            <w:r w:rsidRPr="00F11C9C">
              <w:rPr>
                <w:rFonts w:eastAsia="Calibri"/>
                <w:bCs/>
                <w:szCs w:val="22"/>
              </w:rPr>
              <w:tab/>
              <w:t xml:space="preserve">         [6] IMPLICIT GSEMngtResponsePdu,</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GetReferenceRequestPdu::=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ident</w:t>
            </w:r>
            <w:r w:rsidRPr="00F11C9C">
              <w:rPr>
                <w:rFonts w:eastAsia="Calibri"/>
                <w:bCs/>
                <w:szCs w:val="22"/>
              </w:rPr>
              <w:tab/>
              <w:t xml:space="preserve">[0] IMPLICIT VISIBLE-STRING, -- хэмжээ нь 129 октет хүртэх ёстой  </w:t>
            </w:r>
          </w:p>
          <w:p w:rsidR="00F11C9C" w:rsidRPr="00F11C9C" w:rsidRDefault="00F11C9C" w:rsidP="00F11C9C">
            <w:pPr>
              <w:tabs>
                <w:tab w:val="left" w:pos="0"/>
              </w:tabs>
              <w:ind w:left="0" w:firstLine="0"/>
              <w:rPr>
                <w:rFonts w:eastAsia="Calibri"/>
                <w:bCs/>
                <w:szCs w:val="22"/>
              </w:rPr>
            </w:pPr>
            <w:r w:rsidRPr="00F11C9C">
              <w:rPr>
                <w:rFonts w:eastAsia="Calibri"/>
                <w:bCs/>
                <w:szCs w:val="22"/>
              </w:rPr>
              <w:t>offset</w:t>
            </w:r>
            <w:r w:rsidRPr="00F11C9C">
              <w:rPr>
                <w:rFonts w:eastAsia="Calibri"/>
                <w:bCs/>
                <w:szCs w:val="22"/>
              </w:rPr>
              <w:tab/>
              <w:t>[1] IMPLICIT SEQUENCE OF INTEGER DEFAULT NULL,</w:t>
            </w:r>
          </w:p>
          <w:p w:rsidR="00F11C9C" w:rsidRPr="00F11C9C" w:rsidRDefault="00F11C9C" w:rsidP="00F11C9C">
            <w:pPr>
              <w:tabs>
                <w:tab w:val="left" w:pos="0"/>
              </w:tabs>
              <w:ind w:left="0" w:firstLine="0"/>
              <w:rPr>
                <w:rFonts w:eastAsia="Calibri"/>
                <w:bCs/>
                <w:szCs w:val="22"/>
              </w:rPr>
            </w:pPr>
            <w:r w:rsidRPr="00F11C9C">
              <w:rPr>
                <w:rFonts w:eastAsia="Calibri"/>
                <w:bCs/>
                <w:szCs w:val="22"/>
              </w:rPr>
              <w:t>datSet</w:t>
            </w:r>
            <w:r w:rsidRPr="00F11C9C">
              <w:rPr>
                <w:rFonts w:eastAsia="Calibri"/>
                <w:bCs/>
                <w:szCs w:val="22"/>
              </w:rPr>
              <w:tab/>
              <w:t>[2] IMPLICIT VISIBLE-STRING OPTIONAL DEFAULT NULL,</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Хэрэв үлдэгдэл нь NULL байвал энэ хариулт нь APDU-д багтах боломжтой бол бүх тайлбарыг агуулсан болохыг илтгэнэ. Үгүй болTooLarge алдааны хариу буцаагдах болно.</w:t>
            </w:r>
          </w:p>
          <w:p w:rsidR="00F11C9C" w:rsidRPr="00F11C9C" w:rsidRDefault="00F11C9C" w:rsidP="00F11C9C">
            <w:pPr>
              <w:tabs>
                <w:tab w:val="left" w:pos="0"/>
              </w:tabs>
              <w:ind w:left="0" w:firstLine="0"/>
              <w:rPr>
                <w:rFonts w:eastAsia="Calibri"/>
                <w:bCs/>
                <w:szCs w:val="22"/>
              </w:rPr>
            </w:pPr>
            <w:r w:rsidRPr="00F11C9C">
              <w:rPr>
                <w:rFonts w:eastAsia="Calibri"/>
                <w:bCs/>
                <w:szCs w:val="22"/>
              </w:rPr>
              <w:t>Хэрэв өгөгдсөн өгөгдлийн багц (DataSet тайлбар) нь тодорхойлогдсонутгатай тохирохгүй байвал хариу нь controlBlock ConfigurationError байна.</w:t>
            </w:r>
          </w:p>
          <w:p w:rsidR="00F11C9C" w:rsidRPr="00F11C9C" w:rsidRDefault="00F11C9C" w:rsidP="00F11C9C">
            <w:pPr>
              <w:tabs>
                <w:tab w:val="left" w:pos="0"/>
              </w:tabs>
              <w:ind w:left="0" w:firstLine="0"/>
              <w:rPr>
                <w:rFonts w:eastAsia="Calibri"/>
                <w:bCs/>
                <w:szCs w:val="22"/>
              </w:rPr>
            </w:pPr>
            <w:r w:rsidRPr="00F11C9C">
              <w:rPr>
                <w:rFonts w:eastAsia="Calibri"/>
                <w:bCs/>
                <w:szCs w:val="22"/>
              </w:rPr>
              <w:t>GetElementRequestPdu::=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ident</w:t>
            </w:r>
            <w:r w:rsidRPr="00F11C9C">
              <w:rPr>
                <w:rFonts w:eastAsia="Calibri"/>
                <w:bCs/>
                <w:szCs w:val="22"/>
              </w:rPr>
              <w:tab/>
              <w:t xml:space="preserve">           [0] IMPLICIT VISIBLE-STRING, -- хэмжээ нь 129 октет хүртэх ёстой </w:t>
            </w:r>
          </w:p>
          <w:p w:rsidR="00F11C9C" w:rsidRPr="00F11C9C" w:rsidRDefault="00F11C9C" w:rsidP="00F11C9C">
            <w:pPr>
              <w:tabs>
                <w:tab w:val="left" w:pos="0"/>
              </w:tabs>
              <w:ind w:left="0" w:firstLine="0"/>
              <w:rPr>
                <w:rFonts w:eastAsia="Calibri"/>
                <w:bCs/>
                <w:szCs w:val="22"/>
              </w:rPr>
            </w:pPr>
            <w:r w:rsidRPr="00F11C9C">
              <w:rPr>
                <w:rFonts w:eastAsia="Calibri"/>
                <w:bCs/>
                <w:szCs w:val="22"/>
              </w:rPr>
              <w:t>references</w:t>
            </w:r>
            <w:r w:rsidRPr="00F11C9C">
              <w:rPr>
                <w:rFonts w:eastAsia="Calibri"/>
                <w:bCs/>
                <w:szCs w:val="22"/>
              </w:rPr>
              <w:tab/>
              <w:t>[1] IMPLICIT SEQUENCE OF VISIBLE-STRING,</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 xml:space="preserve">datSet </w:t>
            </w:r>
            <w:r w:rsidRPr="00F11C9C">
              <w:rPr>
                <w:rFonts w:eastAsia="Calibri"/>
                <w:bCs/>
                <w:szCs w:val="22"/>
              </w:rPr>
              <w:tab/>
              <w:t>[2] IMPLICIT VISIBLE-STRING OPTIONAL DEFAULT NULL,</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Хэрэв өгөгдсөн өгөгдлийн багц (DataSet тайлбар) нь тодорхойлогдсонутгатай тохирохгүй байвал хариу нь controlBlockConfigurationError байна.</w:t>
            </w:r>
          </w:p>
          <w:p w:rsidR="00F11C9C" w:rsidRPr="00F11C9C" w:rsidRDefault="00F11C9C" w:rsidP="00F11C9C">
            <w:pPr>
              <w:tabs>
                <w:tab w:val="left" w:pos="0"/>
              </w:tabs>
              <w:ind w:left="0" w:firstLine="0"/>
              <w:rPr>
                <w:rFonts w:eastAsia="Calibri"/>
                <w:bCs/>
                <w:szCs w:val="22"/>
              </w:rPr>
            </w:pPr>
            <w:r w:rsidRPr="00F11C9C">
              <w:rPr>
                <w:rFonts w:eastAsia="Calibri"/>
                <w:bCs/>
                <w:szCs w:val="22"/>
              </w:rPr>
              <w:t>GSEMngtResponsePdu::=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ident</w:t>
            </w:r>
            <w:r w:rsidRPr="00F11C9C">
              <w:rPr>
                <w:rFonts w:eastAsia="Calibri"/>
                <w:bCs/>
                <w:szCs w:val="22"/>
              </w:rPr>
              <w:tab/>
              <w:t>[0] IMPLICIT VISIBLE-STRING, -- хүсэлтийн утгыг давтана</w:t>
            </w:r>
          </w:p>
          <w:p w:rsidR="00F11C9C" w:rsidRPr="00F11C9C" w:rsidRDefault="00F11C9C" w:rsidP="00F11C9C">
            <w:pPr>
              <w:tabs>
                <w:tab w:val="left" w:pos="0"/>
              </w:tabs>
              <w:ind w:left="0" w:firstLine="0"/>
              <w:rPr>
                <w:rFonts w:eastAsia="Calibri"/>
                <w:bCs/>
                <w:szCs w:val="22"/>
              </w:rPr>
            </w:pPr>
            <w:r w:rsidRPr="00F11C9C">
              <w:rPr>
                <w:rFonts w:eastAsia="Calibri"/>
                <w:bCs/>
                <w:szCs w:val="22"/>
              </w:rPr>
              <w:t>confRev</w:t>
            </w:r>
            <w:r w:rsidRPr="00F11C9C">
              <w:rPr>
                <w:rFonts w:eastAsia="Calibri"/>
                <w:bCs/>
                <w:szCs w:val="22"/>
              </w:rPr>
              <w:tab/>
              <w:t>[1] IMPLICIT INTEGEROPTIONAL,</w:t>
            </w:r>
          </w:p>
          <w:p w:rsidR="00F11C9C" w:rsidRPr="00F11C9C" w:rsidRDefault="00F11C9C" w:rsidP="00F11C9C">
            <w:pPr>
              <w:tabs>
                <w:tab w:val="left" w:pos="0"/>
              </w:tabs>
              <w:ind w:left="0" w:firstLine="0"/>
              <w:rPr>
                <w:rFonts w:eastAsia="Calibri"/>
                <w:bCs/>
                <w:szCs w:val="22"/>
              </w:rPr>
            </w:pPr>
            <w:r w:rsidRPr="00F11C9C">
              <w:rPr>
                <w:rFonts w:eastAsia="Calibri"/>
                <w:bCs/>
                <w:szCs w:val="22"/>
              </w:rPr>
              <w:t>CHOICE {</w:t>
            </w:r>
          </w:p>
          <w:p w:rsidR="00F11C9C" w:rsidRPr="00F11C9C" w:rsidRDefault="00F11C9C" w:rsidP="00F11C9C">
            <w:pPr>
              <w:tabs>
                <w:tab w:val="left" w:pos="0"/>
              </w:tabs>
              <w:ind w:left="0" w:firstLine="0"/>
              <w:rPr>
                <w:rFonts w:eastAsia="Calibri"/>
                <w:bCs/>
                <w:szCs w:val="22"/>
              </w:rPr>
            </w:pPr>
            <w:r w:rsidRPr="00F11C9C">
              <w:rPr>
                <w:rFonts w:eastAsia="Calibri"/>
                <w:bCs/>
                <w:szCs w:val="22"/>
              </w:rPr>
              <w:t>responsePositive [2] IMPLICIT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datSet [0] IMPLICIT VISIBLE_STRING OPTIONAL,</w:t>
            </w:r>
          </w:p>
          <w:p w:rsidR="00F11C9C" w:rsidRPr="00F11C9C" w:rsidRDefault="00F11C9C" w:rsidP="00F11C9C">
            <w:pPr>
              <w:tabs>
                <w:tab w:val="left" w:pos="0"/>
              </w:tabs>
              <w:ind w:left="0" w:firstLine="0"/>
              <w:rPr>
                <w:rFonts w:eastAsia="Calibri"/>
                <w:bCs/>
                <w:szCs w:val="22"/>
              </w:rPr>
            </w:pPr>
            <w:r w:rsidRPr="00F11C9C">
              <w:rPr>
                <w:rFonts w:eastAsia="Calibri"/>
                <w:bCs/>
                <w:szCs w:val="22"/>
              </w:rPr>
              <w:t>result[1] IMPLICIT SEQUENCE OFRequestResults</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responseNegative [3] IMPLICIT GlbErrors</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RequestResult::=    CHOICE{</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 xml:space="preserve">                                Offset              [0] IMPLICT INTEGER,</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 xml:space="preserve">                                Reference       [1] IMPLICIT IA5STRING,</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 xml:space="preserve">                                Error                [2] IMPLICT ErrorReason</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GlbErrors::= INTEGER { other(0),</w:t>
            </w:r>
          </w:p>
          <w:p w:rsidR="00F11C9C" w:rsidRPr="00F11C9C" w:rsidRDefault="00F11C9C" w:rsidP="00F11C9C">
            <w:pPr>
              <w:tabs>
                <w:tab w:val="left" w:pos="0"/>
              </w:tabs>
              <w:ind w:left="0" w:firstLine="0"/>
              <w:rPr>
                <w:rFonts w:eastAsia="Calibri"/>
                <w:bCs/>
                <w:szCs w:val="22"/>
              </w:rPr>
            </w:pPr>
            <w:r w:rsidRPr="00F11C9C">
              <w:rPr>
                <w:rFonts w:eastAsia="Calibri"/>
                <w:bCs/>
                <w:szCs w:val="22"/>
              </w:rPr>
              <w:t>unknownControlBlock(1), responseTooLarge(2),</w:t>
            </w:r>
          </w:p>
          <w:p w:rsidR="00F11C9C" w:rsidRPr="00F11C9C" w:rsidRDefault="00F11C9C" w:rsidP="00F11C9C">
            <w:pPr>
              <w:tabs>
                <w:tab w:val="left" w:pos="0"/>
              </w:tabs>
              <w:ind w:left="0" w:firstLine="0"/>
              <w:rPr>
                <w:rFonts w:eastAsia="Calibri"/>
                <w:bCs/>
                <w:szCs w:val="22"/>
              </w:rPr>
            </w:pPr>
            <w:r w:rsidRPr="00F11C9C">
              <w:rPr>
                <w:rFonts w:eastAsia="Calibri"/>
                <w:bCs/>
                <w:szCs w:val="22"/>
              </w:rPr>
              <w:t>controlBlockConfigurationError (3),</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ErrorReason::= INTEGER { other (0),</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notFound (1),</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lastRenderedPageBreak/>
              <w:t>}</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MNGT APDU нь зөвхөн нэгтгэн томьёолсон хаяг (үүсгүүр ба очих газар)-тай ашиглагдах ёстой. Энэ нь нэг DataSet-ийн хүсэлт/хариултыг агуулна.</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11.3.3.7 Tunnelled(Туннельдсэн)</w:t>
            </w:r>
          </w:p>
          <w:p w:rsidR="00F11C9C" w:rsidRPr="00F11C9C" w:rsidRDefault="00F11C9C" w:rsidP="00F11C9C">
            <w:pPr>
              <w:tabs>
                <w:tab w:val="left" w:pos="0"/>
              </w:tabs>
              <w:ind w:left="0" w:firstLine="0"/>
              <w:rPr>
                <w:rFonts w:eastAsia="Calibri"/>
                <w:bCs/>
                <w:szCs w:val="22"/>
              </w:rPr>
            </w:pPr>
            <w:r w:rsidRPr="00F11C9C">
              <w:rPr>
                <w:rFonts w:eastAsia="Calibri"/>
                <w:bCs/>
                <w:szCs w:val="22"/>
              </w:rPr>
              <w:t>Туннельдсэн ачааллын PDU нь туннель (ууд)-ийн төгсгөлд тохирох хүрээг дахин өгөхөд шаардагдах түлхүүр мэдээллээр хангах хэрэгтэй. Үүнийг хэрэгжүүлэхийн тулд дараахь мэдээллийг хүргэх шаардлагатай:</w:t>
            </w:r>
          </w:p>
          <w:p w:rsidR="00F11C9C" w:rsidRPr="00F11C9C" w:rsidRDefault="00F11C9C" w:rsidP="00472036">
            <w:pPr>
              <w:pStyle w:val="ListParagraph"/>
              <w:widowControl w:val="0"/>
              <w:numPr>
                <w:ilvl w:val="0"/>
                <w:numId w:val="24"/>
              </w:numPr>
              <w:tabs>
                <w:tab w:val="left" w:pos="0"/>
                <w:tab w:val="left" w:pos="894"/>
                <w:tab w:val="left" w:pos="896"/>
              </w:tabs>
              <w:autoSpaceDE w:val="0"/>
              <w:autoSpaceDN w:val="0"/>
              <w:spacing w:after="0"/>
              <w:ind w:left="0" w:right="65" w:firstLine="0"/>
              <w:contextualSpacing w:val="0"/>
              <w:jc w:val="left"/>
              <w:rPr>
                <w:rFonts w:eastAsia="Calibri"/>
                <w:bCs/>
                <w:szCs w:val="22"/>
              </w:rPr>
            </w:pPr>
            <w:r w:rsidRPr="00F11C9C">
              <w:rPr>
                <w:rFonts w:eastAsia="Calibri"/>
                <w:bCs/>
                <w:szCs w:val="22"/>
              </w:rPr>
              <w:t>Хүрэх Газрын Хаяг: Энэ бол анхны GOOSE ба SV мессежийг Этернэт multicast-р илгээсэнmulticast-тай хүрэх газрын Медиа Хандалтыг Удирдах(MAC) хаяг юм.</w:t>
            </w:r>
          </w:p>
          <w:p w:rsidR="00F11C9C" w:rsidRPr="00F11C9C" w:rsidRDefault="00F11C9C" w:rsidP="00472036">
            <w:pPr>
              <w:pStyle w:val="ListParagraph"/>
              <w:widowControl w:val="0"/>
              <w:numPr>
                <w:ilvl w:val="0"/>
                <w:numId w:val="24"/>
              </w:numPr>
              <w:tabs>
                <w:tab w:val="left" w:pos="0"/>
                <w:tab w:val="left" w:pos="894"/>
                <w:tab w:val="left" w:pos="896"/>
              </w:tabs>
              <w:autoSpaceDE w:val="0"/>
              <w:autoSpaceDN w:val="0"/>
              <w:spacing w:before="99" w:after="0"/>
              <w:ind w:left="0" w:right="65" w:firstLine="0"/>
              <w:contextualSpacing w:val="0"/>
              <w:jc w:val="left"/>
              <w:rPr>
                <w:rFonts w:eastAsia="Calibri"/>
                <w:bCs/>
                <w:szCs w:val="22"/>
              </w:rPr>
            </w:pPr>
            <w:r w:rsidRPr="00F11C9C">
              <w:rPr>
                <w:rFonts w:eastAsia="Calibri"/>
                <w:bCs/>
                <w:szCs w:val="22"/>
              </w:rPr>
              <w:t>TPID ба TCI: Эдгээр нь VLAN-ийг тодорхойлогч VLAN хаяглалт, мөн IEEE эрэмбэлэххаяглалт.</w:t>
            </w:r>
          </w:p>
          <w:p w:rsidR="00F11C9C" w:rsidRPr="00F11C9C" w:rsidRDefault="00F11C9C" w:rsidP="00F11C9C">
            <w:pPr>
              <w:tabs>
                <w:tab w:val="left" w:pos="0"/>
              </w:tabs>
              <w:ind w:left="0" w:firstLine="0"/>
              <w:rPr>
                <w:rFonts w:eastAsia="Calibri"/>
                <w:bCs/>
                <w:szCs w:val="22"/>
              </w:rPr>
            </w:pPr>
            <w:r w:rsidRPr="00F11C9C">
              <w:rPr>
                <w:rFonts w:eastAsia="Calibri"/>
                <w:bCs/>
                <w:szCs w:val="22"/>
              </w:rPr>
              <w:t>61850 Ethertype PDU ба Этернэт дүүргэлт (padding): Энэхүү мэдээлэл нь Этернэт 61850 Ethertype талбар банэгдсэн мэдээллийг төлөөлнө. 61850 Ethertype PDU-ээс гадна Этернэт дүүргэлт (padding) оруулах шаардлагатай бөгөөд ингэснээр IEC/TS 62351-6 аюулгүй байдлын мэдээллийг дамжуулах боломжтой болно.</w:t>
            </w:r>
          </w:p>
          <w:p w:rsidR="00F11C9C" w:rsidRPr="00F11C9C" w:rsidRDefault="00F11C9C" w:rsidP="00F11C9C">
            <w:pPr>
              <w:tabs>
                <w:tab w:val="left" w:pos="0"/>
              </w:tabs>
              <w:ind w:left="0" w:firstLine="0"/>
              <w:rPr>
                <w:rFonts w:eastAsia="Calibri"/>
                <w:bCs/>
                <w:szCs w:val="22"/>
              </w:rPr>
            </w:pPr>
            <w:r w:rsidRPr="00F11C9C">
              <w:rPr>
                <w:rFonts w:eastAsia="Calibri"/>
                <w:bCs/>
                <w:szCs w:val="22"/>
              </w:rPr>
              <w:t>Ethertype PDU нь октет 22-оос эхэлдэг бөгөөд Хүрээ Шалгах Дараалал (Frame Check Sequence)-аас бусад бүх октетуудыг агуулдаг.Зураг 27-д үзүүлэв.</w:t>
            </w:r>
          </w:p>
        </w:tc>
        <w:tc>
          <w:tcPr>
            <w:tcW w:w="4672" w:type="dxa"/>
          </w:tcPr>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 xml:space="preserve">The least significant octet shall contain the HMAC algorithm information regarding the signature generation. The value shall be one of the values from </w:t>
            </w:r>
            <w:hyperlink w:anchor="_bookmark52" w:history="1">
              <w:r w:rsidRPr="00F11C9C">
                <w:rPr>
                  <w:rFonts w:eastAsia="Calibri"/>
                  <w:bCs/>
                  <w:szCs w:val="22"/>
                </w:rPr>
                <w:t>Table 9.</w:t>
              </w:r>
            </w:hyperlink>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11.3.2.2.4 Key ID</w:t>
            </w:r>
          </w:p>
          <w:p w:rsidR="00F11C9C" w:rsidRPr="00F11C9C" w:rsidRDefault="00F11C9C" w:rsidP="00F11C9C">
            <w:pPr>
              <w:tabs>
                <w:tab w:val="left" w:pos="0"/>
              </w:tabs>
              <w:ind w:left="0" w:firstLine="0"/>
              <w:rPr>
                <w:rFonts w:eastAsia="Calibri"/>
                <w:bCs/>
                <w:szCs w:val="22"/>
              </w:rPr>
            </w:pPr>
            <w:r w:rsidRPr="00F11C9C">
              <w:rPr>
                <w:rFonts w:eastAsia="Calibri"/>
                <w:bCs/>
                <w:szCs w:val="22"/>
              </w:rPr>
              <w:t>The value of Key ID is a four (4) octet value that was assigned by the KDC as a  reference to the key that is in use.</w:t>
            </w:r>
          </w:p>
          <w:p w:rsidR="00F11C9C" w:rsidRPr="00F11C9C" w:rsidRDefault="00F11C9C" w:rsidP="00F11C9C">
            <w:pPr>
              <w:tabs>
                <w:tab w:val="left" w:pos="0"/>
              </w:tabs>
              <w:ind w:left="0" w:firstLine="0"/>
              <w:rPr>
                <w:rFonts w:eastAsia="Calibri"/>
                <w:bCs/>
                <w:szCs w:val="22"/>
              </w:rPr>
            </w:pPr>
            <w:r w:rsidRPr="00F11C9C">
              <w:rPr>
                <w:rFonts w:eastAsia="Calibri"/>
                <w:bCs/>
                <w:szCs w:val="22"/>
              </w:rPr>
              <w:t>The Key ID selection shall be based upon the contents of the User Data:</w:t>
            </w:r>
          </w:p>
          <w:p w:rsidR="00F11C9C" w:rsidRPr="00F11C9C" w:rsidRDefault="00F11C9C" w:rsidP="00F11C9C">
            <w:pPr>
              <w:tabs>
                <w:tab w:val="left" w:pos="0"/>
              </w:tabs>
              <w:ind w:left="0" w:firstLine="0"/>
              <w:rPr>
                <w:rFonts w:eastAsia="Calibri"/>
                <w:bCs/>
                <w:szCs w:val="22"/>
              </w:rPr>
            </w:pPr>
            <w:r w:rsidRPr="00F11C9C">
              <w:rPr>
                <w:rFonts w:eastAsia="Calibri"/>
                <w:bCs/>
                <w:szCs w:val="22"/>
              </w:rPr>
              <w:t>For User Data that contains payloads containing a single DataSet of information, the Key ID shall be the Key ID provided by the KDC for the particular DataSet.</w:t>
            </w:r>
          </w:p>
          <w:p w:rsidR="00F11C9C" w:rsidRPr="00F11C9C" w:rsidRDefault="00F11C9C" w:rsidP="00F11C9C">
            <w:pPr>
              <w:tabs>
                <w:tab w:val="left" w:pos="0"/>
              </w:tabs>
              <w:ind w:left="0" w:firstLine="0"/>
              <w:rPr>
                <w:rFonts w:eastAsia="Calibri"/>
                <w:bCs/>
                <w:szCs w:val="22"/>
              </w:rPr>
            </w:pPr>
            <w:r w:rsidRPr="00F11C9C">
              <w:rPr>
                <w:rFonts w:eastAsia="Calibri"/>
                <w:bCs/>
                <w:szCs w:val="22"/>
              </w:rPr>
              <w:t>For User Data that contains payloads  containing multiple DataSets, the Key ID  shall  be one of the Key IDs of the DataSets contained. Once the DataSet selection is made locally, the selected DataSet shall not be changed.</w:t>
            </w:r>
          </w:p>
          <w:p w:rsidR="00F11C9C" w:rsidRPr="00F11C9C" w:rsidRDefault="00F11C9C" w:rsidP="00F11C9C">
            <w:pPr>
              <w:tabs>
                <w:tab w:val="left" w:pos="0"/>
              </w:tabs>
              <w:ind w:left="0" w:firstLine="0"/>
              <w:rPr>
                <w:rFonts w:eastAsia="Calibri"/>
                <w:bCs/>
                <w:szCs w:val="22"/>
              </w:rPr>
            </w:pPr>
            <w:r w:rsidRPr="00F11C9C">
              <w:rPr>
                <w:rFonts w:eastAsia="Calibri"/>
                <w:bCs/>
                <w:szCs w:val="22"/>
              </w:rPr>
              <w:t>For MNGT payloads, the Key ID shall be  the  value assigned to  the DataSet provided by the KDC.</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11.3.2.3 User data</w:t>
            </w:r>
          </w:p>
          <w:p w:rsidR="00F11C9C" w:rsidRPr="00F11C9C" w:rsidRDefault="00F11C9C" w:rsidP="00F11C9C">
            <w:pPr>
              <w:tabs>
                <w:tab w:val="left" w:pos="0"/>
              </w:tabs>
              <w:ind w:left="0" w:firstLine="0"/>
              <w:rPr>
                <w:rFonts w:eastAsia="Calibri"/>
                <w:bCs/>
                <w:szCs w:val="22"/>
              </w:rPr>
            </w:pPr>
            <w:r w:rsidRPr="00F11C9C">
              <w:rPr>
                <w:rFonts w:eastAsia="Calibri"/>
                <w:bCs/>
                <w:szCs w:val="22"/>
              </w:rPr>
              <w:t>The session user data consists of two fields: Length and Payload.</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11.3.2.3.1 Length</w:t>
            </w:r>
          </w:p>
          <w:p w:rsidR="00F11C9C" w:rsidRPr="00F11C9C" w:rsidRDefault="00F11C9C" w:rsidP="00F11C9C">
            <w:pPr>
              <w:tabs>
                <w:tab w:val="left" w:pos="0"/>
              </w:tabs>
              <w:ind w:left="0" w:firstLine="0"/>
              <w:rPr>
                <w:rFonts w:eastAsia="Calibri"/>
                <w:bCs/>
                <w:szCs w:val="22"/>
              </w:rPr>
            </w:pPr>
            <w:r w:rsidRPr="00F11C9C">
              <w:rPr>
                <w:rFonts w:eastAsia="Calibri"/>
                <w:bCs/>
                <w:szCs w:val="22"/>
              </w:rPr>
              <w:t>The maximum size of the Length is based upon the maximum packet size for SPDU Length.  The maximum value may be no greater than the SPDU Length – 14 – Signature Size.</w:t>
            </w:r>
          </w:p>
          <w:p w:rsidR="00F11C9C" w:rsidRPr="00F11C9C" w:rsidRDefault="00F11C9C" w:rsidP="00F11C9C">
            <w:pPr>
              <w:tabs>
                <w:tab w:val="left" w:pos="0"/>
              </w:tabs>
              <w:ind w:left="0" w:firstLine="0"/>
              <w:rPr>
                <w:rFonts w:eastAsia="Calibri"/>
                <w:bCs/>
                <w:szCs w:val="22"/>
              </w:rPr>
            </w:pPr>
            <w:r w:rsidRPr="00F11C9C">
              <w:rPr>
                <w:rFonts w:eastAsia="Calibri"/>
                <w:bCs/>
                <w:szCs w:val="22"/>
              </w:rPr>
              <w:t>The Length attribute shall be a four (4) octet field that is an Unsigned Integer value. One-hundred octets shall be reserved for the Signature part of User Data.</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Therefore, the allowed maximum value, for this version, is 65 399 octets.</w:t>
            </w:r>
          </w:p>
          <w:p w:rsidR="00F11C9C" w:rsidRPr="00F11C9C" w:rsidRDefault="00F11C9C" w:rsidP="00F11C9C">
            <w:pPr>
              <w:tabs>
                <w:tab w:val="left" w:pos="0"/>
              </w:tabs>
              <w:ind w:left="0" w:firstLine="0"/>
              <w:rPr>
                <w:rFonts w:eastAsia="Calibri"/>
                <w:bCs/>
                <w:szCs w:val="22"/>
              </w:rPr>
            </w:pPr>
            <w:r w:rsidRPr="00F11C9C">
              <w:rPr>
                <w:rFonts w:eastAsia="Calibri"/>
                <w:bCs/>
                <w:szCs w:val="22"/>
              </w:rPr>
              <w:t>The value shall be the length of all of the octets in the payload. It shall not include the Signature.</w:t>
            </w:r>
          </w:p>
          <w:p w:rsidR="00F11C9C" w:rsidRPr="00F11C9C" w:rsidRDefault="00F11C9C" w:rsidP="00F11C9C">
            <w:pPr>
              <w:tabs>
                <w:tab w:val="left" w:pos="0"/>
              </w:tabs>
              <w:ind w:left="0" w:firstLine="0"/>
              <w:rPr>
                <w:rFonts w:eastAsia="Calibri"/>
                <w:b/>
                <w:bCs/>
                <w:szCs w:val="22"/>
              </w:rPr>
            </w:pPr>
            <w:bookmarkStart w:id="48" w:name="_TOC_250022"/>
            <w:r w:rsidRPr="00F11C9C">
              <w:rPr>
                <w:rFonts w:eastAsia="Calibri"/>
                <w:b/>
                <w:bCs/>
                <w:szCs w:val="22"/>
              </w:rPr>
              <w:t>11.3.3 P</w:t>
            </w:r>
            <w:bookmarkEnd w:id="48"/>
            <w:r w:rsidRPr="00F11C9C">
              <w:rPr>
                <w:rFonts w:eastAsia="Calibri"/>
                <w:b/>
                <w:bCs/>
                <w:szCs w:val="22"/>
              </w:rPr>
              <w:t>ayload</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The payload section, as shown in </w:t>
            </w:r>
            <w:hyperlink w:anchor="_bookmark42" w:history="1">
              <w:r w:rsidRPr="00F11C9C">
                <w:rPr>
                  <w:rFonts w:eastAsia="Calibri"/>
                  <w:bCs/>
                  <w:szCs w:val="22"/>
                </w:rPr>
                <w:t xml:space="preserve">Figure 25, </w:t>
              </w:r>
            </w:hyperlink>
            <w:r w:rsidRPr="00F11C9C">
              <w:rPr>
                <w:rFonts w:eastAsia="Calibri"/>
                <w:bCs/>
                <w:szCs w:val="22"/>
              </w:rPr>
              <w:t xml:space="preserve">allows multiple user data PDUs to be aggregated within one SPDU. The types of PDUs that can be aggregated are constrained by the Session Identifier (SI) of the SPDU (see page </w:t>
            </w:r>
            <w:hyperlink w:anchor="_bookmark43" w:history="1">
              <w:r w:rsidRPr="00F11C9C">
                <w:rPr>
                  <w:rFonts w:eastAsia="Calibri"/>
                  <w:bCs/>
                  <w:szCs w:val="22"/>
                </w:rPr>
                <w:t>73</w:t>
              </w:r>
            </w:hyperlink>
            <w:r w:rsidRPr="00F11C9C">
              <w:rPr>
                <w:rFonts w:eastAsia="Calibri"/>
                <w:bCs/>
                <w:szCs w:val="22"/>
              </w:rPr>
              <w:t>)</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11.3.3.1 Common payload attributes</w:t>
            </w:r>
          </w:p>
          <w:p w:rsidR="00F11C9C" w:rsidRPr="00F11C9C" w:rsidRDefault="00F11C9C" w:rsidP="00F11C9C">
            <w:pPr>
              <w:tabs>
                <w:tab w:val="left" w:pos="0"/>
              </w:tabs>
              <w:ind w:left="0" w:firstLine="0"/>
              <w:rPr>
                <w:rFonts w:eastAsia="Calibri"/>
                <w:bCs/>
                <w:szCs w:val="22"/>
              </w:rPr>
            </w:pPr>
            <w:r w:rsidRPr="00F11C9C">
              <w:rPr>
                <w:rFonts w:eastAsia="Calibri"/>
                <w:bCs/>
                <w:szCs w:val="22"/>
              </w:rPr>
              <w:t>The payloads of GOOSE, SV, or Tunnelled have two (2) common attributes: Simulation and APPID.</w:t>
            </w:r>
          </w:p>
          <w:p w:rsidR="00F11C9C" w:rsidRPr="00F11C9C" w:rsidRDefault="00F11C9C" w:rsidP="00F11C9C">
            <w:pPr>
              <w:tabs>
                <w:tab w:val="left" w:pos="0"/>
              </w:tabs>
              <w:ind w:left="0" w:firstLine="0"/>
              <w:rPr>
                <w:rFonts w:eastAsia="Calibri"/>
                <w:bCs/>
                <w:szCs w:val="22"/>
              </w:rPr>
            </w:pPr>
            <w:r w:rsidRPr="00F11C9C">
              <w:rPr>
                <w:rFonts w:eastAsia="Calibri"/>
                <w:bCs/>
                <w:szCs w:val="22"/>
              </w:rPr>
              <w:t>The common values are part of a sequence that begins with a tag that specifies the type of payload. The values for the different payload_type_tag(s) are</w:t>
            </w:r>
          </w:p>
          <w:p w:rsidR="00F11C9C" w:rsidRPr="00F11C9C" w:rsidRDefault="00F11C9C" w:rsidP="00472036">
            <w:pPr>
              <w:pStyle w:val="ListParagraph"/>
              <w:numPr>
                <w:ilvl w:val="0"/>
                <w:numId w:val="24"/>
              </w:numPr>
              <w:tabs>
                <w:tab w:val="left" w:pos="0"/>
              </w:tabs>
              <w:spacing w:after="0"/>
              <w:ind w:left="0" w:firstLine="0"/>
              <w:rPr>
                <w:rFonts w:eastAsia="Calibri"/>
                <w:bCs/>
                <w:szCs w:val="22"/>
              </w:rPr>
            </w:pPr>
            <w:r w:rsidRPr="00F11C9C">
              <w:rPr>
                <w:rFonts w:eastAsia="Calibri"/>
                <w:bCs/>
                <w:szCs w:val="22"/>
              </w:rPr>
              <w:t>GOOSE – shall be indicated by a tag value of 81 hexadecimal.</w:t>
            </w:r>
          </w:p>
          <w:p w:rsidR="00F11C9C" w:rsidRPr="00F11C9C" w:rsidRDefault="00F11C9C" w:rsidP="00472036">
            <w:pPr>
              <w:pStyle w:val="ListParagraph"/>
              <w:numPr>
                <w:ilvl w:val="0"/>
                <w:numId w:val="24"/>
              </w:numPr>
              <w:tabs>
                <w:tab w:val="left" w:pos="0"/>
              </w:tabs>
              <w:spacing w:after="0"/>
              <w:ind w:left="0" w:firstLine="0"/>
              <w:rPr>
                <w:rFonts w:eastAsia="Calibri"/>
                <w:bCs/>
                <w:szCs w:val="22"/>
              </w:rPr>
            </w:pPr>
            <w:r w:rsidRPr="00F11C9C">
              <w:rPr>
                <w:rFonts w:eastAsia="Calibri"/>
                <w:bCs/>
                <w:szCs w:val="22"/>
              </w:rPr>
              <w:t>SV – shall be indicated by a tag value of 82 hexadecimal</w:t>
            </w:r>
          </w:p>
          <w:p w:rsidR="00F11C9C" w:rsidRPr="00F11C9C" w:rsidRDefault="00F11C9C" w:rsidP="00472036">
            <w:pPr>
              <w:pStyle w:val="ListParagraph"/>
              <w:numPr>
                <w:ilvl w:val="0"/>
                <w:numId w:val="24"/>
              </w:numPr>
              <w:tabs>
                <w:tab w:val="left" w:pos="0"/>
              </w:tabs>
              <w:spacing w:after="0"/>
              <w:ind w:left="0" w:firstLine="0"/>
              <w:rPr>
                <w:rFonts w:eastAsia="Calibri"/>
                <w:bCs/>
                <w:szCs w:val="22"/>
              </w:rPr>
            </w:pPr>
            <w:r w:rsidRPr="00F11C9C">
              <w:rPr>
                <w:rFonts w:eastAsia="Calibri"/>
                <w:bCs/>
                <w:szCs w:val="22"/>
              </w:rPr>
              <w:t>Tunnel – shall be indicated by a tag value of 83 hexadecimal.</w:t>
            </w:r>
          </w:p>
          <w:p w:rsidR="00F11C9C" w:rsidRPr="00F11C9C" w:rsidRDefault="00F11C9C" w:rsidP="00472036">
            <w:pPr>
              <w:pStyle w:val="ListParagraph"/>
              <w:numPr>
                <w:ilvl w:val="0"/>
                <w:numId w:val="24"/>
              </w:numPr>
              <w:tabs>
                <w:tab w:val="left" w:pos="0"/>
              </w:tabs>
              <w:spacing w:after="0"/>
              <w:ind w:left="0" w:firstLine="0"/>
              <w:rPr>
                <w:rFonts w:eastAsia="Calibri"/>
                <w:bCs/>
                <w:szCs w:val="22"/>
              </w:rPr>
            </w:pPr>
            <w:r w:rsidRPr="00F11C9C">
              <w:rPr>
                <w:rFonts w:eastAsia="Calibri"/>
                <w:bCs/>
                <w:szCs w:val="22"/>
              </w:rPr>
              <w:t>MNGT – shall be indicated by a tag value of 84 hexadecimal.</w:t>
            </w:r>
          </w:p>
          <w:p w:rsidR="00F11C9C" w:rsidRPr="00F11C9C" w:rsidRDefault="00F11C9C" w:rsidP="00F11C9C">
            <w:pPr>
              <w:tabs>
                <w:tab w:val="left" w:pos="0"/>
              </w:tabs>
              <w:ind w:left="0" w:firstLine="0"/>
              <w:rPr>
                <w:rFonts w:eastAsia="Calibri"/>
                <w:bCs/>
                <w:szCs w:val="22"/>
              </w:rPr>
            </w:pPr>
            <w:r w:rsidRPr="00F11C9C">
              <w:rPr>
                <w:rFonts w:eastAsia="Calibri"/>
                <w:bCs/>
                <w:szCs w:val="22"/>
              </w:rPr>
              <w:t>The production for the parload type is:</w:t>
            </w:r>
          </w:p>
          <w:p w:rsidR="00F11C9C" w:rsidRPr="00F11C9C" w:rsidRDefault="00F11C9C" w:rsidP="00F11C9C">
            <w:pPr>
              <w:tabs>
                <w:tab w:val="left" w:pos="0"/>
              </w:tabs>
              <w:ind w:left="0" w:firstLine="0"/>
              <w:rPr>
                <w:rFonts w:eastAsia="Calibri"/>
                <w:bCs/>
                <w:szCs w:val="22"/>
              </w:rPr>
            </w:pPr>
            <w:r w:rsidRPr="00F11C9C">
              <w:rPr>
                <w:rFonts w:eastAsia="Calibri"/>
                <w:bCs/>
                <w:szCs w:val="22"/>
              </w:rPr>
              <w:t>Payload type:=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Payload type tag</w:t>
            </w:r>
          </w:p>
          <w:p w:rsidR="00F11C9C" w:rsidRPr="00F11C9C" w:rsidRDefault="00F11C9C" w:rsidP="00F11C9C">
            <w:pPr>
              <w:tabs>
                <w:tab w:val="left" w:pos="0"/>
              </w:tabs>
              <w:ind w:left="0" w:firstLine="0"/>
              <w:rPr>
                <w:rFonts w:eastAsia="Calibri"/>
                <w:bCs/>
                <w:szCs w:val="22"/>
              </w:rPr>
            </w:pPr>
            <w:r w:rsidRPr="00F11C9C">
              <w:rPr>
                <w:rFonts w:eastAsia="Calibri"/>
                <w:bCs/>
                <w:szCs w:val="22"/>
              </w:rPr>
              <w:t>Simulation</w:t>
            </w:r>
          </w:p>
          <w:p w:rsidR="00F11C9C" w:rsidRPr="00F11C9C" w:rsidRDefault="00F11C9C" w:rsidP="00F11C9C">
            <w:pPr>
              <w:tabs>
                <w:tab w:val="left" w:pos="0"/>
              </w:tabs>
              <w:ind w:left="0" w:firstLine="0"/>
              <w:rPr>
                <w:rFonts w:eastAsia="Calibri"/>
                <w:bCs/>
                <w:szCs w:val="22"/>
              </w:rPr>
            </w:pPr>
            <w:r w:rsidRPr="00F11C9C">
              <w:rPr>
                <w:rFonts w:eastAsia="Calibri"/>
                <w:bCs/>
                <w:szCs w:val="22"/>
              </w:rPr>
              <w:t>APPID,</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The following subclauses define these common values.</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11.3.3.2 Simulation</w:t>
            </w:r>
          </w:p>
          <w:p w:rsidR="00F11C9C" w:rsidRPr="00F11C9C" w:rsidRDefault="00F11C9C" w:rsidP="00F11C9C">
            <w:pPr>
              <w:tabs>
                <w:tab w:val="left" w:pos="0"/>
              </w:tabs>
              <w:ind w:left="0" w:firstLine="0"/>
              <w:rPr>
                <w:rFonts w:eastAsia="Calibri"/>
                <w:bCs/>
                <w:szCs w:val="22"/>
              </w:rPr>
            </w:pPr>
            <w:r w:rsidRPr="00F11C9C">
              <w:rPr>
                <w:rFonts w:eastAsia="Calibri"/>
                <w:bCs/>
                <w:szCs w:val="22"/>
              </w:rPr>
              <w:t>Simulation  shall  be  a  BOOLEAN  value  (e.g.  one  octet)   and  shall   be  as  defined  in   IEC 61850-8-1.</w:t>
            </w:r>
          </w:p>
          <w:p w:rsidR="00F11C9C" w:rsidRPr="00F11C9C" w:rsidRDefault="00F11C9C" w:rsidP="00F11C9C">
            <w:pPr>
              <w:tabs>
                <w:tab w:val="left" w:pos="0"/>
              </w:tabs>
              <w:ind w:left="0" w:firstLine="0"/>
              <w:rPr>
                <w:rFonts w:eastAsia="Calibri"/>
                <w:bCs/>
                <w:szCs w:val="22"/>
              </w:rPr>
            </w:pPr>
            <w:r w:rsidRPr="00F11C9C">
              <w:rPr>
                <w:rFonts w:eastAsia="Calibri"/>
                <w:bCs/>
                <w:szCs w:val="22"/>
              </w:rPr>
              <w:t>11.3.3.3 APPID</w:t>
            </w:r>
          </w:p>
          <w:p w:rsidR="00F11C9C" w:rsidRPr="00F11C9C" w:rsidRDefault="00F11C9C" w:rsidP="00F11C9C">
            <w:pPr>
              <w:tabs>
                <w:tab w:val="left" w:pos="0"/>
              </w:tabs>
              <w:ind w:left="0" w:firstLine="0"/>
              <w:rPr>
                <w:rFonts w:eastAsia="Calibri"/>
                <w:bCs/>
                <w:szCs w:val="22"/>
              </w:rPr>
            </w:pPr>
            <w:r w:rsidRPr="00F11C9C">
              <w:rPr>
                <w:rFonts w:eastAsia="Calibri"/>
                <w:bCs/>
                <w:szCs w:val="22"/>
              </w:rPr>
              <w:t>The APPID shall be a two (2) octet value and shall be as defined in IEC 61850-8-1.</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lastRenderedPageBreak/>
              <w:t>11.3.3.4 GOOSEpayload</w:t>
            </w:r>
          </w:p>
          <w:p w:rsidR="00F11C9C" w:rsidRPr="00F11C9C" w:rsidRDefault="00F11C9C" w:rsidP="00F11C9C">
            <w:pPr>
              <w:tabs>
                <w:tab w:val="left" w:pos="0"/>
              </w:tabs>
              <w:ind w:left="0" w:firstLine="0"/>
              <w:rPr>
                <w:rFonts w:eastAsia="Calibri"/>
                <w:bCs/>
                <w:szCs w:val="22"/>
              </w:rPr>
            </w:pPr>
            <w:r w:rsidRPr="00F11C9C">
              <w:rPr>
                <w:rFonts w:eastAsia="Calibri"/>
                <w:bCs/>
                <w:szCs w:val="22"/>
              </w:rPr>
              <w:t>The GOOSE payload type is defined as:</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GOOSE_payload_type::=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payload_type_tag,</w:t>
            </w:r>
            <w:r w:rsidRPr="00F11C9C">
              <w:rPr>
                <w:rFonts w:eastAsia="Calibri"/>
                <w:bCs/>
                <w:szCs w:val="22"/>
              </w:rPr>
              <w:tab/>
              <w:t xml:space="preserve">--shall be a value of 81 hexadecimal </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simulation </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APPID,</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APDU Length,</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GOOSE APDU</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The APDU Length is a two octet value, unsigned integer value, and contains the value of the number of octets of the GOOSE APDU.</w:t>
            </w:r>
          </w:p>
          <w:p w:rsidR="00F11C9C" w:rsidRPr="00F11C9C" w:rsidRDefault="00F11C9C" w:rsidP="00F11C9C">
            <w:pPr>
              <w:tabs>
                <w:tab w:val="left" w:pos="0"/>
              </w:tabs>
              <w:ind w:left="0" w:firstLine="0"/>
              <w:rPr>
                <w:rFonts w:eastAsia="Calibri"/>
                <w:bCs/>
                <w:szCs w:val="22"/>
              </w:rPr>
            </w:pPr>
            <w:r w:rsidRPr="00F11C9C">
              <w:rPr>
                <w:rFonts w:eastAsia="Calibri"/>
                <w:bCs/>
                <w:szCs w:val="22"/>
              </w:rPr>
              <w:t>A GOOSE APDU is defined as the goosePdu as defined in IEC 61850-8-1.</w:t>
            </w:r>
          </w:p>
          <w:p w:rsidR="00F11C9C" w:rsidRPr="00F11C9C" w:rsidRDefault="00F11C9C" w:rsidP="00F11C9C">
            <w:pPr>
              <w:tabs>
                <w:tab w:val="left" w:pos="0"/>
              </w:tabs>
              <w:ind w:left="0" w:firstLine="0"/>
              <w:rPr>
                <w:rFonts w:eastAsia="Calibri"/>
                <w:bCs/>
                <w:szCs w:val="22"/>
              </w:rPr>
            </w:pPr>
            <w:r w:rsidRPr="00F11C9C">
              <w:rPr>
                <w:rFonts w:eastAsia="Calibri"/>
                <w:bCs/>
                <w:szCs w:val="22"/>
              </w:rPr>
              <w:t>The normative ASN.1 productions can be found in IEC 61850-8-1 and the following are  provided for information only.</w:t>
            </w:r>
          </w:p>
          <w:p w:rsidR="00F11C9C" w:rsidRPr="00F11C9C" w:rsidRDefault="00F11C9C" w:rsidP="00F11C9C">
            <w:pPr>
              <w:tabs>
                <w:tab w:val="left" w:pos="0"/>
              </w:tabs>
              <w:ind w:left="0" w:firstLine="0"/>
              <w:rPr>
                <w:rFonts w:eastAsia="Calibri"/>
                <w:bCs/>
                <w:szCs w:val="22"/>
              </w:rPr>
            </w:pPr>
            <w:r w:rsidRPr="00F11C9C">
              <w:rPr>
                <w:rFonts w:eastAsia="Calibri"/>
                <w:bCs/>
                <w:szCs w:val="22"/>
              </w:rPr>
              <w:t>IEC 61850-8-1 Specific Protocol::= CHOICE{</w:t>
            </w:r>
          </w:p>
          <w:p w:rsidR="00F11C9C" w:rsidRPr="00F11C9C" w:rsidRDefault="00F11C9C" w:rsidP="00F11C9C">
            <w:pPr>
              <w:pStyle w:val="BodyText"/>
              <w:tabs>
                <w:tab w:val="left" w:pos="0"/>
                <w:tab w:val="left" w:pos="4156"/>
              </w:tabs>
              <w:spacing w:before="1" w:line="276" w:lineRule="auto"/>
              <w:rPr>
                <w:rFonts w:eastAsia="Calibri"/>
                <w:sz w:val="24"/>
                <w:szCs w:val="22"/>
                <w:lang w:val="mn-MN"/>
              </w:rPr>
            </w:pPr>
            <w:r w:rsidRPr="00F11C9C">
              <w:rPr>
                <w:rFonts w:eastAsia="Calibri"/>
                <w:sz w:val="24"/>
                <w:szCs w:val="22"/>
                <w:lang w:val="mn-MN"/>
              </w:rPr>
              <w:t>GseMngtPdu            [APPLICATION 0] IMPLICITGSEMngtPdu,</w:t>
            </w:r>
          </w:p>
          <w:p w:rsidR="00F11C9C" w:rsidRPr="00F11C9C" w:rsidRDefault="00F11C9C" w:rsidP="00F11C9C">
            <w:pPr>
              <w:pStyle w:val="BodyText"/>
              <w:tabs>
                <w:tab w:val="left" w:pos="0"/>
                <w:tab w:val="left" w:pos="4155"/>
              </w:tabs>
              <w:spacing w:line="276" w:lineRule="auto"/>
              <w:rPr>
                <w:rFonts w:eastAsia="Calibri"/>
                <w:sz w:val="24"/>
                <w:szCs w:val="22"/>
                <w:lang w:val="mn-MN"/>
              </w:rPr>
            </w:pPr>
            <w:r w:rsidRPr="00F11C9C">
              <w:rPr>
                <w:rFonts w:eastAsia="Calibri"/>
                <w:sz w:val="24"/>
                <w:szCs w:val="22"/>
                <w:lang w:val="mn-MN"/>
              </w:rPr>
              <w:t>goosePdu                 [APPLICATION 1] IMPLICITIECGoosePdu,</w:t>
            </w:r>
          </w:p>
          <w:p w:rsidR="00F11C9C" w:rsidRPr="00F11C9C" w:rsidRDefault="00F11C9C" w:rsidP="00F11C9C">
            <w:pPr>
              <w:pStyle w:val="BodyText"/>
              <w:tabs>
                <w:tab w:val="left" w:pos="0"/>
              </w:tabs>
              <w:spacing w:before="102" w:line="276" w:lineRule="auto"/>
              <w:rPr>
                <w:rFonts w:eastAsia="Calibri"/>
                <w:sz w:val="24"/>
                <w:szCs w:val="22"/>
                <w:lang w:val="mn-MN"/>
              </w:rPr>
            </w:pPr>
            <w:r w:rsidRPr="00F11C9C">
              <w:rPr>
                <w:rFonts w:eastAsia="Calibri"/>
                <w:sz w:val="24"/>
                <w:szCs w:val="22"/>
                <w:lang w:val="mn-MN"/>
              </w:rPr>
              <w:t>… }</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IECGoosePdu::= SEQUENCE {</w:t>
            </w:r>
          </w:p>
          <w:p w:rsidR="00F11C9C" w:rsidRPr="00F11C9C" w:rsidRDefault="00F11C9C" w:rsidP="00F11C9C">
            <w:pPr>
              <w:pStyle w:val="BodyText"/>
              <w:tabs>
                <w:tab w:val="left" w:pos="0"/>
                <w:tab w:val="left" w:pos="4155"/>
                <w:tab w:val="left" w:pos="4875"/>
              </w:tabs>
              <w:spacing w:line="276" w:lineRule="auto"/>
              <w:rPr>
                <w:rFonts w:eastAsia="Calibri"/>
                <w:sz w:val="24"/>
                <w:szCs w:val="22"/>
                <w:lang w:val="mn-MN"/>
              </w:rPr>
            </w:pPr>
            <w:r w:rsidRPr="00F11C9C">
              <w:rPr>
                <w:rFonts w:eastAsia="Calibri"/>
                <w:sz w:val="24"/>
                <w:szCs w:val="22"/>
                <w:lang w:val="mn-MN"/>
              </w:rPr>
              <w:t>gocbRef                   [0] IMPLICITVISIBLE-STRING,</w:t>
            </w:r>
          </w:p>
          <w:p w:rsidR="00F11C9C" w:rsidRPr="00F11C9C" w:rsidRDefault="00F11C9C" w:rsidP="00F11C9C">
            <w:pPr>
              <w:pStyle w:val="BodyText"/>
              <w:tabs>
                <w:tab w:val="left" w:pos="0"/>
                <w:tab w:val="left" w:pos="4155"/>
                <w:tab w:val="left" w:pos="4874"/>
              </w:tabs>
              <w:spacing w:line="276" w:lineRule="auto"/>
              <w:rPr>
                <w:rFonts w:eastAsia="Calibri"/>
                <w:sz w:val="24"/>
                <w:szCs w:val="22"/>
                <w:lang w:val="mn-MN"/>
              </w:rPr>
            </w:pPr>
            <w:r w:rsidRPr="00F11C9C">
              <w:rPr>
                <w:rFonts w:eastAsia="Calibri"/>
                <w:sz w:val="24"/>
                <w:szCs w:val="22"/>
                <w:lang w:val="mn-MN"/>
              </w:rPr>
              <w:t>timeAllowedtoLive    [1] IMPLICITINTEGER,</w:t>
            </w:r>
          </w:p>
          <w:p w:rsidR="00F11C9C" w:rsidRPr="00F11C9C" w:rsidRDefault="00F11C9C" w:rsidP="00F11C9C">
            <w:pPr>
              <w:pStyle w:val="BodyText"/>
              <w:tabs>
                <w:tab w:val="left" w:pos="0"/>
                <w:tab w:val="left" w:pos="4154"/>
                <w:tab w:val="left" w:pos="4874"/>
              </w:tabs>
              <w:spacing w:line="276" w:lineRule="auto"/>
              <w:rPr>
                <w:rFonts w:eastAsia="Calibri"/>
                <w:sz w:val="24"/>
                <w:szCs w:val="22"/>
                <w:lang w:val="mn-MN"/>
              </w:rPr>
            </w:pPr>
            <w:r w:rsidRPr="00F11C9C">
              <w:rPr>
                <w:rFonts w:eastAsia="Calibri"/>
                <w:sz w:val="24"/>
                <w:szCs w:val="22"/>
                <w:lang w:val="mn-MN"/>
              </w:rPr>
              <w:t>datSet                      [2] IMPLICITVISIBLE-STRING,</w:t>
            </w:r>
          </w:p>
          <w:p w:rsidR="00F11C9C" w:rsidRPr="00F11C9C" w:rsidRDefault="00F11C9C" w:rsidP="00F11C9C">
            <w:pPr>
              <w:pStyle w:val="BodyText"/>
              <w:tabs>
                <w:tab w:val="left" w:pos="0"/>
                <w:tab w:val="left" w:pos="4154"/>
                <w:tab w:val="left" w:pos="4874"/>
              </w:tabs>
              <w:spacing w:line="276" w:lineRule="auto"/>
              <w:rPr>
                <w:rFonts w:eastAsia="Calibri"/>
                <w:sz w:val="24"/>
                <w:szCs w:val="22"/>
                <w:lang w:val="mn-MN"/>
              </w:rPr>
            </w:pPr>
            <w:r w:rsidRPr="00F11C9C">
              <w:rPr>
                <w:rFonts w:eastAsia="Calibri"/>
                <w:sz w:val="24"/>
                <w:szCs w:val="22"/>
                <w:lang w:val="mn-MN"/>
              </w:rPr>
              <w:t>goID                         [3] IMPLICIT VISIBLE-STRINGOPTIONAL,</w:t>
            </w:r>
          </w:p>
          <w:p w:rsidR="00F11C9C" w:rsidRPr="00F11C9C" w:rsidRDefault="00F11C9C" w:rsidP="00F11C9C">
            <w:pPr>
              <w:pStyle w:val="BodyText"/>
              <w:tabs>
                <w:tab w:val="left" w:pos="0"/>
                <w:tab w:val="left" w:pos="4153"/>
                <w:tab w:val="left" w:pos="4873"/>
              </w:tabs>
              <w:spacing w:line="276" w:lineRule="auto"/>
              <w:rPr>
                <w:rFonts w:eastAsia="Calibri"/>
                <w:sz w:val="24"/>
                <w:szCs w:val="22"/>
                <w:lang w:val="mn-MN"/>
              </w:rPr>
            </w:pPr>
            <w:r w:rsidRPr="00F11C9C">
              <w:rPr>
                <w:rFonts w:eastAsia="Calibri"/>
                <w:sz w:val="24"/>
                <w:szCs w:val="22"/>
                <w:lang w:val="mn-MN"/>
              </w:rPr>
              <w:t>t                               [4] IMPLICITUtcTime,</w:t>
            </w:r>
          </w:p>
          <w:p w:rsidR="00F11C9C" w:rsidRPr="00F11C9C" w:rsidRDefault="00F11C9C" w:rsidP="00F11C9C">
            <w:pPr>
              <w:pStyle w:val="BodyText"/>
              <w:tabs>
                <w:tab w:val="left" w:pos="0"/>
                <w:tab w:val="left" w:pos="4153"/>
                <w:tab w:val="left" w:pos="4873"/>
              </w:tabs>
              <w:spacing w:line="276" w:lineRule="auto"/>
              <w:rPr>
                <w:rFonts w:eastAsia="Calibri"/>
                <w:sz w:val="24"/>
                <w:szCs w:val="22"/>
                <w:lang w:val="mn-MN"/>
              </w:rPr>
            </w:pPr>
            <w:r w:rsidRPr="00F11C9C">
              <w:rPr>
                <w:rFonts w:eastAsia="Calibri"/>
                <w:sz w:val="24"/>
                <w:szCs w:val="22"/>
                <w:lang w:val="mn-MN"/>
              </w:rPr>
              <w:t>stNum                      [5] IMPLICITINTEGER,</w:t>
            </w:r>
          </w:p>
          <w:p w:rsidR="00F11C9C" w:rsidRPr="00F11C9C" w:rsidRDefault="00F11C9C" w:rsidP="00F11C9C">
            <w:pPr>
              <w:pStyle w:val="BodyText"/>
              <w:tabs>
                <w:tab w:val="left" w:pos="0"/>
                <w:tab w:val="left" w:pos="4153"/>
                <w:tab w:val="left" w:pos="4873"/>
              </w:tabs>
              <w:spacing w:line="276" w:lineRule="auto"/>
              <w:rPr>
                <w:rFonts w:eastAsia="Calibri"/>
                <w:sz w:val="24"/>
                <w:szCs w:val="22"/>
                <w:lang w:val="mn-MN"/>
              </w:rPr>
            </w:pPr>
            <w:r w:rsidRPr="00F11C9C">
              <w:rPr>
                <w:rFonts w:eastAsia="Calibri"/>
                <w:sz w:val="24"/>
                <w:szCs w:val="22"/>
                <w:lang w:val="mn-MN"/>
              </w:rPr>
              <w:t>sqNum                     [6] IMPLICITINTEGER,</w:t>
            </w:r>
          </w:p>
          <w:p w:rsidR="00F11C9C" w:rsidRPr="00F11C9C" w:rsidRDefault="00F11C9C" w:rsidP="00F11C9C">
            <w:pPr>
              <w:pStyle w:val="BodyText"/>
              <w:tabs>
                <w:tab w:val="left" w:pos="0"/>
                <w:tab w:val="left" w:pos="4152"/>
                <w:tab w:val="left" w:pos="4872"/>
              </w:tabs>
              <w:spacing w:line="276" w:lineRule="auto"/>
              <w:rPr>
                <w:rFonts w:eastAsia="Calibri"/>
                <w:sz w:val="24"/>
                <w:szCs w:val="22"/>
                <w:lang w:val="mn-MN"/>
              </w:rPr>
            </w:pPr>
            <w:r w:rsidRPr="00F11C9C">
              <w:rPr>
                <w:rFonts w:eastAsia="Calibri"/>
                <w:sz w:val="24"/>
                <w:szCs w:val="22"/>
                <w:lang w:val="mn-MN"/>
              </w:rPr>
              <w:t>test                          [7] IMPLICIT BOOLEAN DEFAULTFALSE,</w:t>
            </w:r>
          </w:p>
          <w:p w:rsidR="00F11C9C" w:rsidRPr="00F11C9C" w:rsidRDefault="00F11C9C" w:rsidP="00F11C9C">
            <w:pPr>
              <w:pStyle w:val="BodyText"/>
              <w:tabs>
                <w:tab w:val="left" w:pos="0"/>
                <w:tab w:val="left" w:pos="4152"/>
                <w:tab w:val="left" w:pos="4872"/>
              </w:tabs>
              <w:spacing w:line="276" w:lineRule="auto"/>
              <w:rPr>
                <w:rFonts w:eastAsia="Calibri"/>
                <w:sz w:val="24"/>
                <w:szCs w:val="22"/>
                <w:lang w:val="mn-MN"/>
              </w:rPr>
            </w:pPr>
            <w:r w:rsidRPr="00F11C9C">
              <w:rPr>
                <w:rFonts w:eastAsia="Calibri"/>
                <w:sz w:val="24"/>
                <w:szCs w:val="22"/>
                <w:lang w:val="mn-MN"/>
              </w:rPr>
              <w:t>confRev                   [8] IMPLICITINTEGER,</w:t>
            </w:r>
          </w:p>
          <w:p w:rsidR="00F11C9C" w:rsidRPr="00F11C9C" w:rsidRDefault="00F11C9C" w:rsidP="00F11C9C">
            <w:pPr>
              <w:pStyle w:val="BodyText"/>
              <w:tabs>
                <w:tab w:val="left" w:pos="0"/>
                <w:tab w:val="left" w:pos="4152"/>
                <w:tab w:val="left" w:pos="4872"/>
              </w:tabs>
              <w:spacing w:line="276" w:lineRule="auto"/>
              <w:rPr>
                <w:rFonts w:eastAsia="Calibri"/>
                <w:sz w:val="24"/>
                <w:szCs w:val="22"/>
                <w:lang w:val="mn-MN"/>
              </w:rPr>
            </w:pPr>
            <w:r w:rsidRPr="00F11C9C">
              <w:rPr>
                <w:rFonts w:eastAsia="Calibri"/>
                <w:sz w:val="24"/>
                <w:szCs w:val="22"/>
                <w:lang w:val="mn-MN"/>
              </w:rPr>
              <w:lastRenderedPageBreak/>
              <w:t>ndsCom                   [9] IMPLICIT BOOLEAN DEFAULTFALSE,</w:t>
            </w:r>
          </w:p>
          <w:p w:rsidR="00F11C9C" w:rsidRPr="00F11C9C" w:rsidRDefault="00F11C9C" w:rsidP="00F11C9C">
            <w:pPr>
              <w:pStyle w:val="BodyText"/>
              <w:tabs>
                <w:tab w:val="left" w:pos="0"/>
                <w:tab w:val="left" w:pos="4152"/>
                <w:tab w:val="left" w:pos="4872"/>
              </w:tabs>
              <w:spacing w:line="276" w:lineRule="auto"/>
              <w:rPr>
                <w:rFonts w:eastAsia="Calibri"/>
                <w:sz w:val="24"/>
                <w:szCs w:val="22"/>
                <w:lang w:val="mn-MN"/>
              </w:rPr>
            </w:pPr>
            <w:r w:rsidRPr="00F11C9C">
              <w:rPr>
                <w:rFonts w:eastAsia="Calibri"/>
                <w:sz w:val="24"/>
                <w:szCs w:val="22"/>
                <w:lang w:val="mn-MN"/>
              </w:rPr>
              <w:t>numDatSetEntries   [10] IMPLICITINTEGER,</w:t>
            </w:r>
          </w:p>
          <w:p w:rsidR="00F11C9C" w:rsidRPr="00F11C9C" w:rsidRDefault="00F11C9C" w:rsidP="00F11C9C">
            <w:pPr>
              <w:pStyle w:val="BodyText"/>
              <w:tabs>
                <w:tab w:val="left" w:pos="0"/>
                <w:tab w:val="left" w:pos="4152"/>
                <w:tab w:val="left" w:pos="4871"/>
              </w:tabs>
              <w:spacing w:line="276" w:lineRule="auto"/>
              <w:rPr>
                <w:rFonts w:eastAsia="Calibri"/>
                <w:sz w:val="24"/>
                <w:szCs w:val="22"/>
                <w:lang w:val="mn-MN"/>
              </w:rPr>
            </w:pPr>
            <w:r w:rsidRPr="00F11C9C">
              <w:rPr>
                <w:rFonts w:eastAsia="Calibri"/>
                <w:sz w:val="24"/>
                <w:szCs w:val="22"/>
                <w:lang w:val="mn-MN"/>
              </w:rPr>
              <w:t>allData                    [11] IMPLICIT SEQUENCE-OFData</w:t>
            </w:r>
          </w:p>
          <w:p w:rsidR="00F11C9C" w:rsidRPr="00F11C9C" w:rsidRDefault="00F11C9C" w:rsidP="00F11C9C">
            <w:pPr>
              <w:pStyle w:val="BodyText"/>
              <w:tabs>
                <w:tab w:val="left" w:pos="0"/>
                <w:tab w:val="left" w:pos="4157"/>
                <w:tab w:val="left" w:pos="4871"/>
              </w:tabs>
              <w:spacing w:line="276" w:lineRule="auto"/>
              <w:rPr>
                <w:rFonts w:eastAsia="Calibri"/>
                <w:sz w:val="24"/>
                <w:szCs w:val="22"/>
                <w:lang w:val="mn-MN"/>
              </w:rPr>
            </w:pPr>
            <w:r w:rsidRPr="00F11C9C">
              <w:rPr>
                <w:rFonts w:eastAsia="Calibri"/>
                <w:sz w:val="24"/>
                <w:szCs w:val="22"/>
                <w:lang w:val="mn-MN"/>
              </w:rPr>
              <w:t>security                   [12] ANYOPTIONAL—reserved for digitalsignature</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11.3.3.5 Sampled valuepayload</w:t>
            </w:r>
          </w:p>
          <w:p w:rsidR="00F11C9C" w:rsidRPr="00F11C9C" w:rsidRDefault="00F11C9C" w:rsidP="00F11C9C">
            <w:pPr>
              <w:tabs>
                <w:tab w:val="left" w:pos="0"/>
              </w:tabs>
              <w:ind w:left="0" w:firstLine="0"/>
              <w:rPr>
                <w:rFonts w:eastAsia="Calibri"/>
                <w:bCs/>
                <w:szCs w:val="22"/>
              </w:rPr>
            </w:pPr>
            <w:r w:rsidRPr="00F11C9C">
              <w:rPr>
                <w:rFonts w:eastAsia="Calibri"/>
                <w:bCs/>
                <w:szCs w:val="22"/>
              </w:rPr>
              <w:t>The Sampled Value payload type is defined as:</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Sampled_Value_payload_type::= SEQUENCE {</w:t>
            </w:r>
          </w:p>
          <w:p w:rsidR="00F11C9C" w:rsidRPr="00F11C9C" w:rsidRDefault="00F11C9C" w:rsidP="00F11C9C">
            <w:pPr>
              <w:pStyle w:val="BodyText"/>
              <w:tabs>
                <w:tab w:val="left" w:pos="0"/>
                <w:tab w:val="left" w:pos="4158"/>
              </w:tabs>
              <w:spacing w:line="276" w:lineRule="auto"/>
              <w:ind w:right="2050"/>
              <w:rPr>
                <w:rFonts w:eastAsia="Calibri"/>
                <w:sz w:val="24"/>
                <w:szCs w:val="22"/>
                <w:lang w:val="mn-MN"/>
              </w:rPr>
            </w:pPr>
            <w:r w:rsidRPr="00F11C9C">
              <w:rPr>
                <w:rFonts w:eastAsia="Calibri"/>
                <w:sz w:val="24"/>
                <w:szCs w:val="22"/>
                <w:lang w:val="mn-MN"/>
              </w:rPr>
              <w:t>payload_type_tag,</w:t>
            </w:r>
            <w:r w:rsidRPr="00F11C9C">
              <w:rPr>
                <w:rFonts w:eastAsia="Calibri"/>
                <w:sz w:val="24"/>
                <w:szCs w:val="22"/>
                <w:lang w:val="mn-MN"/>
              </w:rPr>
              <w:tab/>
              <w:t>-- 82гэсэн арванзургаатын утга байнаsimulation,</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APPID,</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APDU Length,</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Sampled Value APDU</w:t>
            </w:r>
          </w:p>
          <w:p w:rsidR="00F11C9C" w:rsidRPr="00F11C9C" w:rsidRDefault="00F11C9C" w:rsidP="00F11C9C">
            <w:pPr>
              <w:pStyle w:val="BodyText"/>
              <w:tabs>
                <w:tab w:val="left" w:pos="0"/>
              </w:tabs>
              <w:spacing w:before="3"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The APDU Length is a two octet value, unsigned integer value, and contains the value of the number of octets of the Sampled Value APDU.</w:t>
            </w:r>
          </w:p>
          <w:p w:rsidR="00F11C9C" w:rsidRPr="00F11C9C" w:rsidRDefault="00F11C9C" w:rsidP="00F11C9C">
            <w:pPr>
              <w:tabs>
                <w:tab w:val="left" w:pos="0"/>
              </w:tabs>
              <w:ind w:left="0" w:firstLine="0"/>
              <w:rPr>
                <w:rFonts w:eastAsia="Calibri"/>
                <w:bCs/>
                <w:szCs w:val="22"/>
              </w:rPr>
            </w:pPr>
            <w:r w:rsidRPr="00F11C9C">
              <w:rPr>
                <w:rFonts w:eastAsia="Calibri"/>
                <w:bCs/>
                <w:szCs w:val="22"/>
              </w:rPr>
              <w:t>A Sampled Value APDU is defined as the savPdu as defined in IEC 61850-9-2.</w:t>
            </w:r>
          </w:p>
          <w:p w:rsidR="00F11C9C" w:rsidRPr="00F11C9C" w:rsidRDefault="00F11C9C" w:rsidP="00F11C9C">
            <w:pPr>
              <w:tabs>
                <w:tab w:val="left" w:pos="0"/>
              </w:tabs>
              <w:ind w:left="0" w:firstLine="0"/>
              <w:rPr>
                <w:rFonts w:eastAsia="Calibri"/>
                <w:bCs/>
                <w:szCs w:val="22"/>
              </w:rPr>
            </w:pPr>
            <w:r w:rsidRPr="00F11C9C">
              <w:rPr>
                <w:rFonts w:eastAsia="Calibri"/>
                <w:bCs/>
                <w:szCs w:val="22"/>
              </w:rPr>
              <w:t>The normative ASN.1 productions can be found in IEC 61850-8-1 and the following are  provided for information only.</w:t>
            </w:r>
          </w:p>
          <w:p w:rsidR="00F11C9C" w:rsidRPr="00F11C9C" w:rsidRDefault="00F11C9C" w:rsidP="00F11C9C">
            <w:pPr>
              <w:pStyle w:val="BodyText"/>
              <w:tabs>
                <w:tab w:val="left" w:pos="0"/>
              </w:tabs>
              <w:spacing w:before="196" w:line="276" w:lineRule="auto"/>
              <w:rPr>
                <w:rFonts w:eastAsia="Calibri"/>
                <w:sz w:val="24"/>
                <w:szCs w:val="22"/>
                <w:lang w:val="mn-MN"/>
              </w:rPr>
            </w:pPr>
            <w:r w:rsidRPr="00F11C9C">
              <w:rPr>
                <w:rFonts w:eastAsia="Calibri"/>
                <w:sz w:val="24"/>
                <w:szCs w:val="22"/>
                <w:lang w:val="mn-MN"/>
              </w:rPr>
              <w:t>IEC 61850-9-2 Specific Protocol::= CHOICE{</w:t>
            </w:r>
          </w:p>
          <w:p w:rsidR="00F11C9C" w:rsidRPr="00F11C9C" w:rsidRDefault="00F11C9C" w:rsidP="00F11C9C">
            <w:pPr>
              <w:pStyle w:val="BodyText"/>
              <w:tabs>
                <w:tab w:val="left" w:pos="0"/>
              </w:tabs>
              <w:spacing w:before="1" w:line="276" w:lineRule="auto"/>
              <w:ind w:right="2333"/>
              <w:rPr>
                <w:rFonts w:eastAsia="Calibri"/>
                <w:sz w:val="24"/>
                <w:szCs w:val="22"/>
                <w:lang w:val="mn-MN"/>
              </w:rPr>
            </w:pPr>
            <w:r w:rsidRPr="00F11C9C">
              <w:rPr>
                <w:rFonts w:eastAsia="Calibri"/>
                <w:sz w:val="24"/>
                <w:szCs w:val="22"/>
                <w:lang w:val="mn-MN"/>
              </w:rPr>
              <w:t>9-1-Pdu [0] IMPLICIT OCTET STRING, -- 9-1 APDU-д зориулж нөөцлөгдсөн Reserved for 9-1 APDU savPdu [APPLICATION 0] IMPLICITSavPdu}</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SavPdu::= SEQUENCE {</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 xml:space="preserve">noASDU [0] IMPLICIT INTEGER </w:t>
            </w:r>
            <w:r w:rsidRPr="00F11C9C">
              <w:rPr>
                <w:rFonts w:eastAsia="Calibri"/>
                <w:sz w:val="24"/>
                <w:szCs w:val="22"/>
                <w:lang w:val="mn-MN"/>
              </w:rPr>
              <w:lastRenderedPageBreak/>
              <w:t>(1..65535),</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security [1] ANY OPTIONAL,</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asdu [2] IMPLICIT SEQUENCE OFASDU</w:t>
            </w:r>
          </w:p>
          <w:p w:rsidR="00F11C9C" w:rsidRPr="00F11C9C" w:rsidRDefault="00F11C9C" w:rsidP="00F11C9C">
            <w:pPr>
              <w:tabs>
                <w:tab w:val="left" w:pos="0"/>
              </w:tabs>
              <w:ind w:left="0" w:firstLine="0"/>
              <w:rPr>
                <w:rFonts w:eastAsia="Calibri"/>
                <w:bCs/>
                <w:sz w:val="20"/>
                <w:szCs w:val="20"/>
              </w:rPr>
            </w:pPr>
            <w:r w:rsidRPr="00F11C9C">
              <w:rPr>
                <w:rFonts w:eastAsia="Calibri"/>
                <w:bCs/>
                <w:sz w:val="20"/>
                <w:szCs w:val="20"/>
              </w:rPr>
              <w:t>NOTE    The savPdu and gseMngtPdu have the same ASN.1 tag (e.g. APPLICATION 0). There is no conflict since    the gseMngtPdu is out of the scope of IEC/TR 61850-90-5. Since the tags for the  goosePdu  and  savPdu  are different, no additional tagging is needed for differentiation within the user payload. This is important should the specification ever need to send GOOSE and SV in a single user payload.</w:t>
            </w: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Cs/>
                <w:szCs w:val="22"/>
              </w:rPr>
            </w:pP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11.3.3.6 MNGT payload</w:t>
            </w:r>
          </w:p>
          <w:p w:rsidR="00F11C9C" w:rsidRPr="00F11C9C" w:rsidRDefault="00F11C9C" w:rsidP="00F11C9C">
            <w:pPr>
              <w:pStyle w:val="BodyText"/>
              <w:tabs>
                <w:tab w:val="left" w:pos="0"/>
              </w:tabs>
              <w:spacing w:before="1" w:line="276" w:lineRule="auto"/>
              <w:rPr>
                <w:rFonts w:eastAsia="Calibri"/>
                <w:sz w:val="24"/>
                <w:szCs w:val="22"/>
                <w:lang w:val="mn-MN"/>
              </w:rPr>
            </w:pPr>
            <w:r w:rsidRPr="00F11C9C">
              <w:rPr>
                <w:rFonts w:eastAsia="Calibri"/>
                <w:sz w:val="24"/>
                <w:szCs w:val="22"/>
                <w:lang w:val="mn-MN"/>
              </w:rPr>
              <w:t>The MNGT payload type is defined as:</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MNGT_payload_type::= SEQUENCE{</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 xml:space="preserve">Payload_type_tag –shall be a value of 84 hexadecimal </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Simulation</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APPID</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APDU,</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APDU Length</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MNGT APDU</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The APDU Length is a two octet value, unsigned integer value, and contains the value of the number of octets of the MNGT APDU.</w:t>
            </w:r>
          </w:p>
          <w:p w:rsidR="00F11C9C" w:rsidRPr="00F11C9C" w:rsidRDefault="00F11C9C" w:rsidP="00F11C9C">
            <w:pPr>
              <w:tabs>
                <w:tab w:val="left" w:pos="0"/>
              </w:tabs>
              <w:ind w:left="0" w:firstLine="0"/>
              <w:rPr>
                <w:rFonts w:eastAsia="Calibri"/>
                <w:bCs/>
                <w:szCs w:val="22"/>
              </w:rPr>
            </w:pPr>
            <w:r w:rsidRPr="00F11C9C">
              <w:rPr>
                <w:rFonts w:eastAsia="Calibri"/>
                <w:bCs/>
                <w:szCs w:val="22"/>
              </w:rPr>
              <w:t>A MNGT APDU is defined as the gseMngtPdu.</w:t>
            </w:r>
          </w:p>
          <w:p w:rsidR="00F11C9C" w:rsidRPr="00F11C9C" w:rsidRDefault="00F11C9C" w:rsidP="00F11C9C">
            <w:pPr>
              <w:tabs>
                <w:tab w:val="left" w:pos="0"/>
              </w:tabs>
              <w:ind w:left="0" w:firstLine="0"/>
              <w:rPr>
                <w:rFonts w:eastAsia="Calibri"/>
                <w:bCs/>
                <w:szCs w:val="22"/>
              </w:rPr>
            </w:pPr>
            <w:r w:rsidRPr="00F11C9C">
              <w:rPr>
                <w:rFonts w:eastAsia="Calibri"/>
                <w:bCs/>
                <w:szCs w:val="22"/>
              </w:rPr>
              <w:t>This clause adds additional service definitions to those defined in IEC 61805-8-1. The ASN.1 productions shall be:</w:t>
            </w:r>
          </w:p>
          <w:p w:rsidR="00F11C9C" w:rsidRPr="00F11C9C" w:rsidRDefault="00F11C9C" w:rsidP="00F11C9C">
            <w:pPr>
              <w:pStyle w:val="BodyText"/>
              <w:tabs>
                <w:tab w:val="left" w:pos="0"/>
                <w:tab w:val="left" w:pos="4157"/>
              </w:tabs>
              <w:spacing w:line="276" w:lineRule="auto"/>
              <w:ind w:right="2464"/>
              <w:rPr>
                <w:rFonts w:eastAsia="Calibri"/>
                <w:sz w:val="24"/>
                <w:szCs w:val="22"/>
                <w:lang w:val="mn-MN"/>
              </w:rPr>
            </w:pPr>
          </w:p>
          <w:p w:rsidR="00F11C9C" w:rsidRPr="00F11C9C" w:rsidRDefault="00F11C9C" w:rsidP="00F11C9C">
            <w:pPr>
              <w:tabs>
                <w:tab w:val="left" w:pos="0"/>
              </w:tabs>
              <w:ind w:left="0" w:firstLine="0"/>
              <w:rPr>
                <w:rFonts w:eastAsia="Calibri"/>
                <w:bCs/>
                <w:szCs w:val="22"/>
              </w:rPr>
            </w:pPr>
            <w:r w:rsidRPr="00F11C9C">
              <w:rPr>
                <w:rFonts w:eastAsia="Calibri"/>
                <w:bCs/>
                <w:szCs w:val="22"/>
              </w:rPr>
              <w:t>IED 61850-8-1 Specific Protocol::=CHOICE{</w:t>
            </w:r>
          </w:p>
          <w:p w:rsidR="00F11C9C" w:rsidRPr="00F11C9C" w:rsidRDefault="00F11C9C" w:rsidP="00F11C9C">
            <w:pPr>
              <w:tabs>
                <w:tab w:val="left" w:pos="0"/>
              </w:tabs>
              <w:ind w:left="0" w:firstLine="0"/>
              <w:rPr>
                <w:rFonts w:eastAsia="Calibri"/>
                <w:bCs/>
                <w:szCs w:val="22"/>
              </w:rPr>
            </w:pPr>
            <w:r w:rsidRPr="00F11C9C">
              <w:rPr>
                <w:rFonts w:eastAsia="Calibri"/>
                <w:bCs/>
                <w:szCs w:val="22"/>
              </w:rPr>
              <w:t>GseMngtPdu    [APPLICATION 0] IMPLICIT MngtPdu,</w:t>
            </w:r>
          </w:p>
          <w:p w:rsidR="00F11C9C" w:rsidRPr="00F11C9C" w:rsidRDefault="00F11C9C" w:rsidP="00F11C9C">
            <w:pPr>
              <w:tabs>
                <w:tab w:val="left" w:pos="0"/>
              </w:tabs>
              <w:ind w:left="0" w:firstLine="0"/>
              <w:rPr>
                <w:rFonts w:eastAsia="Calibri"/>
                <w:bCs/>
                <w:szCs w:val="22"/>
              </w:rPr>
            </w:pPr>
            <w:r w:rsidRPr="00F11C9C">
              <w:rPr>
                <w:rFonts w:eastAsia="Calibri"/>
                <w:bCs/>
                <w:szCs w:val="22"/>
              </w:rPr>
              <w:t>GoosePdu          [APPLICATION 1] IMPLICT IECGoosePdu</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MngtPdu::=SEQUENCE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StateID            [0] IMPLICIT INTEGER,</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Security           [3] ANY OPTIONAL,--reserved for future definition </w:t>
            </w:r>
          </w:p>
          <w:p w:rsidR="00F11C9C" w:rsidRPr="00F11C9C" w:rsidRDefault="00F11C9C" w:rsidP="00F11C9C">
            <w:pPr>
              <w:tabs>
                <w:tab w:val="left" w:pos="0"/>
              </w:tabs>
              <w:ind w:left="0" w:firstLine="0"/>
              <w:rPr>
                <w:rFonts w:eastAsia="Calibri"/>
                <w:bCs/>
                <w:szCs w:val="22"/>
              </w:rPr>
            </w:pPr>
            <w:r w:rsidRPr="00F11C9C">
              <w:rPr>
                <w:rFonts w:eastAsia="Calibri"/>
                <w:bCs/>
                <w:szCs w:val="22"/>
              </w:rPr>
              <w:t>CHOICE{</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Request [1]IMPLICIT GSEMngRequest,</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Responses              [2] IMPLICIT GSEMngtResponses</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Mngtrequests::=CHOICE {</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getGoreference            [1] IMPLICIT GetReferenceRequestPdu </w:t>
            </w:r>
          </w:p>
          <w:p w:rsidR="00F11C9C" w:rsidRPr="00F11C9C" w:rsidRDefault="00F11C9C" w:rsidP="00F11C9C">
            <w:pPr>
              <w:tabs>
                <w:tab w:val="left" w:pos="0"/>
              </w:tabs>
              <w:ind w:left="0" w:firstLine="0"/>
              <w:rPr>
                <w:rFonts w:eastAsia="Calibri"/>
                <w:bCs/>
                <w:szCs w:val="22"/>
              </w:rPr>
            </w:pPr>
            <w:r w:rsidRPr="00F11C9C">
              <w:rPr>
                <w:rFonts w:eastAsia="Calibri"/>
                <w:bCs/>
                <w:szCs w:val="22"/>
              </w:rPr>
              <w:t>getGOOSEElement Number     [2] IMPLICIT GetReferenceRequestPdu</w:t>
            </w:r>
          </w:p>
          <w:p w:rsidR="00F11C9C" w:rsidRPr="00F11C9C" w:rsidRDefault="00F11C9C" w:rsidP="00F11C9C">
            <w:pPr>
              <w:tabs>
                <w:tab w:val="left" w:pos="0"/>
              </w:tabs>
              <w:ind w:left="0" w:firstLine="0"/>
              <w:rPr>
                <w:rFonts w:eastAsia="Calibri"/>
                <w:bCs/>
                <w:szCs w:val="22"/>
              </w:rPr>
            </w:pPr>
            <w:r w:rsidRPr="00F11C9C">
              <w:rPr>
                <w:rFonts w:eastAsia="Calibri"/>
                <w:bCs/>
                <w:szCs w:val="22"/>
              </w:rPr>
              <w:t>getGsReference                           [3]  IMPLICIT GetReferenceRequestPdu,</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getGSSEDataOffset </w:t>
            </w:r>
            <w:r w:rsidRPr="00F11C9C">
              <w:rPr>
                <w:rFonts w:eastAsia="Calibri"/>
                <w:bCs/>
                <w:szCs w:val="22"/>
              </w:rPr>
              <w:tab/>
              <w:t xml:space="preserve">         [4]IMPLICIT</w:t>
            </w:r>
          </w:p>
          <w:p w:rsidR="00F11C9C" w:rsidRPr="00F11C9C" w:rsidRDefault="00F11C9C" w:rsidP="00F11C9C">
            <w:pPr>
              <w:tabs>
                <w:tab w:val="left" w:pos="0"/>
              </w:tabs>
              <w:ind w:left="0" w:firstLine="0"/>
              <w:rPr>
                <w:rFonts w:eastAsia="Calibri"/>
                <w:bCs/>
                <w:szCs w:val="22"/>
              </w:rPr>
            </w:pPr>
            <w:r w:rsidRPr="00F11C9C">
              <w:rPr>
                <w:rFonts w:eastAsia="Calibri"/>
                <w:bCs/>
                <w:szCs w:val="22"/>
              </w:rPr>
              <w:t>GetElementRequestPdu,</w:t>
            </w:r>
          </w:p>
          <w:p w:rsidR="00F11C9C" w:rsidRPr="00F11C9C" w:rsidRDefault="00F11C9C" w:rsidP="00F11C9C">
            <w:pPr>
              <w:tabs>
                <w:tab w:val="left" w:pos="0"/>
              </w:tabs>
              <w:ind w:left="0" w:firstLine="0"/>
              <w:rPr>
                <w:rFonts w:eastAsia="Calibri"/>
                <w:bCs/>
                <w:szCs w:val="22"/>
              </w:rPr>
            </w:pPr>
            <w:r w:rsidRPr="00F11C9C">
              <w:rPr>
                <w:rFonts w:eastAsia="Calibri"/>
                <w:bCs/>
                <w:szCs w:val="22"/>
              </w:rPr>
              <w:t>getSavReference</w:t>
            </w:r>
            <w:r w:rsidRPr="00F11C9C">
              <w:rPr>
                <w:rFonts w:eastAsia="Calibri"/>
                <w:bCs/>
                <w:szCs w:val="22"/>
              </w:rPr>
              <w:tab/>
              <w:t xml:space="preserve">                    [5] IMPLICIT GetReferenceRequestPdu, getSavElementNumber</w:t>
            </w:r>
            <w:r w:rsidRPr="00F11C9C">
              <w:rPr>
                <w:rFonts w:eastAsia="Calibri"/>
                <w:bCs/>
                <w:szCs w:val="22"/>
              </w:rPr>
              <w:tab/>
              <w:t xml:space="preserve">         [6]IMPLICIT GetElementRequestPdu,</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w:t>
            </w:r>
          </w:p>
          <w:p w:rsidR="00F11C9C" w:rsidRPr="00F11C9C" w:rsidRDefault="00F11C9C" w:rsidP="00F11C9C">
            <w:pPr>
              <w:pStyle w:val="BodyText"/>
              <w:tabs>
                <w:tab w:val="left" w:pos="0"/>
                <w:tab w:val="left" w:pos="4157"/>
              </w:tabs>
              <w:spacing w:line="276" w:lineRule="auto"/>
              <w:ind w:right="2464"/>
              <w:rPr>
                <w:rFonts w:eastAsia="Calibri"/>
                <w:sz w:val="24"/>
                <w:szCs w:val="22"/>
                <w:lang w:val="mn-MN"/>
              </w:rPr>
            </w:pPr>
          </w:p>
          <w:p w:rsidR="00F11C9C" w:rsidRPr="00F11C9C" w:rsidRDefault="00F11C9C" w:rsidP="00F11C9C">
            <w:pPr>
              <w:tabs>
                <w:tab w:val="left" w:pos="0"/>
              </w:tabs>
              <w:ind w:left="0" w:firstLine="0"/>
              <w:rPr>
                <w:rFonts w:eastAsia="Calibri"/>
                <w:bCs/>
                <w:szCs w:val="22"/>
              </w:rPr>
            </w:pPr>
            <w:r w:rsidRPr="00F11C9C">
              <w:rPr>
                <w:rFonts w:eastAsia="Calibri"/>
                <w:bCs/>
                <w:szCs w:val="22"/>
              </w:rPr>
              <w:t>MngtResponses::= CHOICE {</w:t>
            </w:r>
          </w:p>
          <w:p w:rsidR="00F11C9C" w:rsidRPr="00F11C9C" w:rsidRDefault="00F11C9C" w:rsidP="00F11C9C">
            <w:pPr>
              <w:tabs>
                <w:tab w:val="left" w:pos="0"/>
              </w:tabs>
              <w:ind w:left="0" w:firstLine="0"/>
              <w:rPr>
                <w:rFonts w:eastAsia="Calibri"/>
                <w:bCs/>
                <w:szCs w:val="22"/>
              </w:rPr>
            </w:pPr>
            <w:r w:rsidRPr="00F11C9C">
              <w:rPr>
                <w:rFonts w:eastAsia="Calibri"/>
                <w:bCs/>
                <w:szCs w:val="22"/>
              </w:rPr>
              <w:t>gseMngtNotSupported - [0] IMPLICIT NULL,</w:t>
            </w:r>
          </w:p>
          <w:p w:rsidR="00F11C9C" w:rsidRPr="00F11C9C" w:rsidRDefault="00F11C9C" w:rsidP="00F11C9C">
            <w:pPr>
              <w:tabs>
                <w:tab w:val="left" w:pos="0"/>
              </w:tabs>
              <w:ind w:left="0" w:firstLine="0"/>
              <w:rPr>
                <w:rFonts w:eastAsia="Calibri"/>
                <w:bCs/>
                <w:szCs w:val="22"/>
              </w:rPr>
            </w:pPr>
            <w:r w:rsidRPr="00F11C9C">
              <w:rPr>
                <w:rFonts w:eastAsia="Calibri"/>
                <w:bCs/>
                <w:szCs w:val="22"/>
              </w:rPr>
              <w:t>getGoReference-[1]IMPLICITGSE MngtResponsePdu, getGOOSEElementNumber - [2] IMPLICITGSEMngtResponsePdu, getGsReference</w:t>
            </w:r>
            <w:r w:rsidRPr="00F11C9C">
              <w:rPr>
                <w:rFonts w:eastAsia="Calibri"/>
                <w:bCs/>
                <w:szCs w:val="22"/>
              </w:rPr>
              <w:tab/>
              <w:t xml:space="preserve">                    [3] IMPLICIT GSEMngtResponsePdu,</w:t>
            </w:r>
          </w:p>
          <w:p w:rsidR="00F11C9C" w:rsidRPr="00F11C9C" w:rsidRDefault="00F11C9C" w:rsidP="00F11C9C">
            <w:pPr>
              <w:tabs>
                <w:tab w:val="left" w:pos="0"/>
              </w:tabs>
              <w:ind w:left="0" w:firstLine="0"/>
              <w:rPr>
                <w:rFonts w:eastAsia="Calibri"/>
                <w:bCs/>
                <w:szCs w:val="22"/>
              </w:rPr>
            </w:pPr>
            <w:r w:rsidRPr="00F11C9C">
              <w:rPr>
                <w:rFonts w:eastAsia="Calibri"/>
                <w:bCs/>
                <w:szCs w:val="22"/>
              </w:rPr>
              <w:t>getGSSEDataOffset</w:t>
            </w:r>
            <w:r w:rsidRPr="00F11C9C">
              <w:rPr>
                <w:rFonts w:eastAsia="Calibri"/>
                <w:bCs/>
                <w:szCs w:val="22"/>
              </w:rPr>
              <w:tab/>
              <w:t xml:space="preserve">                    [4] IMPLICIT GSEMngtResponsePdu,</w:t>
            </w:r>
          </w:p>
          <w:p w:rsidR="00F11C9C" w:rsidRPr="00F11C9C" w:rsidRDefault="00F11C9C" w:rsidP="00F11C9C">
            <w:pPr>
              <w:tabs>
                <w:tab w:val="left" w:pos="0"/>
              </w:tabs>
              <w:ind w:left="0" w:firstLine="0"/>
              <w:rPr>
                <w:rFonts w:eastAsia="Calibri"/>
                <w:bCs/>
                <w:szCs w:val="22"/>
              </w:rPr>
            </w:pPr>
            <w:r w:rsidRPr="00F11C9C">
              <w:rPr>
                <w:rFonts w:eastAsia="Calibri"/>
                <w:bCs/>
                <w:szCs w:val="22"/>
              </w:rPr>
              <w:t>getSavReference</w:t>
            </w:r>
            <w:r w:rsidRPr="00F11C9C">
              <w:rPr>
                <w:rFonts w:eastAsia="Calibri"/>
                <w:bCs/>
                <w:szCs w:val="22"/>
              </w:rPr>
              <w:tab/>
              <w:t xml:space="preserve">                    [5] IMPLICIT GSEMngtResponsePdu, getSavElementNumber</w:t>
            </w:r>
            <w:r w:rsidRPr="00F11C9C">
              <w:rPr>
                <w:rFonts w:eastAsia="Calibri"/>
                <w:bCs/>
                <w:szCs w:val="22"/>
              </w:rPr>
              <w:tab/>
              <w:t xml:space="preserve">         [6] IMPLICIT GSEMngtResponsePdu,</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GetReferenceRequestPdu::=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ident</w:t>
            </w:r>
            <w:r w:rsidRPr="00F11C9C">
              <w:rPr>
                <w:rFonts w:eastAsia="Calibri"/>
                <w:bCs/>
                <w:szCs w:val="22"/>
              </w:rPr>
              <w:tab/>
              <w:t xml:space="preserve">[0] IMPLICIT VISIBLE-STRING, -- size shall support up to 129 octets </w:t>
            </w:r>
          </w:p>
          <w:p w:rsidR="00F11C9C" w:rsidRPr="00F11C9C" w:rsidRDefault="00F11C9C" w:rsidP="00F11C9C">
            <w:pPr>
              <w:tabs>
                <w:tab w:val="left" w:pos="0"/>
              </w:tabs>
              <w:ind w:left="0" w:firstLine="0"/>
              <w:rPr>
                <w:rFonts w:eastAsia="Calibri"/>
                <w:bCs/>
                <w:szCs w:val="22"/>
              </w:rPr>
            </w:pPr>
            <w:r w:rsidRPr="00F11C9C">
              <w:rPr>
                <w:rFonts w:eastAsia="Calibri"/>
                <w:bCs/>
                <w:szCs w:val="22"/>
              </w:rPr>
              <w:t>offset</w:t>
            </w:r>
            <w:r w:rsidRPr="00F11C9C">
              <w:rPr>
                <w:rFonts w:eastAsia="Calibri"/>
                <w:bCs/>
                <w:szCs w:val="22"/>
              </w:rPr>
              <w:tab/>
              <w:t>[1] IMPLICIT SEQUENCE OF INTEGER DEFAULT NULL,</w:t>
            </w:r>
          </w:p>
          <w:p w:rsidR="00F11C9C" w:rsidRPr="00F11C9C" w:rsidRDefault="00F11C9C" w:rsidP="00F11C9C">
            <w:pPr>
              <w:tabs>
                <w:tab w:val="left" w:pos="0"/>
              </w:tabs>
              <w:ind w:left="0" w:firstLine="0"/>
              <w:rPr>
                <w:rFonts w:eastAsia="Calibri"/>
                <w:bCs/>
                <w:szCs w:val="22"/>
              </w:rPr>
            </w:pPr>
            <w:r w:rsidRPr="00F11C9C">
              <w:rPr>
                <w:rFonts w:eastAsia="Calibri"/>
                <w:bCs/>
                <w:szCs w:val="22"/>
              </w:rPr>
              <w:t>datSet</w:t>
            </w:r>
            <w:r w:rsidRPr="00F11C9C">
              <w:rPr>
                <w:rFonts w:eastAsia="Calibri"/>
                <w:bCs/>
                <w:szCs w:val="22"/>
              </w:rPr>
              <w:tab/>
              <w:t>[2] IMPLICIT VISIBLE-STRING OPTIONAL DEFAULT NULL,</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If the offset is NULL, this shall indicate that the response shall contain all of the references if the references  are able to fit in the APDU.  Otherwise, the error responseTooLarge shall be returned.</w:t>
            </w:r>
          </w:p>
          <w:p w:rsidR="00F11C9C" w:rsidRPr="00F11C9C" w:rsidRDefault="00F11C9C" w:rsidP="00F11C9C">
            <w:pPr>
              <w:tabs>
                <w:tab w:val="left" w:pos="0"/>
              </w:tabs>
              <w:ind w:left="0" w:firstLine="0"/>
              <w:rPr>
                <w:rFonts w:eastAsia="Calibri"/>
                <w:bCs/>
                <w:szCs w:val="22"/>
              </w:rPr>
            </w:pPr>
            <w:r w:rsidRPr="00F11C9C">
              <w:rPr>
                <w:rFonts w:eastAsia="Calibri"/>
                <w:bCs/>
                <w:szCs w:val="22"/>
              </w:rPr>
              <w:t>If the provided datSet (DataSet Reference) does not correspond to the ident value specified, the response shall be controlBlockConfigurationError.</w:t>
            </w:r>
          </w:p>
          <w:p w:rsidR="00F11C9C" w:rsidRPr="00F11C9C" w:rsidRDefault="00F11C9C" w:rsidP="00F11C9C">
            <w:pPr>
              <w:tabs>
                <w:tab w:val="left" w:pos="0"/>
              </w:tabs>
              <w:ind w:left="0" w:firstLine="0"/>
              <w:rPr>
                <w:rFonts w:eastAsia="Calibri"/>
                <w:bCs/>
                <w:szCs w:val="22"/>
              </w:rPr>
            </w:pPr>
            <w:r w:rsidRPr="00F11C9C">
              <w:rPr>
                <w:rFonts w:eastAsia="Calibri"/>
                <w:bCs/>
                <w:szCs w:val="22"/>
              </w:rPr>
              <w:t>GetElementRequestPdu::=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ident</w:t>
            </w:r>
            <w:r w:rsidRPr="00F11C9C">
              <w:rPr>
                <w:rFonts w:eastAsia="Calibri"/>
                <w:bCs/>
                <w:szCs w:val="22"/>
              </w:rPr>
              <w:tab/>
              <w:t xml:space="preserve">           [0] IMPLICIT VISIBLE-STRING, -- size shall support up to 129 octets </w:t>
            </w:r>
          </w:p>
          <w:p w:rsidR="00F11C9C" w:rsidRPr="00F11C9C" w:rsidRDefault="00F11C9C" w:rsidP="00F11C9C">
            <w:pPr>
              <w:tabs>
                <w:tab w:val="left" w:pos="0"/>
              </w:tabs>
              <w:ind w:left="0" w:firstLine="0"/>
              <w:rPr>
                <w:rFonts w:eastAsia="Calibri"/>
                <w:bCs/>
                <w:szCs w:val="22"/>
              </w:rPr>
            </w:pPr>
            <w:r w:rsidRPr="00F11C9C">
              <w:rPr>
                <w:rFonts w:eastAsia="Calibri"/>
                <w:bCs/>
                <w:szCs w:val="22"/>
              </w:rPr>
              <w:t>references</w:t>
            </w:r>
            <w:r w:rsidRPr="00F11C9C">
              <w:rPr>
                <w:rFonts w:eastAsia="Calibri"/>
                <w:bCs/>
                <w:szCs w:val="22"/>
              </w:rPr>
              <w:tab/>
              <w:t>[1] IMPLICIT SEQUENCE OF VISIBLE-STRING,</w:t>
            </w:r>
          </w:p>
          <w:p w:rsidR="00F11C9C" w:rsidRPr="00F11C9C" w:rsidRDefault="00F11C9C" w:rsidP="00F11C9C">
            <w:pPr>
              <w:tabs>
                <w:tab w:val="left" w:pos="0"/>
              </w:tabs>
              <w:ind w:left="0" w:firstLine="0"/>
              <w:rPr>
                <w:rFonts w:eastAsia="Calibri"/>
                <w:bCs/>
                <w:szCs w:val="22"/>
              </w:rPr>
            </w:pPr>
            <w:r w:rsidRPr="00F11C9C">
              <w:rPr>
                <w:rFonts w:eastAsia="Calibri"/>
                <w:bCs/>
                <w:szCs w:val="22"/>
              </w:rPr>
              <w:lastRenderedPageBreak/>
              <w:t xml:space="preserve">datSet </w:t>
            </w:r>
            <w:r w:rsidRPr="00F11C9C">
              <w:rPr>
                <w:rFonts w:eastAsia="Calibri"/>
                <w:bCs/>
                <w:szCs w:val="22"/>
              </w:rPr>
              <w:tab/>
              <w:t>[2] IMPLICIT VISIBLE-STRING OPTIONAL DEFAULT NULL,</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If the provided datSet (DataSet Reference) does not correspond to the ident value specified,  the response shall be controlBlockConfigurationError.</w:t>
            </w:r>
          </w:p>
          <w:p w:rsidR="00F11C9C" w:rsidRPr="00F11C9C" w:rsidRDefault="00F11C9C" w:rsidP="00F11C9C">
            <w:pPr>
              <w:tabs>
                <w:tab w:val="left" w:pos="0"/>
              </w:tabs>
              <w:ind w:left="0" w:firstLine="0"/>
              <w:rPr>
                <w:rFonts w:eastAsia="Calibri"/>
                <w:bCs/>
                <w:szCs w:val="22"/>
              </w:rPr>
            </w:pPr>
            <w:r w:rsidRPr="00F11C9C">
              <w:rPr>
                <w:rFonts w:eastAsia="Calibri"/>
                <w:bCs/>
                <w:szCs w:val="22"/>
              </w:rPr>
              <w:t>GSEMngtResponsePdu::=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ident</w:t>
            </w:r>
            <w:r w:rsidRPr="00F11C9C">
              <w:rPr>
                <w:rFonts w:eastAsia="Calibri"/>
                <w:bCs/>
                <w:szCs w:val="22"/>
              </w:rPr>
              <w:tab/>
              <w:t xml:space="preserve">[0] IMPLICIT VISIBLE-STRING, -- echos the value of the request </w:t>
            </w:r>
          </w:p>
          <w:p w:rsidR="00F11C9C" w:rsidRPr="00F11C9C" w:rsidRDefault="00F11C9C" w:rsidP="00F11C9C">
            <w:pPr>
              <w:tabs>
                <w:tab w:val="left" w:pos="0"/>
              </w:tabs>
              <w:ind w:left="0" w:firstLine="0"/>
              <w:rPr>
                <w:rFonts w:eastAsia="Calibri"/>
                <w:bCs/>
                <w:szCs w:val="22"/>
              </w:rPr>
            </w:pPr>
            <w:r w:rsidRPr="00F11C9C">
              <w:rPr>
                <w:rFonts w:eastAsia="Calibri"/>
                <w:bCs/>
                <w:szCs w:val="22"/>
              </w:rPr>
              <w:t>confRev</w:t>
            </w:r>
            <w:r w:rsidRPr="00F11C9C">
              <w:rPr>
                <w:rFonts w:eastAsia="Calibri"/>
                <w:bCs/>
                <w:szCs w:val="22"/>
              </w:rPr>
              <w:tab/>
              <w:t>[1] IMPLICIT INTEGER OPTIONAL,</w:t>
            </w:r>
          </w:p>
          <w:p w:rsidR="00F11C9C" w:rsidRPr="00F11C9C" w:rsidRDefault="00F11C9C" w:rsidP="00F11C9C">
            <w:pPr>
              <w:tabs>
                <w:tab w:val="left" w:pos="0"/>
              </w:tabs>
              <w:ind w:left="0" w:firstLine="0"/>
              <w:rPr>
                <w:rFonts w:eastAsia="Calibri"/>
                <w:bCs/>
                <w:szCs w:val="22"/>
              </w:rPr>
            </w:pPr>
            <w:r w:rsidRPr="00F11C9C">
              <w:rPr>
                <w:rFonts w:eastAsia="Calibri"/>
                <w:bCs/>
                <w:szCs w:val="22"/>
              </w:rPr>
              <w:t>CHOICE {</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responsePositive [2] IMPLICIT SEQUENCE {</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datSet [0] IMPLICIT VISIBLE_STRING OPTIONAL,</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result [1] IMPLICIT SEQUENCE OF RequestResults</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              responseNegative [3] IMPLICIT GlbErrors</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pStyle w:val="BodyText"/>
              <w:tabs>
                <w:tab w:val="left" w:pos="0"/>
              </w:tabs>
              <w:spacing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RequestResult::=    CHOICE{</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 xml:space="preserve">                                Offset              [0] IMPLICT INTEGER,</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 xml:space="preserve">                                Reference       [1] IMPLICIT IA5STRING,</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 xml:space="preserve">                                Error                [2] IMPLICT ErrorReason</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GlbErrors::= INTEGER { other(0),</w:t>
            </w:r>
          </w:p>
          <w:p w:rsidR="00F11C9C" w:rsidRPr="00F11C9C" w:rsidRDefault="00F11C9C" w:rsidP="00F11C9C">
            <w:pPr>
              <w:tabs>
                <w:tab w:val="left" w:pos="0"/>
              </w:tabs>
              <w:ind w:left="0" w:firstLine="0"/>
              <w:rPr>
                <w:rFonts w:eastAsia="Calibri"/>
                <w:bCs/>
                <w:szCs w:val="22"/>
              </w:rPr>
            </w:pPr>
            <w:r w:rsidRPr="00F11C9C">
              <w:rPr>
                <w:rFonts w:eastAsia="Calibri"/>
                <w:bCs/>
                <w:szCs w:val="22"/>
              </w:rPr>
              <w:t>unknownControlBlock(1), responseTooLarge(2),</w:t>
            </w:r>
          </w:p>
          <w:p w:rsidR="00F11C9C" w:rsidRPr="00F11C9C" w:rsidRDefault="00F11C9C" w:rsidP="00F11C9C">
            <w:pPr>
              <w:tabs>
                <w:tab w:val="left" w:pos="0"/>
              </w:tabs>
              <w:ind w:left="0" w:firstLine="0"/>
              <w:rPr>
                <w:rFonts w:eastAsia="Calibri"/>
                <w:bCs/>
                <w:szCs w:val="22"/>
              </w:rPr>
            </w:pPr>
            <w:r w:rsidRPr="00F11C9C">
              <w:rPr>
                <w:rFonts w:eastAsia="Calibri"/>
                <w:bCs/>
                <w:szCs w:val="22"/>
              </w:rPr>
              <w:t>controlBlockConfigurationError (3),</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tabs>
                <w:tab w:val="left" w:pos="0"/>
              </w:tabs>
              <w:ind w:left="0" w:firstLine="0"/>
              <w:rPr>
                <w:rFonts w:eastAsia="Calibri"/>
                <w:bCs/>
                <w:szCs w:val="22"/>
              </w:rPr>
            </w:pPr>
            <w:r w:rsidRPr="00F11C9C">
              <w:rPr>
                <w:rFonts w:eastAsia="Calibri"/>
                <w:bCs/>
                <w:szCs w:val="22"/>
              </w:rPr>
              <w:t>}</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ErrorReason::= INTEGER { other (0),</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notFound (1),</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lastRenderedPageBreak/>
              <w:t>…</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w:t>
            </w:r>
          </w:p>
          <w:p w:rsidR="00F11C9C" w:rsidRPr="00F11C9C" w:rsidRDefault="00F11C9C" w:rsidP="00F11C9C">
            <w:pPr>
              <w:pStyle w:val="BodyText"/>
              <w:tabs>
                <w:tab w:val="left" w:pos="0"/>
              </w:tabs>
              <w:spacing w:before="101" w:line="276" w:lineRule="auto"/>
              <w:rPr>
                <w:rFonts w:eastAsia="Calibri"/>
                <w:sz w:val="24"/>
                <w:szCs w:val="22"/>
                <w:lang w:val="mn-MN"/>
              </w:rPr>
            </w:pPr>
            <w:r w:rsidRPr="00F11C9C">
              <w:rPr>
                <w:rFonts w:eastAsia="Calibri"/>
                <w:sz w:val="24"/>
                <w:szCs w:val="22"/>
                <w:lang w:val="mn-MN"/>
              </w:rPr>
              <w:t>The MNGT APDU shall only be used with unicast addresses (source and destination). It shall contain request/responses for a single DataSet.</w:t>
            </w:r>
          </w:p>
          <w:p w:rsidR="00F11C9C" w:rsidRPr="00F11C9C" w:rsidRDefault="00F11C9C" w:rsidP="00F11C9C">
            <w:pPr>
              <w:tabs>
                <w:tab w:val="left" w:pos="0"/>
              </w:tabs>
              <w:ind w:left="0" w:firstLine="0"/>
              <w:rPr>
                <w:rFonts w:eastAsia="Calibri"/>
                <w:b/>
                <w:bCs/>
                <w:szCs w:val="22"/>
              </w:rPr>
            </w:pPr>
            <w:r w:rsidRPr="00F11C9C">
              <w:rPr>
                <w:rFonts w:eastAsia="Calibri"/>
                <w:b/>
                <w:bCs/>
                <w:szCs w:val="22"/>
              </w:rPr>
              <w:t>11.3.3.7 Tunnelled</w:t>
            </w:r>
          </w:p>
          <w:p w:rsidR="00F11C9C" w:rsidRPr="00F11C9C" w:rsidRDefault="00F11C9C" w:rsidP="00F11C9C">
            <w:pPr>
              <w:tabs>
                <w:tab w:val="left" w:pos="0"/>
              </w:tabs>
              <w:ind w:left="0" w:firstLine="0"/>
              <w:rPr>
                <w:rFonts w:eastAsia="Calibri"/>
                <w:bCs/>
                <w:szCs w:val="22"/>
              </w:rPr>
            </w:pPr>
            <w:r w:rsidRPr="00F11C9C">
              <w:rPr>
                <w:rFonts w:eastAsia="Calibri"/>
                <w:bCs/>
                <w:szCs w:val="22"/>
              </w:rPr>
              <w:t>The tunnelled payload PDUs need to provide the key information required to re-emit the appropriate frames at the end of the tunnel(s). In order to accomplish this, the following information needs to be conveyed:</w:t>
            </w:r>
          </w:p>
          <w:p w:rsidR="00F11C9C" w:rsidRPr="00F11C9C" w:rsidRDefault="00F11C9C" w:rsidP="00472036">
            <w:pPr>
              <w:pStyle w:val="ListParagraph"/>
              <w:widowControl w:val="0"/>
              <w:numPr>
                <w:ilvl w:val="0"/>
                <w:numId w:val="25"/>
              </w:numPr>
              <w:tabs>
                <w:tab w:val="left" w:pos="0"/>
                <w:tab w:val="left" w:pos="894"/>
                <w:tab w:val="left" w:pos="896"/>
              </w:tabs>
              <w:autoSpaceDE w:val="0"/>
              <w:autoSpaceDN w:val="0"/>
              <w:spacing w:after="0"/>
              <w:ind w:left="0" w:right="513" w:firstLine="0"/>
              <w:contextualSpacing w:val="0"/>
              <w:jc w:val="left"/>
              <w:rPr>
                <w:rFonts w:eastAsia="Calibri"/>
                <w:bCs/>
                <w:szCs w:val="22"/>
              </w:rPr>
            </w:pPr>
            <w:r w:rsidRPr="00F11C9C">
              <w:rPr>
                <w:rFonts w:eastAsia="Calibri"/>
                <w:bCs/>
                <w:szCs w:val="22"/>
              </w:rPr>
              <w:t>Destination Address: This is the multicast destination Media Access Control (MAC)  address that the original GOOSE or SV message was sent to via Ethernet multicast.</w:t>
            </w:r>
          </w:p>
          <w:p w:rsidR="00F11C9C" w:rsidRPr="00F11C9C" w:rsidRDefault="00F11C9C" w:rsidP="00472036">
            <w:pPr>
              <w:pStyle w:val="ListParagraph"/>
              <w:widowControl w:val="0"/>
              <w:numPr>
                <w:ilvl w:val="0"/>
                <w:numId w:val="25"/>
              </w:numPr>
              <w:tabs>
                <w:tab w:val="left" w:pos="0"/>
                <w:tab w:val="left" w:pos="894"/>
                <w:tab w:val="left" w:pos="896"/>
              </w:tabs>
              <w:autoSpaceDE w:val="0"/>
              <w:autoSpaceDN w:val="0"/>
              <w:spacing w:before="99" w:after="0"/>
              <w:ind w:left="0" w:right="506" w:firstLine="0"/>
              <w:contextualSpacing w:val="0"/>
              <w:jc w:val="left"/>
              <w:rPr>
                <w:rFonts w:eastAsia="Calibri"/>
                <w:bCs/>
                <w:szCs w:val="22"/>
              </w:rPr>
            </w:pPr>
            <w:r w:rsidRPr="00F11C9C">
              <w:rPr>
                <w:rFonts w:eastAsia="Calibri"/>
                <w:bCs/>
                <w:szCs w:val="22"/>
              </w:rPr>
              <w:t>TPID and TCI: This is the VLAN tagging for VLAN identification as well as IEEE priority tagging.</w:t>
            </w:r>
          </w:p>
          <w:p w:rsidR="00F11C9C" w:rsidRPr="00F11C9C" w:rsidRDefault="00F11C9C" w:rsidP="00F11C9C">
            <w:pPr>
              <w:tabs>
                <w:tab w:val="left" w:pos="0"/>
              </w:tabs>
              <w:ind w:left="0" w:firstLine="0"/>
              <w:rPr>
                <w:rFonts w:eastAsia="Calibri"/>
                <w:bCs/>
                <w:szCs w:val="22"/>
              </w:rPr>
            </w:pPr>
            <w:r w:rsidRPr="00F11C9C">
              <w:rPr>
                <w:rFonts w:eastAsia="Calibri"/>
                <w:bCs/>
                <w:szCs w:val="22"/>
              </w:rPr>
              <w:t>61850 Ethertype PDU and Ethernet padding: This information represents the Ethernet 61850 Ethertype field and associated information. In addition to the 61850 Ethertype PDUs, the Ethernet padding needs to be included so that IEC/TS 62351-6 security information can conveyed.</w:t>
            </w:r>
          </w:p>
          <w:p w:rsidR="00F11C9C" w:rsidRPr="00F11C9C" w:rsidRDefault="00F11C9C" w:rsidP="00F11C9C">
            <w:pPr>
              <w:tabs>
                <w:tab w:val="left" w:pos="0"/>
              </w:tabs>
              <w:ind w:left="0" w:firstLine="0"/>
              <w:rPr>
                <w:rFonts w:eastAsia="Calibri"/>
                <w:bCs/>
                <w:szCs w:val="22"/>
              </w:rPr>
            </w:pPr>
            <w:r w:rsidRPr="00F11C9C">
              <w:rPr>
                <w:rFonts w:eastAsia="Calibri"/>
                <w:bCs/>
                <w:szCs w:val="22"/>
              </w:rPr>
              <w:t xml:space="preserve">In </w:t>
            </w:r>
            <w:hyperlink w:anchor="_bookmark49" w:history="1">
              <w:r w:rsidRPr="00F11C9C">
                <w:rPr>
                  <w:rFonts w:eastAsia="Calibri"/>
                  <w:bCs/>
                  <w:szCs w:val="22"/>
                </w:rPr>
                <w:t>Figure 27,</w:t>
              </w:r>
            </w:hyperlink>
            <w:r w:rsidRPr="00F11C9C">
              <w:rPr>
                <w:rFonts w:eastAsia="Calibri"/>
                <w:bCs/>
                <w:szCs w:val="22"/>
              </w:rPr>
              <w:t xml:space="preserve"> the Ethertype PDU starts at octet 22 and includes all other octets except the Frame Check Sequence.</w:t>
            </w:r>
          </w:p>
          <w:p w:rsidR="00F11C9C" w:rsidRPr="00F11C9C" w:rsidRDefault="00F11C9C" w:rsidP="00F11C9C">
            <w:pPr>
              <w:tabs>
                <w:tab w:val="left" w:pos="0"/>
              </w:tabs>
              <w:ind w:left="0" w:firstLine="0"/>
              <w:rPr>
                <w:rFonts w:eastAsia="Calibri"/>
                <w:bCs/>
                <w:szCs w:val="22"/>
              </w:rPr>
            </w:pPr>
          </w:p>
        </w:tc>
      </w:tr>
    </w:tbl>
    <w:p w:rsidR="009E4499" w:rsidRDefault="009E4499" w:rsidP="00F11C9C">
      <w:pPr>
        <w:ind w:left="0" w:firstLine="0"/>
      </w:pPr>
    </w:p>
    <w:p w:rsidR="00F11C9C" w:rsidRPr="009E4499" w:rsidRDefault="009E4499" w:rsidP="009E4499">
      <w:pPr>
        <w:ind w:left="0" w:firstLine="0"/>
        <w:jc w:val="center"/>
        <w:rPr>
          <w:b/>
        </w:rPr>
      </w:pPr>
      <w:r w:rsidRPr="009E4499">
        <w:rPr>
          <w:b/>
        </w:rPr>
        <w:t>8</w:t>
      </w:r>
      <w:r>
        <w:rPr>
          <w:b/>
          <w:lang w:val="en-US"/>
        </w:rPr>
        <w:t>-</w:t>
      </w:r>
      <w:r>
        <w:rPr>
          <w:b/>
        </w:rPr>
        <w:t>р хүснэгт</w:t>
      </w:r>
      <w:r w:rsidRPr="009E4499">
        <w:rPr>
          <w:b/>
        </w:rPr>
        <w:t xml:space="preserve"> – IEC 61850 Ethertype утгууд</w:t>
      </w:r>
    </w:p>
    <w:tbl>
      <w:tblPr>
        <w:tblStyle w:val="TableGrid"/>
        <w:tblW w:w="0" w:type="auto"/>
        <w:tblLook w:val="04A0" w:firstRow="1" w:lastRow="0" w:firstColumn="1" w:lastColumn="0" w:noHBand="0" w:noVBand="1"/>
      </w:tblPr>
      <w:tblGrid>
        <w:gridCol w:w="3114"/>
        <w:gridCol w:w="3115"/>
        <w:gridCol w:w="3115"/>
      </w:tblGrid>
      <w:tr w:rsidR="009E4499" w:rsidTr="009E4499">
        <w:tc>
          <w:tcPr>
            <w:tcW w:w="3114" w:type="dxa"/>
          </w:tcPr>
          <w:p w:rsidR="009E4499" w:rsidRPr="00EF2D2B" w:rsidRDefault="009E4499" w:rsidP="009E4499">
            <w:pPr>
              <w:pStyle w:val="TableParagraph"/>
              <w:tabs>
                <w:tab w:val="left" w:pos="0"/>
              </w:tabs>
              <w:spacing w:before="53" w:line="276" w:lineRule="auto"/>
              <w:ind w:left="375" w:right="376"/>
              <w:jc w:val="center"/>
              <w:rPr>
                <w:b/>
                <w:sz w:val="20"/>
                <w:szCs w:val="20"/>
                <w:lang w:val="mn-MN"/>
              </w:rPr>
            </w:pPr>
            <w:r w:rsidRPr="00EF2D2B">
              <w:rPr>
                <w:b/>
                <w:sz w:val="20"/>
                <w:szCs w:val="20"/>
                <w:lang w:val="mn-MN"/>
              </w:rPr>
              <w:t>Ашиглах</w:t>
            </w:r>
          </w:p>
        </w:tc>
        <w:tc>
          <w:tcPr>
            <w:tcW w:w="3115" w:type="dxa"/>
          </w:tcPr>
          <w:p w:rsidR="009E4499" w:rsidRPr="00EF2D2B" w:rsidRDefault="009E4499" w:rsidP="009E4499">
            <w:pPr>
              <w:pStyle w:val="TableParagraph"/>
              <w:tabs>
                <w:tab w:val="left" w:pos="0"/>
              </w:tabs>
              <w:spacing w:before="53" w:line="276" w:lineRule="auto"/>
              <w:ind w:left="547" w:hanging="70"/>
              <w:rPr>
                <w:b/>
                <w:sz w:val="20"/>
                <w:szCs w:val="20"/>
                <w:lang w:val="mn-MN"/>
              </w:rPr>
            </w:pPr>
            <w:r w:rsidRPr="00EF2D2B">
              <w:rPr>
                <w:b/>
                <w:sz w:val="20"/>
                <w:szCs w:val="20"/>
                <w:lang w:val="mn-MN"/>
              </w:rPr>
              <w:t>Ethertype утга (арван зургаатын)</w:t>
            </w:r>
          </w:p>
        </w:tc>
        <w:tc>
          <w:tcPr>
            <w:tcW w:w="3115" w:type="dxa"/>
          </w:tcPr>
          <w:p w:rsidR="009E4499" w:rsidRPr="00EF2D2B" w:rsidRDefault="009E4499" w:rsidP="009E4499">
            <w:pPr>
              <w:pStyle w:val="TableParagraph"/>
              <w:tabs>
                <w:tab w:val="left" w:pos="0"/>
              </w:tabs>
              <w:spacing w:before="53" w:line="276" w:lineRule="auto"/>
              <w:ind w:left="736"/>
              <w:rPr>
                <w:b/>
                <w:sz w:val="20"/>
                <w:szCs w:val="20"/>
                <w:lang w:val="mn-MN"/>
              </w:rPr>
            </w:pPr>
            <w:r w:rsidRPr="00EF2D2B">
              <w:rPr>
                <w:b/>
                <w:sz w:val="20"/>
                <w:szCs w:val="20"/>
                <w:lang w:val="mn-MN"/>
              </w:rPr>
              <w:t>Тайлбар</w:t>
            </w:r>
          </w:p>
        </w:tc>
      </w:tr>
      <w:tr w:rsidR="009E4499" w:rsidTr="009E4499">
        <w:tc>
          <w:tcPr>
            <w:tcW w:w="3114" w:type="dxa"/>
          </w:tcPr>
          <w:p w:rsidR="009E4499" w:rsidRPr="00731F96"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IEC 61850-8-1 GOOSE</w:t>
            </w:r>
          </w:p>
          <w:p w:rsidR="009E4499" w:rsidRPr="00EF2D2B" w:rsidRDefault="009E4499" w:rsidP="009E4499">
            <w:pPr>
              <w:pStyle w:val="TableParagraph"/>
              <w:tabs>
                <w:tab w:val="left" w:pos="0"/>
              </w:tabs>
              <w:spacing w:before="0" w:line="276" w:lineRule="auto"/>
              <w:ind w:left="107"/>
              <w:rPr>
                <w:sz w:val="20"/>
                <w:szCs w:val="20"/>
                <w:lang w:val="mn-MN"/>
              </w:rPr>
            </w:pPr>
            <w:r w:rsidRPr="00EF2D2B">
              <w:rPr>
                <w:sz w:val="20"/>
                <w:szCs w:val="20"/>
                <w:lang w:val="mn-MN"/>
              </w:rPr>
              <w:t>Type 1</w:t>
            </w:r>
          </w:p>
        </w:tc>
        <w:tc>
          <w:tcPr>
            <w:tcW w:w="3115" w:type="dxa"/>
          </w:tcPr>
          <w:p w:rsidR="009E4499" w:rsidRPr="00EF2D2B"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88-B8</w:t>
            </w:r>
          </w:p>
        </w:tc>
        <w:tc>
          <w:tcPr>
            <w:tcW w:w="3115" w:type="dxa"/>
          </w:tcPr>
          <w:p w:rsidR="009E4499" w:rsidRPr="00D33687" w:rsidRDefault="009E4499" w:rsidP="009E4499">
            <w:pPr>
              <w:pStyle w:val="TableParagraph"/>
              <w:tabs>
                <w:tab w:val="left" w:pos="0"/>
              </w:tabs>
              <w:spacing w:before="0" w:line="276" w:lineRule="auto"/>
              <w:rPr>
                <w:sz w:val="20"/>
                <w:szCs w:val="20"/>
                <w:lang w:val="mn-MN"/>
              </w:rPr>
            </w:pPr>
          </w:p>
        </w:tc>
      </w:tr>
      <w:tr w:rsidR="009E4499" w:rsidTr="009E4499">
        <w:tc>
          <w:tcPr>
            <w:tcW w:w="3114" w:type="dxa"/>
          </w:tcPr>
          <w:p w:rsidR="009E4499" w:rsidRPr="00731F96" w:rsidRDefault="009E4499" w:rsidP="009E4499">
            <w:pPr>
              <w:pStyle w:val="TableParagraph"/>
              <w:tabs>
                <w:tab w:val="left" w:pos="0"/>
              </w:tabs>
              <w:spacing w:line="276" w:lineRule="auto"/>
              <w:ind w:left="107"/>
              <w:rPr>
                <w:sz w:val="20"/>
                <w:szCs w:val="20"/>
                <w:lang w:val="mn-MN"/>
              </w:rPr>
            </w:pPr>
            <w:r w:rsidRPr="00EF2D2B">
              <w:rPr>
                <w:sz w:val="20"/>
                <w:szCs w:val="20"/>
                <w:lang w:val="mn-MN"/>
              </w:rPr>
              <w:t>IEC 61850-8-1 GSE</w:t>
            </w:r>
          </w:p>
          <w:p w:rsidR="009E4499" w:rsidRPr="00EF2D2B" w:rsidRDefault="009E4499" w:rsidP="009E4499">
            <w:pPr>
              <w:pStyle w:val="TableParagraph"/>
              <w:tabs>
                <w:tab w:val="left" w:pos="0"/>
              </w:tabs>
              <w:spacing w:before="1" w:line="276" w:lineRule="auto"/>
              <w:ind w:left="107"/>
              <w:rPr>
                <w:sz w:val="20"/>
                <w:szCs w:val="20"/>
                <w:lang w:val="mn-MN"/>
              </w:rPr>
            </w:pPr>
            <w:r w:rsidRPr="00EF2D2B">
              <w:rPr>
                <w:sz w:val="20"/>
                <w:szCs w:val="20"/>
                <w:lang w:val="mn-MN"/>
              </w:rPr>
              <w:t>Management</w:t>
            </w:r>
          </w:p>
        </w:tc>
        <w:tc>
          <w:tcPr>
            <w:tcW w:w="3115"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88-B9</w:t>
            </w:r>
          </w:p>
        </w:tc>
        <w:tc>
          <w:tcPr>
            <w:tcW w:w="3115"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Энэ стандартын хамрах хүрээнээс гарсан</w:t>
            </w:r>
          </w:p>
        </w:tc>
      </w:tr>
      <w:tr w:rsidR="009E4499" w:rsidTr="009E4499">
        <w:tc>
          <w:tcPr>
            <w:tcW w:w="3114" w:type="dxa"/>
          </w:tcPr>
          <w:p w:rsidR="009E4499" w:rsidRPr="00731F96"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IEC 61850-9-2 Sampled Values</w:t>
            </w:r>
          </w:p>
        </w:tc>
        <w:tc>
          <w:tcPr>
            <w:tcW w:w="3115" w:type="dxa"/>
          </w:tcPr>
          <w:p w:rsidR="009E4499" w:rsidRPr="00EF2D2B"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88-BA</w:t>
            </w:r>
          </w:p>
        </w:tc>
        <w:tc>
          <w:tcPr>
            <w:tcW w:w="3115" w:type="dxa"/>
          </w:tcPr>
          <w:p w:rsidR="009E4499" w:rsidRPr="00D33687" w:rsidRDefault="009E4499" w:rsidP="009E4499">
            <w:pPr>
              <w:pStyle w:val="TableParagraph"/>
              <w:tabs>
                <w:tab w:val="left" w:pos="0"/>
              </w:tabs>
              <w:spacing w:before="0" w:line="276" w:lineRule="auto"/>
              <w:rPr>
                <w:sz w:val="20"/>
                <w:szCs w:val="20"/>
                <w:lang w:val="mn-MN"/>
              </w:rPr>
            </w:pPr>
          </w:p>
        </w:tc>
      </w:tr>
      <w:tr w:rsidR="009E4499" w:rsidTr="009E4499">
        <w:tc>
          <w:tcPr>
            <w:tcW w:w="3114" w:type="dxa"/>
          </w:tcPr>
          <w:p w:rsidR="009E4499" w:rsidRPr="00731F96" w:rsidRDefault="009E4499" w:rsidP="009E4499">
            <w:pPr>
              <w:pStyle w:val="TableParagraph"/>
              <w:tabs>
                <w:tab w:val="left" w:pos="0"/>
              </w:tabs>
              <w:spacing w:line="276" w:lineRule="auto"/>
              <w:ind w:left="107"/>
              <w:rPr>
                <w:sz w:val="20"/>
                <w:szCs w:val="20"/>
                <w:lang w:val="mn-MN"/>
              </w:rPr>
            </w:pPr>
            <w:r w:rsidRPr="00EF2D2B">
              <w:rPr>
                <w:sz w:val="20"/>
                <w:szCs w:val="20"/>
                <w:lang w:val="mn-MN"/>
              </w:rPr>
              <w:lastRenderedPageBreak/>
              <w:t>IEC 61850-8-1 GOOSE</w:t>
            </w:r>
          </w:p>
          <w:p w:rsidR="009E4499" w:rsidRPr="00EF2D2B" w:rsidRDefault="009E4499" w:rsidP="009E4499">
            <w:pPr>
              <w:pStyle w:val="TableParagraph"/>
              <w:tabs>
                <w:tab w:val="left" w:pos="0"/>
              </w:tabs>
              <w:spacing w:before="1" w:line="276" w:lineRule="auto"/>
              <w:ind w:left="107"/>
              <w:rPr>
                <w:sz w:val="20"/>
                <w:szCs w:val="20"/>
                <w:lang w:val="mn-MN"/>
              </w:rPr>
            </w:pPr>
            <w:r w:rsidRPr="00EF2D2B">
              <w:rPr>
                <w:sz w:val="20"/>
                <w:szCs w:val="20"/>
                <w:lang w:val="mn-MN"/>
              </w:rPr>
              <w:t>Type 1A</w:t>
            </w:r>
          </w:p>
        </w:tc>
        <w:tc>
          <w:tcPr>
            <w:tcW w:w="3115"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88-B8</w:t>
            </w:r>
          </w:p>
        </w:tc>
        <w:tc>
          <w:tcPr>
            <w:tcW w:w="3115" w:type="dxa"/>
          </w:tcPr>
          <w:p w:rsidR="009E4499" w:rsidRPr="00D33687" w:rsidRDefault="009E4499" w:rsidP="009E4499">
            <w:pPr>
              <w:pStyle w:val="TableParagraph"/>
              <w:tabs>
                <w:tab w:val="left" w:pos="0"/>
              </w:tabs>
              <w:spacing w:before="0" w:line="276" w:lineRule="auto"/>
              <w:rPr>
                <w:sz w:val="20"/>
                <w:szCs w:val="20"/>
                <w:lang w:val="mn-MN"/>
              </w:rPr>
            </w:pPr>
          </w:p>
        </w:tc>
      </w:tr>
    </w:tbl>
    <w:p w:rsidR="009E4499" w:rsidRDefault="009E4499" w:rsidP="00F11C9C">
      <w:pPr>
        <w:ind w:left="0" w:firstLine="0"/>
      </w:pPr>
    </w:p>
    <w:p w:rsidR="009E4499" w:rsidRPr="00EF2D2B" w:rsidRDefault="009E4499" w:rsidP="009E4499">
      <w:pPr>
        <w:tabs>
          <w:tab w:val="left" w:pos="142"/>
        </w:tabs>
        <w:ind w:left="142"/>
        <w:jc w:val="center"/>
        <w:rPr>
          <w:b/>
        </w:rPr>
      </w:pPr>
      <w:r w:rsidRPr="00731F96">
        <w:rPr>
          <w:b/>
        </w:rPr>
        <w:t>Table</w:t>
      </w:r>
      <w:r>
        <w:rPr>
          <w:b/>
        </w:rPr>
        <w:t xml:space="preserve"> 8 – IEC 61850 Ethertype values</w:t>
      </w:r>
    </w:p>
    <w:tbl>
      <w:tblPr>
        <w:tblStyle w:val="TableGrid"/>
        <w:tblW w:w="0" w:type="auto"/>
        <w:tblLook w:val="04A0" w:firstRow="1" w:lastRow="0" w:firstColumn="1" w:lastColumn="0" w:noHBand="0" w:noVBand="1"/>
      </w:tblPr>
      <w:tblGrid>
        <w:gridCol w:w="3114"/>
        <w:gridCol w:w="3115"/>
        <w:gridCol w:w="3115"/>
      </w:tblGrid>
      <w:tr w:rsidR="009E4499" w:rsidTr="009E4499">
        <w:tc>
          <w:tcPr>
            <w:tcW w:w="3114" w:type="dxa"/>
          </w:tcPr>
          <w:p w:rsidR="009E4499" w:rsidRPr="00EF2D2B" w:rsidRDefault="009E4499" w:rsidP="009E4499">
            <w:pPr>
              <w:pStyle w:val="TableParagraph"/>
              <w:tabs>
                <w:tab w:val="left" w:pos="0"/>
              </w:tabs>
              <w:spacing w:before="53" w:line="276" w:lineRule="auto"/>
              <w:ind w:left="375" w:right="376"/>
              <w:jc w:val="center"/>
              <w:rPr>
                <w:b/>
                <w:sz w:val="20"/>
                <w:szCs w:val="20"/>
                <w:lang w:val="mn-MN"/>
              </w:rPr>
            </w:pPr>
            <w:r w:rsidRPr="00EF2D2B">
              <w:rPr>
                <w:b/>
                <w:sz w:val="20"/>
                <w:szCs w:val="20"/>
                <w:lang w:val="mn-MN"/>
              </w:rPr>
              <w:t>Use</w:t>
            </w:r>
          </w:p>
        </w:tc>
        <w:tc>
          <w:tcPr>
            <w:tcW w:w="3115" w:type="dxa"/>
          </w:tcPr>
          <w:p w:rsidR="009E4499" w:rsidRPr="00EF2D2B" w:rsidRDefault="009E4499" w:rsidP="009E4499">
            <w:pPr>
              <w:pStyle w:val="TableParagraph"/>
              <w:tabs>
                <w:tab w:val="left" w:pos="0"/>
              </w:tabs>
              <w:spacing w:before="53" w:line="276" w:lineRule="auto"/>
              <w:ind w:left="547" w:hanging="70"/>
              <w:rPr>
                <w:b/>
                <w:sz w:val="20"/>
                <w:szCs w:val="20"/>
                <w:lang w:val="mn-MN"/>
              </w:rPr>
            </w:pPr>
            <w:r w:rsidRPr="00EF2D2B">
              <w:rPr>
                <w:b/>
                <w:sz w:val="20"/>
                <w:szCs w:val="20"/>
                <w:lang w:val="mn-MN"/>
              </w:rPr>
              <w:t>Ethertype value (hexadecimal)</w:t>
            </w:r>
          </w:p>
        </w:tc>
        <w:tc>
          <w:tcPr>
            <w:tcW w:w="3115" w:type="dxa"/>
          </w:tcPr>
          <w:p w:rsidR="009E4499" w:rsidRPr="00EF2D2B" w:rsidRDefault="009E4499" w:rsidP="009E4499">
            <w:pPr>
              <w:pStyle w:val="TableParagraph"/>
              <w:tabs>
                <w:tab w:val="left" w:pos="0"/>
              </w:tabs>
              <w:spacing w:before="53" w:line="276" w:lineRule="auto"/>
              <w:ind w:left="736"/>
              <w:rPr>
                <w:b/>
                <w:sz w:val="20"/>
                <w:szCs w:val="20"/>
                <w:lang w:val="mn-MN"/>
              </w:rPr>
            </w:pPr>
            <w:r w:rsidRPr="00EF2D2B">
              <w:rPr>
                <w:b/>
                <w:sz w:val="20"/>
                <w:szCs w:val="20"/>
                <w:lang w:val="mn-MN"/>
              </w:rPr>
              <w:t>Comment</w:t>
            </w:r>
          </w:p>
        </w:tc>
      </w:tr>
      <w:tr w:rsidR="009E4499" w:rsidTr="009E4499">
        <w:tc>
          <w:tcPr>
            <w:tcW w:w="3114" w:type="dxa"/>
          </w:tcPr>
          <w:p w:rsidR="009E4499" w:rsidRPr="00731F96"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 xml:space="preserve">IEC </w:t>
            </w:r>
            <w:r w:rsidRPr="00731F96">
              <w:rPr>
                <w:sz w:val="20"/>
                <w:szCs w:val="20"/>
                <w:lang w:val="mn-MN"/>
              </w:rPr>
              <w:t>61850-8-1 GOOSE</w:t>
            </w:r>
          </w:p>
          <w:p w:rsidR="009E4499" w:rsidRPr="00EF2D2B" w:rsidRDefault="009E4499" w:rsidP="009E4499">
            <w:pPr>
              <w:pStyle w:val="TableParagraph"/>
              <w:tabs>
                <w:tab w:val="left" w:pos="0"/>
              </w:tabs>
              <w:spacing w:before="0" w:line="276" w:lineRule="auto"/>
              <w:ind w:left="107"/>
              <w:rPr>
                <w:sz w:val="20"/>
                <w:szCs w:val="20"/>
                <w:lang w:val="mn-MN"/>
              </w:rPr>
            </w:pPr>
            <w:r w:rsidRPr="00EF2D2B">
              <w:rPr>
                <w:sz w:val="20"/>
                <w:szCs w:val="20"/>
                <w:lang w:val="mn-MN"/>
              </w:rPr>
              <w:t>Type 1</w:t>
            </w:r>
          </w:p>
        </w:tc>
        <w:tc>
          <w:tcPr>
            <w:tcW w:w="3115" w:type="dxa"/>
          </w:tcPr>
          <w:p w:rsidR="009E4499" w:rsidRPr="00EF2D2B"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88-B8</w:t>
            </w:r>
          </w:p>
        </w:tc>
        <w:tc>
          <w:tcPr>
            <w:tcW w:w="3115" w:type="dxa"/>
          </w:tcPr>
          <w:p w:rsidR="009E4499" w:rsidRPr="00D33687" w:rsidRDefault="009E4499" w:rsidP="009E4499">
            <w:pPr>
              <w:pStyle w:val="TableParagraph"/>
              <w:tabs>
                <w:tab w:val="left" w:pos="0"/>
              </w:tabs>
              <w:spacing w:before="0" w:line="276" w:lineRule="auto"/>
              <w:rPr>
                <w:sz w:val="20"/>
                <w:szCs w:val="20"/>
                <w:lang w:val="mn-MN"/>
              </w:rPr>
            </w:pPr>
          </w:p>
        </w:tc>
      </w:tr>
      <w:tr w:rsidR="009E4499" w:rsidTr="009E4499">
        <w:tc>
          <w:tcPr>
            <w:tcW w:w="3114" w:type="dxa"/>
          </w:tcPr>
          <w:p w:rsidR="009E4499" w:rsidRPr="00731F96" w:rsidRDefault="009E4499" w:rsidP="009E4499">
            <w:pPr>
              <w:pStyle w:val="TableParagraph"/>
              <w:tabs>
                <w:tab w:val="left" w:pos="0"/>
              </w:tabs>
              <w:spacing w:line="276" w:lineRule="auto"/>
              <w:ind w:left="107"/>
              <w:rPr>
                <w:sz w:val="20"/>
                <w:szCs w:val="20"/>
                <w:lang w:val="mn-MN"/>
              </w:rPr>
            </w:pPr>
            <w:r w:rsidRPr="00EF2D2B">
              <w:rPr>
                <w:sz w:val="20"/>
                <w:szCs w:val="20"/>
                <w:lang w:val="mn-MN"/>
              </w:rPr>
              <w:t>IEC 61850-8-1 GSE</w:t>
            </w:r>
          </w:p>
          <w:p w:rsidR="009E4499" w:rsidRPr="00EF2D2B" w:rsidRDefault="009E4499" w:rsidP="009E4499">
            <w:pPr>
              <w:pStyle w:val="TableParagraph"/>
              <w:tabs>
                <w:tab w:val="left" w:pos="0"/>
              </w:tabs>
              <w:spacing w:before="1" w:line="276" w:lineRule="auto"/>
              <w:ind w:left="107"/>
              <w:rPr>
                <w:sz w:val="20"/>
                <w:szCs w:val="20"/>
                <w:lang w:val="mn-MN"/>
              </w:rPr>
            </w:pPr>
            <w:r w:rsidRPr="00EF2D2B">
              <w:rPr>
                <w:sz w:val="20"/>
                <w:szCs w:val="20"/>
                <w:lang w:val="mn-MN"/>
              </w:rPr>
              <w:t>Management</w:t>
            </w:r>
          </w:p>
        </w:tc>
        <w:tc>
          <w:tcPr>
            <w:tcW w:w="3115"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88-B9</w:t>
            </w:r>
          </w:p>
        </w:tc>
        <w:tc>
          <w:tcPr>
            <w:tcW w:w="3115"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Out of the scope of this standard</w:t>
            </w:r>
          </w:p>
        </w:tc>
      </w:tr>
      <w:tr w:rsidR="009E4499" w:rsidTr="009E4499">
        <w:tc>
          <w:tcPr>
            <w:tcW w:w="3114" w:type="dxa"/>
          </w:tcPr>
          <w:p w:rsidR="009E4499" w:rsidRPr="00731F96"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IEC 61850-9-2 Sampled Values</w:t>
            </w:r>
          </w:p>
        </w:tc>
        <w:tc>
          <w:tcPr>
            <w:tcW w:w="3115" w:type="dxa"/>
          </w:tcPr>
          <w:p w:rsidR="009E4499" w:rsidRPr="00EF2D2B"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88-BA</w:t>
            </w:r>
          </w:p>
        </w:tc>
        <w:tc>
          <w:tcPr>
            <w:tcW w:w="3115" w:type="dxa"/>
          </w:tcPr>
          <w:p w:rsidR="009E4499" w:rsidRPr="00D33687" w:rsidRDefault="009E4499" w:rsidP="009E4499">
            <w:pPr>
              <w:pStyle w:val="TableParagraph"/>
              <w:tabs>
                <w:tab w:val="left" w:pos="0"/>
              </w:tabs>
              <w:spacing w:before="0" w:line="276" w:lineRule="auto"/>
              <w:rPr>
                <w:sz w:val="20"/>
                <w:szCs w:val="20"/>
                <w:lang w:val="mn-MN"/>
              </w:rPr>
            </w:pPr>
          </w:p>
        </w:tc>
      </w:tr>
      <w:tr w:rsidR="009E4499" w:rsidTr="009E4499">
        <w:tc>
          <w:tcPr>
            <w:tcW w:w="3114" w:type="dxa"/>
          </w:tcPr>
          <w:p w:rsidR="009E4499" w:rsidRPr="00731F96" w:rsidRDefault="009E4499" w:rsidP="009E4499">
            <w:pPr>
              <w:pStyle w:val="TableParagraph"/>
              <w:tabs>
                <w:tab w:val="left" w:pos="0"/>
              </w:tabs>
              <w:spacing w:line="276" w:lineRule="auto"/>
              <w:ind w:left="107"/>
              <w:rPr>
                <w:sz w:val="20"/>
                <w:szCs w:val="20"/>
                <w:lang w:val="mn-MN"/>
              </w:rPr>
            </w:pPr>
            <w:r w:rsidRPr="00EF2D2B">
              <w:rPr>
                <w:sz w:val="20"/>
                <w:szCs w:val="20"/>
                <w:lang w:val="mn-MN"/>
              </w:rPr>
              <w:t>IEC 61850-8-1 GOOSE</w:t>
            </w:r>
          </w:p>
          <w:p w:rsidR="009E4499" w:rsidRPr="00EF2D2B" w:rsidRDefault="009E4499" w:rsidP="009E4499">
            <w:pPr>
              <w:pStyle w:val="TableParagraph"/>
              <w:tabs>
                <w:tab w:val="left" w:pos="0"/>
              </w:tabs>
              <w:spacing w:before="1" w:line="276" w:lineRule="auto"/>
              <w:ind w:left="107"/>
              <w:rPr>
                <w:sz w:val="20"/>
                <w:szCs w:val="20"/>
                <w:lang w:val="mn-MN"/>
              </w:rPr>
            </w:pPr>
            <w:r w:rsidRPr="00EF2D2B">
              <w:rPr>
                <w:sz w:val="20"/>
                <w:szCs w:val="20"/>
                <w:lang w:val="mn-MN"/>
              </w:rPr>
              <w:t>Type 1A</w:t>
            </w:r>
          </w:p>
        </w:tc>
        <w:tc>
          <w:tcPr>
            <w:tcW w:w="3115"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88-B8</w:t>
            </w:r>
          </w:p>
        </w:tc>
        <w:tc>
          <w:tcPr>
            <w:tcW w:w="3115" w:type="dxa"/>
          </w:tcPr>
          <w:p w:rsidR="009E4499" w:rsidRPr="00D33687" w:rsidRDefault="009E4499" w:rsidP="009E4499">
            <w:pPr>
              <w:pStyle w:val="TableParagraph"/>
              <w:tabs>
                <w:tab w:val="left" w:pos="0"/>
              </w:tabs>
              <w:spacing w:before="0" w:line="276" w:lineRule="auto"/>
              <w:rPr>
                <w:sz w:val="20"/>
                <w:szCs w:val="20"/>
                <w:lang w:val="mn-MN"/>
              </w:rPr>
            </w:pPr>
          </w:p>
        </w:tc>
      </w:tr>
    </w:tbl>
    <w:p w:rsidR="009E4499" w:rsidRDefault="009E4499" w:rsidP="00F11C9C">
      <w:pPr>
        <w:ind w:left="0" w:firstLine="0"/>
      </w:pPr>
    </w:p>
    <w:tbl>
      <w:tblPr>
        <w:tblStyle w:val="TableGrid"/>
        <w:tblW w:w="0" w:type="auto"/>
        <w:tblLook w:val="04A0" w:firstRow="1" w:lastRow="0" w:firstColumn="1" w:lastColumn="0" w:noHBand="0" w:noVBand="1"/>
      </w:tblPr>
      <w:tblGrid>
        <w:gridCol w:w="4672"/>
        <w:gridCol w:w="4672"/>
      </w:tblGrid>
      <w:tr w:rsidR="009E4499" w:rsidTr="009E4499">
        <w:tc>
          <w:tcPr>
            <w:tcW w:w="4672" w:type="dxa"/>
          </w:tcPr>
          <w:p w:rsidR="009E4499" w:rsidRPr="009E4499" w:rsidRDefault="009E4499" w:rsidP="009E4499">
            <w:pPr>
              <w:tabs>
                <w:tab w:val="left" w:pos="0"/>
              </w:tabs>
              <w:ind w:left="0" w:firstLine="0"/>
              <w:rPr>
                <w:rFonts w:eastAsia="Calibri"/>
                <w:b/>
                <w:bCs/>
                <w:szCs w:val="22"/>
              </w:rPr>
            </w:pPr>
            <w:r w:rsidRPr="009E4499">
              <w:rPr>
                <w:rFonts w:eastAsia="Calibri"/>
                <w:b/>
                <w:bCs/>
                <w:szCs w:val="22"/>
              </w:rPr>
              <w:t>11.3.3.7.1 destinationMACAddress</w:t>
            </w:r>
          </w:p>
          <w:p w:rsidR="009E4499" w:rsidRPr="009E4499" w:rsidRDefault="009E4499" w:rsidP="009E4499">
            <w:pPr>
              <w:tabs>
                <w:tab w:val="left" w:pos="0"/>
              </w:tabs>
              <w:ind w:left="0" w:firstLine="0"/>
              <w:rPr>
                <w:rFonts w:eastAsia="Calibri"/>
                <w:bCs/>
                <w:szCs w:val="22"/>
              </w:rPr>
            </w:pPr>
            <w:r w:rsidRPr="009E4499">
              <w:rPr>
                <w:rFonts w:eastAsia="Calibri"/>
                <w:bCs/>
                <w:szCs w:val="22"/>
              </w:rPr>
              <w:t>Хүрэх газрын МедиаХандалтыг Удирдах (MAC) хаягийн талбар нь зургаан (6) октет хэмжээтэй байх ёстой. Энэ нь туннельдсэн PDU руу илгээсэн анхны MAC хаягийг агуулсан байх ёстой. Утга нь ISO/IEC 8802-3: 2000-д тодорхойлсон дамжуулах захиалгатай байх ёстой.</w:t>
            </w:r>
          </w:p>
          <w:p w:rsidR="009E4499" w:rsidRPr="009E4499" w:rsidRDefault="009E4499" w:rsidP="009E4499">
            <w:pPr>
              <w:tabs>
                <w:tab w:val="left" w:pos="0"/>
              </w:tabs>
              <w:ind w:left="0" w:firstLine="0"/>
              <w:rPr>
                <w:rFonts w:eastAsia="Calibri"/>
                <w:b/>
                <w:bCs/>
                <w:szCs w:val="22"/>
              </w:rPr>
            </w:pPr>
            <w:r w:rsidRPr="009E4499">
              <w:rPr>
                <w:rFonts w:eastAsia="Calibri"/>
                <w:b/>
                <w:bCs/>
                <w:szCs w:val="22"/>
              </w:rPr>
              <w:t>11.3.3.7.2 TPID ба TCI</w:t>
            </w:r>
          </w:p>
          <w:p w:rsidR="009E4499" w:rsidRPr="009E4499" w:rsidRDefault="009E4499" w:rsidP="009E4499">
            <w:pPr>
              <w:tabs>
                <w:tab w:val="left" w:pos="0"/>
              </w:tabs>
              <w:ind w:left="0" w:firstLine="0"/>
              <w:rPr>
                <w:rFonts w:eastAsia="Calibri"/>
                <w:bCs/>
                <w:szCs w:val="22"/>
              </w:rPr>
            </w:pPr>
            <w:r w:rsidRPr="009E4499">
              <w:rPr>
                <w:rFonts w:eastAsia="Calibri"/>
                <w:bCs/>
                <w:szCs w:val="22"/>
              </w:rPr>
              <w:t>Зураг 28-д хаягийн гарчгийн бүтцийг тодорхойлсон.</w:t>
            </w:r>
          </w:p>
          <w:p w:rsidR="009E4499" w:rsidRPr="009E4499" w:rsidRDefault="009E4499" w:rsidP="009E4499">
            <w:pPr>
              <w:tabs>
                <w:tab w:val="left" w:pos="0"/>
              </w:tabs>
              <w:ind w:left="0" w:firstLine="0"/>
              <w:rPr>
                <w:rFonts w:eastAsia="Calibri"/>
                <w:bCs/>
                <w:szCs w:val="22"/>
              </w:rPr>
            </w:pPr>
            <w:r w:rsidRPr="009E4499">
              <w:rPr>
                <w:rFonts w:eastAsia="Calibri"/>
                <w:bCs/>
                <w:szCs w:val="22"/>
              </w:rPr>
              <w:t>TPID (Tag Protocol Identifier) талбар: 802.1Q Этернэт кодлогдсон хүрээнд нэвтрэх  Ethertype-ийг заана. Энэ утга нь 0x8100 байна.</w:t>
            </w:r>
          </w:p>
          <w:p w:rsidR="009E4499" w:rsidRPr="009E4499" w:rsidRDefault="009E4499" w:rsidP="009E4499">
            <w:pPr>
              <w:tabs>
                <w:tab w:val="left" w:pos="0"/>
              </w:tabs>
              <w:ind w:left="0" w:firstLine="0"/>
              <w:rPr>
                <w:rFonts w:eastAsia="Calibri"/>
                <w:bCs/>
                <w:szCs w:val="22"/>
              </w:rPr>
            </w:pPr>
            <w:r w:rsidRPr="009E4499">
              <w:rPr>
                <w:rFonts w:eastAsia="Calibri"/>
                <w:bCs/>
                <w:szCs w:val="22"/>
              </w:rPr>
              <w:t>TCI (Tag Control Information) Талбарууд: Хэрэглэгчийн Эрэмбэ: BS3; хэрэглэгчийн эрэмбийн утгыг түүвэрлэсэн утга ба цаг хугацааны чухал хамгаалалттай холбогдох GOOSE мессежийг бага эрэмбэтэй ачааллаас(busload)тусгаарлах зорилгоор тохируулгыг тохируулна. Хэрэв эрэмбэ тохируулаагүй бол анхдагч утгуудыг ашиглана.</w:t>
            </w:r>
          </w:p>
          <w:p w:rsidR="009E4499" w:rsidRPr="009E4499" w:rsidRDefault="009E4499" w:rsidP="009E4499">
            <w:pPr>
              <w:tabs>
                <w:tab w:val="left" w:pos="0"/>
              </w:tabs>
              <w:ind w:left="0" w:firstLine="0"/>
              <w:rPr>
                <w:rFonts w:eastAsia="Calibri"/>
                <w:bCs/>
                <w:szCs w:val="22"/>
              </w:rPr>
            </w:pPr>
            <w:r w:rsidRPr="009E4499">
              <w:rPr>
                <w:rFonts w:eastAsia="Calibri"/>
                <w:bCs/>
                <w:szCs w:val="22"/>
              </w:rPr>
              <w:t>CFI (Canonical Format Indicator): BS1 [0]; нэг бит флаг утга. Энэ стандартын хувьд CGI битийн утгыг дахин тохируулах ёстой (value = 0).</w:t>
            </w:r>
          </w:p>
          <w:p w:rsidR="009E4499" w:rsidRPr="009E4499" w:rsidRDefault="009E4499" w:rsidP="009E4499">
            <w:pPr>
              <w:tabs>
                <w:tab w:val="left" w:pos="0"/>
              </w:tabs>
              <w:ind w:left="0" w:firstLine="0"/>
              <w:rPr>
                <w:rFonts w:eastAsia="Calibri"/>
                <w:bCs/>
                <w:szCs w:val="22"/>
              </w:rPr>
            </w:pPr>
            <w:r w:rsidRPr="009E4499">
              <w:rPr>
                <w:rFonts w:eastAsia="Calibri"/>
                <w:bCs/>
                <w:szCs w:val="22"/>
              </w:rPr>
              <w:lastRenderedPageBreak/>
              <w:t>ТАЙЛБАР: Хэрэв (value = 1) гэжтохируулсан бол, Embedded Resource Identification Field(Шигтэгсэн Нөөцийг Тодорхойлох Талбар)(E-RIF) нь ISO/IEC 8802-3 тэмдэглэгдсэн хүрээ дэх Урт/Төрөл талбарыг дагана.</w:t>
            </w:r>
          </w:p>
          <w:p w:rsidR="009E4499" w:rsidRPr="009E4499" w:rsidRDefault="009E4499" w:rsidP="009E4499">
            <w:pPr>
              <w:tabs>
                <w:tab w:val="left" w:pos="0"/>
              </w:tabs>
              <w:ind w:left="0" w:firstLine="0"/>
              <w:rPr>
                <w:rFonts w:eastAsia="Calibri"/>
                <w:bCs/>
                <w:szCs w:val="22"/>
              </w:rPr>
            </w:pPr>
            <w:r w:rsidRPr="009E4499">
              <w:rPr>
                <w:rFonts w:eastAsia="Calibri"/>
                <w:bCs/>
                <w:szCs w:val="22"/>
              </w:rPr>
              <w:t>VID: Виртуал LAN дэмжлэгийг ашиглах нь сонголттой. Хэрэв энэ механизмыг ашиглаж байгаа бол VLAN тодорхойлогчийг (VID) гэж тохируулгыг тохируулна; хэрэв ашиглаагүй бол түүнийг 0 (0) болгож тохируулна.</w:t>
            </w:r>
          </w:p>
          <w:p w:rsidR="009E4499" w:rsidRPr="009E4499" w:rsidRDefault="009E4499" w:rsidP="009E4499">
            <w:pPr>
              <w:tabs>
                <w:tab w:val="left" w:pos="0"/>
              </w:tabs>
              <w:ind w:left="0" w:firstLine="0"/>
              <w:rPr>
                <w:rFonts w:eastAsia="Calibri"/>
                <w:bCs/>
                <w:szCs w:val="22"/>
              </w:rPr>
            </w:pPr>
            <w:r w:rsidRPr="009E4499">
              <w:rPr>
                <w:rFonts w:eastAsia="Calibri"/>
                <w:bCs/>
                <w:szCs w:val="22"/>
              </w:rPr>
              <w:t>TPIDandTCI талбар нь дөрөв (4) октет байх бөгөөд захиалагчийн хүлээн авсан утгыг агуулна (ж.нь туннелийн төгсгөлийг хэвлэх).Зураг 28-т заасны дагуу Этернэт дамжуулах захиалгыг хадгална.Гэсэн хэдий ч системийн зарим загвараас шалтгаалан мэдээллийг захиалагч хүлээж авахгүй байж магадгүй. Энэ тохиолдолд бүх октетыг тэг (0) утгаар тохируулна.</w:t>
            </w:r>
          </w:p>
          <w:p w:rsidR="009E4499" w:rsidRPr="009E4499" w:rsidRDefault="009E4499" w:rsidP="009E4499">
            <w:pPr>
              <w:tabs>
                <w:tab w:val="left" w:pos="0"/>
              </w:tabs>
              <w:ind w:left="0" w:firstLine="0"/>
              <w:rPr>
                <w:rFonts w:eastAsia="Calibri"/>
                <w:bCs/>
                <w:szCs w:val="22"/>
              </w:rPr>
            </w:pPr>
            <w:r w:rsidRPr="009E4499">
              <w:rPr>
                <w:rFonts w:eastAsia="Calibri"/>
                <w:bCs/>
                <w:szCs w:val="22"/>
              </w:rPr>
              <w:t>Туннельдсэн PDU-ийн хүлээн авагч нэгж хэсэг нь TPID болон TCI мэдээллийг дотоод LAN сегментэд шаардлагатай тохиолдолд дахин зураглах боломжтой байхыг зөвлөж байна. Энэ зураглал нь тэг (0) утгын зураглал хийх чадвартай байх ёстой. Энэ зураглалын функц нь дотоод асуудал бөгөөд энэ стандартад хамаарахгүй.</w:t>
            </w:r>
          </w:p>
        </w:tc>
        <w:tc>
          <w:tcPr>
            <w:tcW w:w="4672" w:type="dxa"/>
          </w:tcPr>
          <w:p w:rsidR="009E4499" w:rsidRPr="009E4499" w:rsidRDefault="009E4499" w:rsidP="009E4499">
            <w:pPr>
              <w:tabs>
                <w:tab w:val="left" w:pos="0"/>
              </w:tabs>
              <w:ind w:left="0" w:firstLine="0"/>
              <w:rPr>
                <w:rFonts w:eastAsia="Calibri"/>
                <w:b/>
                <w:bCs/>
                <w:szCs w:val="22"/>
              </w:rPr>
            </w:pPr>
            <w:r w:rsidRPr="009E4499">
              <w:rPr>
                <w:rFonts w:eastAsia="Calibri"/>
                <w:b/>
                <w:bCs/>
                <w:szCs w:val="22"/>
              </w:rPr>
              <w:lastRenderedPageBreak/>
              <w:t>11.3.3.7.1 destinationMACAddress</w:t>
            </w:r>
          </w:p>
          <w:p w:rsidR="009E4499" w:rsidRPr="009E4499" w:rsidRDefault="009E4499" w:rsidP="009E4499">
            <w:pPr>
              <w:tabs>
                <w:tab w:val="left" w:pos="0"/>
              </w:tabs>
              <w:ind w:left="0" w:firstLine="0"/>
              <w:rPr>
                <w:rFonts w:eastAsia="Calibri"/>
                <w:bCs/>
                <w:szCs w:val="22"/>
              </w:rPr>
            </w:pPr>
            <w:r w:rsidRPr="009E4499">
              <w:rPr>
                <w:rFonts w:eastAsia="Calibri"/>
                <w:bCs/>
                <w:szCs w:val="22"/>
              </w:rPr>
              <w:t>The destination Media Access Control (MAC) address field shall be  six (6) octets in size. It  shall contain the original MAC address that the tunnelled PDU was sent to. The value shall be in transmission order as defined by ISO.IEC 8802-3:2000.</w:t>
            </w:r>
          </w:p>
          <w:p w:rsidR="009E4499" w:rsidRPr="009E4499" w:rsidRDefault="009E4499" w:rsidP="009E4499">
            <w:pPr>
              <w:tabs>
                <w:tab w:val="left" w:pos="0"/>
              </w:tabs>
              <w:ind w:left="0" w:firstLine="0"/>
              <w:rPr>
                <w:rFonts w:eastAsia="Calibri"/>
                <w:b/>
                <w:bCs/>
                <w:szCs w:val="22"/>
              </w:rPr>
            </w:pPr>
            <w:r w:rsidRPr="009E4499">
              <w:rPr>
                <w:rFonts w:eastAsia="Calibri"/>
                <w:b/>
                <w:bCs/>
                <w:szCs w:val="22"/>
              </w:rPr>
              <w:t>11.3.3.7.2 TPID and TCI</w:t>
            </w:r>
          </w:p>
          <w:p w:rsidR="009E4499" w:rsidRPr="009E4499" w:rsidRDefault="009E4499" w:rsidP="009E4499">
            <w:pPr>
              <w:tabs>
                <w:tab w:val="left" w:pos="0"/>
              </w:tabs>
              <w:ind w:left="0" w:firstLine="0"/>
              <w:rPr>
                <w:rFonts w:eastAsia="Calibri"/>
                <w:bCs/>
                <w:szCs w:val="22"/>
              </w:rPr>
            </w:pPr>
            <w:r w:rsidRPr="009E4499">
              <w:rPr>
                <w:rFonts w:eastAsia="Calibri"/>
                <w:bCs/>
                <w:szCs w:val="22"/>
              </w:rPr>
              <w:t xml:space="preserve">The structure of the tag header is defined in </w:t>
            </w:r>
            <w:hyperlink w:anchor="_bookmark51" w:history="1">
              <w:r w:rsidRPr="009E4499">
                <w:rPr>
                  <w:rFonts w:eastAsia="Calibri"/>
                  <w:bCs/>
                  <w:szCs w:val="22"/>
                </w:rPr>
                <w:t>Figure 28.</w:t>
              </w:r>
            </w:hyperlink>
          </w:p>
          <w:p w:rsidR="009E4499" w:rsidRPr="009E4499" w:rsidRDefault="009E4499" w:rsidP="009E4499">
            <w:pPr>
              <w:tabs>
                <w:tab w:val="left" w:pos="0"/>
              </w:tabs>
              <w:ind w:left="0" w:firstLine="0"/>
              <w:rPr>
                <w:rFonts w:eastAsia="Calibri"/>
                <w:bCs/>
                <w:szCs w:val="22"/>
              </w:rPr>
            </w:pPr>
            <w:r w:rsidRPr="009E4499">
              <w:rPr>
                <w:rFonts w:eastAsia="Calibri"/>
                <w:bCs/>
                <w:szCs w:val="22"/>
              </w:rPr>
              <w:t>TPID (Tag Protocol Identifier) Field: Indicates the Ethertype assigned for 802.1Q Ethernet encoded frames. This value shall be 0x8100.</w:t>
            </w:r>
          </w:p>
          <w:p w:rsidR="009E4499" w:rsidRPr="009E4499" w:rsidRDefault="009E4499" w:rsidP="009E4499">
            <w:pPr>
              <w:tabs>
                <w:tab w:val="left" w:pos="0"/>
              </w:tabs>
              <w:ind w:left="0" w:firstLine="0"/>
              <w:rPr>
                <w:rFonts w:eastAsia="Calibri"/>
                <w:bCs/>
                <w:szCs w:val="22"/>
              </w:rPr>
            </w:pPr>
            <w:r w:rsidRPr="009E4499">
              <w:rPr>
                <w:rFonts w:eastAsia="Calibri"/>
                <w:bCs/>
                <w:szCs w:val="22"/>
              </w:rPr>
              <w:t>TCI (Tag Control Information) Fields: User Priority: BS3; user priority value shall be set by configuration to separate sampled values and time critical protection relevant GOOSE  messages from low priority busload. If the priority is not configured, then the default values  shall be used.</w:t>
            </w:r>
          </w:p>
          <w:p w:rsidR="009E4499" w:rsidRPr="009E4499" w:rsidRDefault="009E4499" w:rsidP="009E4499">
            <w:pPr>
              <w:tabs>
                <w:tab w:val="left" w:pos="0"/>
              </w:tabs>
              <w:ind w:left="0" w:firstLine="0"/>
              <w:rPr>
                <w:rFonts w:eastAsia="Calibri"/>
                <w:bCs/>
                <w:szCs w:val="22"/>
              </w:rPr>
            </w:pPr>
            <w:r w:rsidRPr="009E4499">
              <w:rPr>
                <w:rFonts w:eastAsia="Calibri"/>
                <w:bCs/>
                <w:szCs w:val="22"/>
              </w:rPr>
              <w:t>CFI (Canonical Format Indicator): BS1 [0]; a  single bit flag value. For this standard, the CGI   bit value shall be reset (value = 0).</w:t>
            </w:r>
          </w:p>
          <w:p w:rsidR="009E4499" w:rsidRPr="009E4499" w:rsidRDefault="009E4499" w:rsidP="009E4499">
            <w:pPr>
              <w:tabs>
                <w:tab w:val="left" w:pos="0"/>
              </w:tabs>
              <w:ind w:left="0" w:firstLine="0"/>
              <w:rPr>
                <w:rFonts w:eastAsia="Calibri"/>
                <w:bCs/>
                <w:szCs w:val="22"/>
              </w:rPr>
            </w:pPr>
            <w:r w:rsidRPr="009E4499">
              <w:rPr>
                <w:rFonts w:eastAsia="Calibri"/>
                <w:bCs/>
                <w:szCs w:val="22"/>
              </w:rPr>
              <w:t>NOTE If set (value = 1), an Embedded Resource Identification Field (E-RIF) follows the Length/Type field in the ISO/IEC 8802-3 tagged frame.</w:t>
            </w:r>
          </w:p>
          <w:p w:rsidR="009E4499" w:rsidRPr="009E4499" w:rsidRDefault="009E4499" w:rsidP="009E4499">
            <w:pPr>
              <w:tabs>
                <w:tab w:val="left" w:pos="0"/>
              </w:tabs>
              <w:ind w:left="0" w:firstLine="0"/>
              <w:rPr>
                <w:rFonts w:eastAsia="Calibri"/>
                <w:bCs/>
                <w:szCs w:val="22"/>
              </w:rPr>
            </w:pPr>
            <w:r w:rsidRPr="009E4499">
              <w:rPr>
                <w:rFonts w:eastAsia="Calibri"/>
                <w:bCs/>
                <w:szCs w:val="22"/>
              </w:rPr>
              <w:lastRenderedPageBreak/>
              <w:t>VID: The use of Virtual LAN support is optional. If this mechanism is used, the VLAN Identifier (VID) shall be set by configuration; if it is not used, it shall be set to zero (0).</w:t>
            </w:r>
          </w:p>
          <w:p w:rsidR="009E4499" w:rsidRPr="009E4499" w:rsidRDefault="009E4499" w:rsidP="009E4499">
            <w:pPr>
              <w:tabs>
                <w:tab w:val="left" w:pos="0"/>
              </w:tabs>
              <w:ind w:left="0" w:firstLine="0"/>
              <w:rPr>
                <w:rFonts w:eastAsia="Calibri"/>
                <w:bCs/>
                <w:szCs w:val="22"/>
              </w:rPr>
            </w:pPr>
            <w:r w:rsidRPr="009E4499">
              <w:rPr>
                <w:rFonts w:eastAsia="Calibri"/>
                <w:bCs/>
                <w:szCs w:val="22"/>
              </w:rPr>
              <w:t>The TPIDandTCI field shall be four (4) octets and shall contain the values received by the subscriber (e.g. publishing end of the tunnel). The Ethernet transmission order, as shown in</w:t>
            </w:r>
            <w:hyperlink w:anchor="_bookmark51" w:history="1">
              <w:r w:rsidRPr="009E4499">
                <w:rPr>
                  <w:rFonts w:eastAsia="Calibri"/>
                  <w:bCs/>
                  <w:szCs w:val="22"/>
                </w:rPr>
                <w:t xml:space="preserve"> Figure 28</w:t>
              </w:r>
            </w:hyperlink>
            <w:r w:rsidRPr="009E4499">
              <w:rPr>
                <w:rFonts w:eastAsia="Calibri"/>
                <w:bCs/>
                <w:szCs w:val="22"/>
              </w:rPr>
              <w:t xml:space="preserve"> shall be maintained. However, due to some system  designs, the information may  not be received by the subscriber. In this case, all octets shall be set to a value of zero (0).</w:t>
            </w:r>
          </w:p>
          <w:p w:rsidR="009E4499" w:rsidRPr="009E4499" w:rsidRDefault="009E4499" w:rsidP="009E4499">
            <w:pPr>
              <w:tabs>
                <w:tab w:val="left" w:pos="0"/>
              </w:tabs>
              <w:ind w:left="0" w:firstLine="0"/>
              <w:rPr>
                <w:rFonts w:eastAsia="Calibri"/>
                <w:bCs/>
                <w:szCs w:val="22"/>
              </w:rPr>
            </w:pPr>
            <w:r w:rsidRPr="009E4499">
              <w:rPr>
                <w:rFonts w:eastAsia="Calibri"/>
                <w:bCs/>
                <w:szCs w:val="22"/>
              </w:rPr>
              <w:t>It is recommended that the receiving entity, of a tunneled PDU, has the ability to re-map the TPID and TCI information as needed by the local LAN segment. This mapping should include the capability of mapping zero (0) values. This mapping function is a local issue and out of the scope of this standard.</w:t>
            </w:r>
          </w:p>
          <w:p w:rsidR="009E4499" w:rsidRPr="009E4499" w:rsidRDefault="009E4499" w:rsidP="009E4499">
            <w:pPr>
              <w:tabs>
                <w:tab w:val="left" w:pos="0"/>
              </w:tabs>
              <w:ind w:left="0" w:firstLine="0"/>
              <w:rPr>
                <w:rFonts w:eastAsia="Calibri"/>
                <w:bCs/>
                <w:szCs w:val="22"/>
              </w:rPr>
            </w:pPr>
          </w:p>
          <w:p w:rsidR="009E4499" w:rsidRPr="009E4499" w:rsidRDefault="009E4499" w:rsidP="009E4499">
            <w:pPr>
              <w:tabs>
                <w:tab w:val="left" w:pos="0"/>
              </w:tabs>
              <w:ind w:left="0" w:firstLine="0"/>
              <w:rPr>
                <w:rFonts w:eastAsia="Calibri"/>
                <w:bCs/>
                <w:szCs w:val="22"/>
              </w:rPr>
            </w:pPr>
          </w:p>
        </w:tc>
      </w:tr>
    </w:tbl>
    <w:p w:rsidR="009E4499" w:rsidRDefault="009E4499" w:rsidP="00F11C9C">
      <w:pPr>
        <w:ind w:left="0" w:firstLine="0"/>
      </w:pPr>
    </w:p>
    <w:p w:rsidR="009E4499" w:rsidRDefault="009E4499" w:rsidP="009E4499">
      <w:pPr>
        <w:ind w:left="0" w:firstLine="0"/>
        <w:jc w:val="center"/>
      </w:pPr>
      <w:r w:rsidRPr="00EF2D2B">
        <w:rPr>
          <w:noProof/>
          <w:lang w:val="en-US"/>
        </w:rPr>
        <w:drawing>
          <wp:inline distT="0" distB="0" distL="0" distR="0" wp14:anchorId="39C89A28" wp14:editId="5FCEBDA1">
            <wp:extent cx="3790950" cy="1095375"/>
            <wp:effectExtent l="0" t="0" r="0"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90950" cy="1095375"/>
                    </a:xfrm>
                    <a:prstGeom prst="rect">
                      <a:avLst/>
                    </a:prstGeom>
                  </pic:spPr>
                </pic:pic>
              </a:graphicData>
            </a:graphic>
          </wp:inline>
        </w:drawing>
      </w:r>
    </w:p>
    <w:p w:rsidR="009E4499" w:rsidRDefault="009E4499" w:rsidP="009E4499">
      <w:pPr>
        <w:jc w:val="left"/>
        <w:rPr>
          <w:rFonts w:eastAsia="Arial"/>
          <w:b/>
          <w:bCs/>
        </w:rPr>
      </w:pPr>
    </w:p>
    <w:p w:rsidR="009E4499" w:rsidRDefault="009E4499" w:rsidP="009E4499">
      <w:pPr>
        <w:jc w:val="center"/>
        <w:rPr>
          <w:rFonts w:eastAsia="Arial"/>
          <w:b/>
          <w:bCs/>
        </w:rPr>
      </w:pPr>
      <w:r w:rsidRPr="009E4499">
        <w:rPr>
          <w:rFonts w:eastAsia="Arial"/>
          <w:b/>
          <w:bCs/>
        </w:rPr>
        <w:t>28</w:t>
      </w:r>
      <w:r>
        <w:rPr>
          <w:rFonts w:eastAsia="Arial"/>
          <w:b/>
          <w:bCs/>
        </w:rPr>
        <w:t>-р зураг</w:t>
      </w:r>
      <w:r w:rsidRPr="009E4499">
        <w:rPr>
          <w:rFonts w:eastAsia="Arial"/>
          <w:b/>
          <w:bCs/>
        </w:rPr>
        <w:t xml:space="preserve"> – Виртуал LAN хаяг</w:t>
      </w:r>
    </w:p>
    <w:p w:rsidR="009E4499" w:rsidRDefault="009E4499" w:rsidP="009E4499">
      <w:pPr>
        <w:jc w:val="left"/>
        <w:rPr>
          <w:rFonts w:eastAsia="Arial"/>
          <w:b/>
          <w:bCs/>
        </w:rPr>
      </w:pPr>
      <w:r w:rsidRPr="00EF2D2B">
        <w:rPr>
          <w:noProof/>
          <w:lang w:val="en-US"/>
        </w:rPr>
        <w:lastRenderedPageBreak/>
        <w:drawing>
          <wp:inline distT="0" distB="0" distL="0" distR="0" wp14:anchorId="194DC62C" wp14:editId="57B8430D">
            <wp:extent cx="3876675" cy="1381125"/>
            <wp:effectExtent l="0" t="0" r="9525"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76675" cy="1381125"/>
                    </a:xfrm>
                    <a:prstGeom prst="rect">
                      <a:avLst/>
                    </a:prstGeom>
                  </pic:spPr>
                </pic:pic>
              </a:graphicData>
            </a:graphic>
          </wp:inline>
        </w:drawing>
      </w:r>
    </w:p>
    <w:p w:rsidR="009E4499" w:rsidRPr="009E4499" w:rsidRDefault="009E4499" w:rsidP="009E4499">
      <w:pPr>
        <w:jc w:val="center"/>
        <w:rPr>
          <w:rFonts w:eastAsia="Arial"/>
          <w:b/>
          <w:bCs/>
        </w:rPr>
      </w:pPr>
      <w:r w:rsidRPr="009E4499">
        <w:rPr>
          <w:rFonts w:eastAsia="Arial"/>
          <w:b/>
          <w:bCs/>
        </w:rPr>
        <w:t>Figure 28 – Virtual LAN Tag</w:t>
      </w:r>
    </w:p>
    <w:p w:rsidR="009E4499" w:rsidRDefault="009E4499" w:rsidP="00F11C9C">
      <w:pPr>
        <w:ind w:left="0" w:firstLine="0"/>
      </w:pPr>
    </w:p>
    <w:tbl>
      <w:tblPr>
        <w:tblStyle w:val="TableGrid"/>
        <w:tblW w:w="0" w:type="auto"/>
        <w:tblLook w:val="04A0" w:firstRow="1" w:lastRow="0" w:firstColumn="1" w:lastColumn="0" w:noHBand="0" w:noVBand="1"/>
      </w:tblPr>
      <w:tblGrid>
        <w:gridCol w:w="4673"/>
        <w:gridCol w:w="4671"/>
      </w:tblGrid>
      <w:tr w:rsidR="009E4499" w:rsidTr="009E4499">
        <w:tc>
          <w:tcPr>
            <w:tcW w:w="4673" w:type="dxa"/>
          </w:tcPr>
          <w:p w:rsidR="009E4499" w:rsidRPr="009E4499" w:rsidRDefault="009E4499" w:rsidP="009E4499">
            <w:pPr>
              <w:tabs>
                <w:tab w:val="left" w:pos="0"/>
              </w:tabs>
              <w:ind w:left="0" w:firstLine="0"/>
              <w:rPr>
                <w:rFonts w:eastAsia="Calibri"/>
                <w:b/>
                <w:bCs/>
                <w:szCs w:val="22"/>
              </w:rPr>
            </w:pPr>
            <w:r w:rsidRPr="009E4499">
              <w:rPr>
                <w:rFonts w:eastAsia="Calibri"/>
                <w:b/>
                <w:bCs/>
                <w:szCs w:val="22"/>
              </w:rPr>
              <w:t>11.3.3.7.3 tunnelledPduLength</w:t>
            </w:r>
          </w:p>
          <w:p w:rsidR="009E4499" w:rsidRPr="009E4499" w:rsidRDefault="009E4499" w:rsidP="009E4499">
            <w:pPr>
              <w:tabs>
                <w:tab w:val="left" w:pos="0"/>
              </w:tabs>
              <w:ind w:left="0" w:firstLine="0"/>
              <w:rPr>
                <w:rFonts w:eastAsia="Calibri"/>
                <w:bCs/>
                <w:szCs w:val="22"/>
              </w:rPr>
            </w:pPr>
            <w:r w:rsidRPr="009E4499">
              <w:rPr>
                <w:rFonts w:eastAsia="Calibri"/>
                <w:bCs/>
                <w:szCs w:val="22"/>
              </w:rPr>
              <w:t>TunnelledPduLength талбар нь хоёр (2) октетийн баталгаажуулагдаагүй  бүхэл тоо байх ёстой. Утга нь tunnelledPdu дахь октетуудын тоо байх ёстой. Урт нь IEC 61850 Ethertype октетыг Зураг 27-т харуулсны дагуу  Хүрээг Шалгах Дараалл (Frame Check Sequence)-аас бусад бүх октетуудыг багтаана.</w:t>
            </w:r>
          </w:p>
          <w:p w:rsidR="009E4499" w:rsidRPr="009E4499" w:rsidRDefault="009E4499" w:rsidP="009E4499">
            <w:pPr>
              <w:tabs>
                <w:tab w:val="left" w:pos="0"/>
              </w:tabs>
              <w:ind w:left="0" w:firstLine="0"/>
              <w:rPr>
                <w:rFonts w:eastAsia="Calibri"/>
                <w:b/>
                <w:bCs/>
                <w:szCs w:val="22"/>
              </w:rPr>
            </w:pPr>
            <w:r w:rsidRPr="009E4499">
              <w:rPr>
                <w:rFonts w:eastAsia="Calibri"/>
                <w:b/>
                <w:bCs/>
                <w:szCs w:val="22"/>
              </w:rPr>
              <w:t>11.3.3.7.4 tunnelledPdu</w:t>
            </w:r>
          </w:p>
          <w:p w:rsidR="009E4499" w:rsidRPr="009E4499" w:rsidRDefault="009E4499" w:rsidP="009E4499">
            <w:pPr>
              <w:tabs>
                <w:tab w:val="left" w:pos="0"/>
              </w:tabs>
              <w:ind w:left="0" w:firstLine="0"/>
              <w:rPr>
                <w:rFonts w:eastAsia="Calibri"/>
                <w:bCs/>
                <w:szCs w:val="22"/>
              </w:rPr>
            </w:pPr>
            <w:r w:rsidRPr="009E4499">
              <w:rPr>
                <w:rFonts w:eastAsia="Calibri"/>
                <w:bCs/>
                <w:szCs w:val="22"/>
              </w:rPr>
              <w:t>Энэ талбар нь tunnelledPduLength талбарт тодорхойлсон октетуудын тоо.</w:t>
            </w:r>
          </w:p>
          <w:p w:rsidR="009E4499" w:rsidRPr="009E4499" w:rsidRDefault="009E4499" w:rsidP="009E4499">
            <w:pPr>
              <w:tabs>
                <w:tab w:val="left" w:pos="0"/>
              </w:tabs>
              <w:ind w:left="0" w:firstLine="0"/>
              <w:rPr>
                <w:rFonts w:eastAsia="Calibri"/>
                <w:b/>
                <w:bCs/>
                <w:szCs w:val="22"/>
              </w:rPr>
            </w:pPr>
            <w:r w:rsidRPr="009E4499">
              <w:rPr>
                <w:rFonts w:eastAsia="Calibri"/>
                <w:b/>
                <w:bCs/>
                <w:szCs w:val="22"/>
              </w:rPr>
              <w:t>11.3.4 Баталгаажуулах</w:t>
            </w:r>
          </w:p>
          <w:p w:rsidR="009E4499" w:rsidRPr="009E4499" w:rsidRDefault="009E4499" w:rsidP="009E4499">
            <w:pPr>
              <w:tabs>
                <w:tab w:val="left" w:pos="0"/>
              </w:tabs>
              <w:ind w:left="0" w:firstLine="0"/>
              <w:rPr>
                <w:rFonts w:eastAsia="Calibri"/>
                <w:bCs/>
                <w:szCs w:val="22"/>
              </w:rPr>
            </w:pPr>
            <w:r w:rsidRPr="009E4499">
              <w:rPr>
                <w:rFonts w:eastAsia="Calibri"/>
                <w:bCs/>
                <w:szCs w:val="22"/>
              </w:rPr>
              <w:t>Баталгаажуулах боловсруулалт нь 85 гэсэн арван зургаатын тоон утгатай нэг октет хаягаар эхэлнэ. Дараагийн октет нь тооцоолсон баталгаажуулах урт байх ёстой. Гурав дахь октет нь тооцоолсон баталгаажуулахутгын хамгийн их байт байх ёстой.</w:t>
            </w:r>
          </w:p>
          <w:p w:rsidR="009E4499" w:rsidRPr="009E4499" w:rsidRDefault="009E4499" w:rsidP="009E4499">
            <w:pPr>
              <w:tabs>
                <w:tab w:val="left" w:pos="0"/>
              </w:tabs>
              <w:ind w:left="0" w:firstLine="0"/>
              <w:rPr>
                <w:rFonts w:eastAsia="Calibri"/>
                <w:bCs/>
                <w:szCs w:val="22"/>
              </w:rPr>
            </w:pPr>
            <w:r w:rsidRPr="009E4499">
              <w:rPr>
                <w:rFonts w:eastAsia="Calibri"/>
                <w:bCs/>
                <w:szCs w:val="22"/>
              </w:rPr>
              <w:t>Тооцоолсон баталгаажуулах утгыг хэрэглэгчийн өгөгдлийн ачааллын төгсгөлд Горим Тодорхойлогч агуулсан октетуудын баталгаажуулалт/бүрэн бүтэн байдалд ашиглана. signature.calculations нь баталгаажуулах боловсруулалтад хамаарахгүй. Параметрийн утгыг RFC 2104-ийн HMAC алгоритм дээр үндэслэн тооцно.</w:t>
            </w:r>
          </w:p>
          <w:p w:rsidR="009E4499" w:rsidRPr="009E4499" w:rsidRDefault="009E4499" w:rsidP="009E4499">
            <w:pPr>
              <w:tabs>
                <w:tab w:val="left" w:pos="0"/>
              </w:tabs>
              <w:ind w:left="0" w:firstLine="0"/>
              <w:rPr>
                <w:rFonts w:eastAsia="Calibri"/>
                <w:bCs/>
                <w:szCs w:val="22"/>
              </w:rPr>
            </w:pPr>
            <w:r w:rsidRPr="009E4499">
              <w:rPr>
                <w:rFonts w:eastAsia="Calibri"/>
                <w:bCs/>
                <w:szCs w:val="22"/>
              </w:rPr>
              <w:t>HMAC ба баталгаажуулах боловсруулалтын утга нь ASN.1 OCTETString утга гэж боловсрогдох ёстой.</w:t>
            </w:r>
          </w:p>
          <w:p w:rsidR="009E4499" w:rsidRPr="009E4499" w:rsidRDefault="009E4499" w:rsidP="009E4499">
            <w:pPr>
              <w:tabs>
                <w:tab w:val="left" w:pos="0"/>
              </w:tabs>
              <w:ind w:left="0" w:firstLine="0"/>
              <w:rPr>
                <w:rFonts w:eastAsia="Calibri"/>
                <w:bCs/>
                <w:szCs w:val="22"/>
              </w:rPr>
            </w:pPr>
            <w:r w:rsidRPr="009E4499">
              <w:rPr>
                <w:rFonts w:eastAsia="Calibri"/>
                <w:bCs/>
                <w:szCs w:val="22"/>
              </w:rPr>
              <w:lastRenderedPageBreak/>
              <w:t>Зөвшөөрөгдсөн HMAC функцууд нь: H, HMAC-SHA256 ба AES-GMAC.</w:t>
            </w:r>
          </w:p>
          <w:p w:rsidR="009E4499" w:rsidRPr="009E4499" w:rsidRDefault="009E4499" w:rsidP="009E4499">
            <w:pPr>
              <w:tabs>
                <w:tab w:val="left" w:pos="0"/>
              </w:tabs>
              <w:ind w:left="0" w:firstLine="0"/>
              <w:rPr>
                <w:rFonts w:eastAsia="Calibri"/>
                <w:bCs/>
                <w:szCs w:val="22"/>
              </w:rPr>
            </w:pPr>
            <w:r w:rsidRPr="009E4499">
              <w:rPr>
                <w:rFonts w:eastAsia="Calibri"/>
                <w:bCs/>
                <w:szCs w:val="22"/>
              </w:rPr>
              <w:t>Үүнээс гадна HMAC тооцоолсон утгыг RFC 2104 тутамдтайрах боломжтой. Зөвшөөрөгдсөн тайралт нь 80, 128, 256 бит.</w:t>
            </w:r>
          </w:p>
          <w:p w:rsidR="009E4499" w:rsidRPr="009E4499" w:rsidRDefault="009E4499" w:rsidP="009E4499">
            <w:pPr>
              <w:tabs>
                <w:tab w:val="left" w:pos="0"/>
              </w:tabs>
              <w:ind w:left="0" w:firstLine="0"/>
              <w:rPr>
                <w:rFonts w:eastAsia="Calibri"/>
                <w:bCs/>
                <w:szCs w:val="22"/>
              </w:rPr>
            </w:pPr>
            <w:r w:rsidRPr="009E4499">
              <w:rPr>
                <w:rFonts w:eastAsia="Calibri"/>
                <w:bCs/>
                <w:szCs w:val="22"/>
              </w:rPr>
              <w:t>Тиймээс Аюулгүй байдлын алгоритмын талбарт ашигласан HMAC тооллын утгыг Хүснэгт 9-т тодорхойлсноор авна.</w:t>
            </w:r>
          </w:p>
          <w:p w:rsidR="009E4499" w:rsidRPr="009E4499" w:rsidRDefault="009E4499" w:rsidP="009E4499">
            <w:pPr>
              <w:tabs>
                <w:tab w:val="left" w:pos="0"/>
              </w:tabs>
              <w:ind w:left="0" w:firstLine="0"/>
              <w:rPr>
                <w:rFonts w:eastAsia="Calibri"/>
                <w:bCs/>
                <w:szCs w:val="22"/>
              </w:rPr>
            </w:pPr>
            <w:r w:rsidRPr="009E4499">
              <w:rPr>
                <w:rFonts w:eastAsia="Calibri"/>
                <w:bCs/>
                <w:szCs w:val="22"/>
              </w:rPr>
              <w:t>MAC-None сонголт нь туршилтын зориулалттай бөгөөд боловсруулалтын системд ашиглахгүй. Энэ нь ямар ч баталгаажуулах утгыг (жишээ нь MAC) тооцоолоогүй байгааг заана. Тиймээс MAC-None-ийн хувьд баталгаажуулах боловсруулалтын урт октет нь тэг (0) утгыг агуулна.</w:t>
            </w:r>
          </w:p>
          <w:p w:rsidR="009E4499" w:rsidRPr="009E4499" w:rsidRDefault="009E4499" w:rsidP="009E4499">
            <w:pPr>
              <w:tabs>
                <w:tab w:val="left" w:pos="0"/>
              </w:tabs>
              <w:ind w:left="0" w:firstLine="0"/>
              <w:rPr>
                <w:rFonts w:eastAsia="Calibri"/>
                <w:bCs/>
                <w:szCs w:val="22"/>
              </w:rPr>
            </w:pPr>
            <w:r w:rsidRPr="009E4499">
              <w:rPr>
                <w:rFonts w:eastAsia="Calibri"/>
                <w:bCs/>
                <w:szCs w:val="22"/>
              </w:rPr>
              <w:t>Тайрагдсан утгыг ашиглах үед тооцооллын утгын хамгийн зүүн байтыг Message Authentication Code(Мессеж Баталгаажуулалтын Код) (MAC) гэж нэрлэгддэг утга болгон ашиглана. Гаралтын урт нь найман (8) октетаас багагүй байна.</w:t>
            </w:r>
          </w:p>
          <w:p w:rsidR="009E4499" w:rsidRPr="009E4499" w:rsidRDefault="009E4499" w:rsidP="009E4499">
            <w:pPr>
              <w:pStyle w:val="BodyText"/>
              <w:tabs>
                <w:tab w:val="left" w:pos="0"/>
              </w:tabs>
              <w:spacing w:line="276" w:lineRule="auto"/>
              <w:ind w:right="65"/>
              <w:jc w:val="both"/>
              <w:rPr>
                <w:rFonts w:eastAsia="Calibri"/>
                <w:sz w:val="24"/>
                <w:szCs w:val="24"/>
                <w:lang w:val="mn-MN"/>
              </w:rPr>
            </w:pPr>
            <w:r w:rsidRPr="009E4499">
              <w:rPr>
                <w:rFonts w:eastAsia="Calibri"/>
                <w:sz w:val="24"/>
                <w:szCs w:val="24"/>
                <w:lang w:val="mn-MN"/>
              </w:rPr>
              <w:t xml:space="preserve">Рекей (rekey) хоорондын үе нь MAC-ийн тоо хэмжээтэй (strength) холбоотой. Тухайлбал AES-GMAC-ийн удирдамжийг үнэлэх шаардлагатай.Холбогдох баримт бичиг бол NIST Special Publication800-38D  </w:t>
            </w:r>
            <w:r w:rsidRPr="009E4499">
              <w:rPr>
                <w:rFonts w:eastAsia="Calibri"/>
                <w:bCs w:val="0"/>
                <w:sz w:val="24"/>
                <w:szCs w:val="24"/>
                <w:lang w:val="mn-MN"/>
              </w:rPr>
              <w:t>(</w:t>
            </w:r>
            <w:hyperlink w:history="1">
              <w:r w:rsidRPr="009E4499">
                <w:rPr>
                  <w:rStyle w:val="Hyperlink"/>
                  <w:rFonts w:eastAsia="Calibri"/>
                  <w:sz w:val="24"/>
                  <w:szCs w:val="24"/>
                </w:rPr>
                <w:t>http://csrc.nist.gov /publications/nistpubs/800-38D/SP-800-38D.pdf</w:t>
              </w:r>
            </w:hyperlink>
            <w:r w:rsidRPr="009E4499">
              <w:rPr>
                <w:rFonts w:eastAsia="Calibri"/>
                <w:bCs w:val="0"/>
                <w:sz w:val="24"/>
                <w:szCs w:val="24"/>
                <w:lang w:val="mn-MN"/>
              </w:rPr>
              <w:t xml:space="preserve">) </w:t>
            </w:r>
            <w:r w:rsidRPr="009E4499">
              <w:rPr>
                <w:rFonts w:eastAsia="Calibri"/>
                <w:sz w:val="24"/>
                <w:szCs w:val="24"/>
                <w:lang w:val="mn-MN"/>
              </w:rPr>
              <w:t>(вэбсайтыг 2012-04-02-нд шалгасан).</w:t>
            </w:r>
          </w:p>
          <w:p w:rsidR="009E4499" w:rsidRPr="009E4499" w:rsidRDefault="009E4499" w:rsidP="009E4499">
            <w:pPr>
              <w:tabs>
                <w:tab w:val="left" w:pos="0"/>
              </w:tabs>
              <w:ind w:left="0" w:firstLine="0"/>
              <w:rPr>
                <w:rFonts w:eastAsia="Calibri"/>
                <w:bCs/>
                <w:szCs w:val="22"/>
              </w:rPr>
            </w:pPr>
            <w:r w:rsidRPr="009E4499">
              <w:rPr>
                <w:rFonts w:eastAsia="Calibri"/>
                <w:bCs/>
                <w:szCs w:val="22"/>
              </w:rPr>
              <w:t xml:space="preserve">Хүлээн авсан дутуу баталгаажуулалтыг олж илрүүлсэнтэй холбоотой арга хэмжээ нь дотоод асуудал юм. Мэдээллийг боловсруулаагүй байх, аюулгүй байдалтай холбоотой зарим төрлийн үйл ажиллагааг эхлүүлэхийг зөвлөж байна.Үйл ажиллагааны төрөл нь дотоод асуудал боловч IEC/TS 62351-7 тутамд ба/буюу GSAL логик </w:t>
            </w:r>
            <w:r w:rsidRPr="009E4499">
              <w:rPr>
                <w:rFonts w:eastAsia="Calibri"/>
                <w:bCs/>
                <w:szCs w:val="22"/>
              </w:rPr>
              <w:lastRenderedPageBreak/>
              <w:t>зангилааны AuthFail атрибутыг нэмэгдүүлэх боломжтой.</w:t>
            </w:r>
          </w:p>
        </w:tc>
        <w:tc>
          <w:tcPr>
            <w:tcW w:w="4671" w:type="dxa"/>
          </w:tcPr>
          <w:p w:rsidR="009E4499" w:rsidRPr="009E4499" w:rsidRDefault="009E4499" w:rsidP="009E4499">
            <w:pPr>
              <w:tabs>
                <w:tab w:val="left" w:pos="0"/>
              </w:tabs>
              <w:ind w:left="0" w:firstLine="0"/>
              <w:rPr>
                <w:rFonts w:eastAsia="Calibri"/>
                <w:b/>
                <w:bCs/>
                <w:szCs w:val="22"/>
              </w:rPr>
            </w:pPr>
            <w:r w:rsidRPr="009E4499">
              <w:rPr>
                <w:rFonts w:eastAsia="Calibri"/>
                <w:b/>
                <w:bCs/>
                <w:szCs w:val="22"/>
              </w:rPr>
              <w:lastRenderedPageBreak/>
              <w:t>11.3.3.7.3 tunnelledPduLength</w:t>
            </w:r>
          </w:p>
          <w:p w:rsidR="009E4499" w:rsidRPr="009E4499" w:rsidRDefault="009E4499" w:rsidP="009E4499">
            <w:pPr>
              <w:tabs>
                <w:tab w:val="left" w:pos="0"/>
              </w:tabs>
              <w:ind w:left="0" w:firstLine="0"/>
              <w:rPr>
                <w:rFonts w:eastAsia="Calibri"/>
                <w:bCs/>
                <w:szCs w:val="22"/>
              </w:rPr>
            </w:pPr>
            <w:r w:rsidRPr="009E4499">
              <w:rPr>
                <w:rFonts w:eastAsia="Calibri"/>
                <w:bCs/>
                <w:szCs w:val="22"/>
              </w:rPr>
              <w:t>The tunnelledPduLength field shall be an unsigned integer value of two (2) octets. The value shall be the number of octets in the tunnelledPdu. The length shall include the IEC 61850 Ethertype octets through all other octets except the Frame Check Sequence as  shown  in</w:t>
            </w:r>
            <w:hyperlink w:anchor="_bookmark49" w:history="1">
              <w:r w:rsidRPr="009E4499">
                <w:rPr>
                  <w:rFonts w:eastAsia="Calibri"/>
                  <w:bCs/>
                  <w:szCs w:val="22"/>
                </w:rPr>
                <w:t xml:space="preserve"> Figure 27.</w:t>
              </w:r>
            </w:hyperlink>
          </w:p>
          <w:p w:rsidR="009E4499" w:rsidRPr="009E4499" w:rsidRDefault="009E4499" w:rsidP="009E4499">
            <w:pPr>
              <w:tabs>
                <w:tab w:val="left" w:pos="0"/>
              </w:tabs>
              <w:ind w:left="0" w:firstLine="0"/>
              <w:rPr>
                <w:rFonts w:eastAsia="Calibri"/>
                <w:b/>
                <w:bCs/>
                <w:szCs w:val="22"/>
              </w:rPr>
            </w:pPr>
            <w:r w:rsidRPr="009E4499">
              <w:rPr>
                <w:rFonts w:eastAsia="Calibri"/>
                <w:b/>
                <w:bCs/>
                <w:szCs w:val="22"/>
              </w:rPr>
              <w:t>11.3.3.7.4 tunnelledPdu</w:t>
            </w:r>
          </w:p>
          <w:p w:rsidR="009E4499" w:rsidRPr="009E4499" w:rsidRDefault="009E4499" w:rsidP="009E4499">
            <w:pPr>
              <w:tabs>
                <w:tab w:val="left" w:pos="0"/>
              </w:tabs>
              <w:ind w:left="0" w:firstLine="0"/>
              <w:rPr>
                <w:rFonts w:eastAsia="Calibri"/>
                <w:bCs/>
                <w:szCs w:val="22"/>
              </w:rPr>
            </w:pPr>
            <w:r w:rsidRPr="009E4499">
              <w:rPr>
                <w:rFonts w:eastAsia="Calibri"/>
                <w:bCs/>
                <w:szCs w:val="22"/>
              </w:rPr>
              <w:t>This field is the number of octets specified by the tunnelled</w:t>
            </w:r>
            <w:r>
              <w:rPr>
                <w:rFonts w:eastAsia="Calibri"/>
                <w:bCs/>
                <w:szCs w:val="22"/>
              </w:rPr>
              <w:t xml:space="preserve"> </w:t>
            </w:r>
            <w:r w:rsidRPr="009E4499">
              <w:rPr>
                <w:rFonts w:eastAsia="Calibri"/>
                <w:bCs/>
                <w:szCs w:val="22"/>
              </w:rPr>
              <w:t>PduLength field.</w:t>
            </w:r>
          </w:p>
          <w:p w:rsidR="009E4499" w:rsidRPr="009E4499" w:rsidRDefault="009E4499" w:rsidP="009E4499">
            <w:pPr>
              <w:tabs>
                <w:tab w:val="left" w:pos="0"/>
              </w:tabs>
              <w:ind w:left="0" w:firstLine="0"/>
              <w:rPr>
                <w:rFonts w:eastAsia="Calibri"/>
                <w:b/>
                <w:bCs/>
                <w:szCs w:val="22"/>
              </w:rPr>
            </w:pPr>
            <w:bookmarkStart w:id="49" w:name="_TOC_250021"/>
            <w:r w:rsidRPr="009E4499">
              <w:rPr>
                <w:rFonts w:eastAsia="Calibri"/>
                <w:b/>
                <w:bCs/>
                <w:szCs w:val="22"/>
              </w:rPr>
              <w:t>11.3.4 S</w:t>
            </w:r>
            <w:bookmarkEnd w:id="49"/>
            <w:r w:rsidRPr="009E4499">
              <w:rPr>
                <w:rFonts w:eastAsia="Calibri"/>
                <w:b/>
                <w:bCs/>
                <w:szCs w:val="22"/>
              </w:rPr>
              <w:t>ignature</w:t>
            </w:r>
          </w:p>
          <w:p w:rsidR="009E4499" w:rsidRPr="009E4499" w:rsidRDefault="009E4499" w:rsidP="009E4499">
            <w:pPr>
              <w:tabs>
                <w:tab w:val="left" w:pos="0"/>
              </w:tabs>
              <w:ind w:left="0" w:firstLine="0"/>
              <w:rPr>
                <w:rFonts w:eastAsia="Calibri"/>
                <w:bCs/>
                <w:szCs w:val="22"/>
              </w:rPr>
            </w:pPr>
            <w:r w:rsidRPr="009E4499">
              <w:rPr>
                <w:rFonts w:eastAsia="Calibri"/>
                <w:bCs/>
                <w:szCs w:val="22"/>
              </w:rPr>
              <w:t>The Signature production shall start with a one octet tag of a value of 85 hexadecimal. The following octet shall be  the  length of  the calculated signature. The third octet shall be the  most significant byte of the calculated signature value.</w:t>
            </w:r>
          </w:p>
          <w:p w:rsidR="009E4499" w:rsidRPr="009E4499" w:rsidRDefault="009E4499" w:rsidP="009E4499">
            <w:pPr>
              <w:tabs>
                <w:tab w:val="left" w:pos="0"/>
              </w:tabs>
              <w:ind w:left="0" w:firstLine="0"/>
              <w:rPr>
                <w:rFonts w:eastAsia="Calibri"/>
                <w:bCs/>
                <w:szCs w:val="22"/>
              </w:rPr>
            </w:pPr>
            <w:r w:rsidRPr="009E4499">
              <w:rPr>
                <w:rFonts w:eastAsia="Calibri"/>
                <w:bCs/>
                <w:szCs w:val="22"/>
              </w:rPr>
              <w:t>The calculated signature value shall be used for the authentication/integrity of the octets that include the Session  Identifier  through the end  of the user data  payload.  The signature.calculations shall not include the Signature production. The value of the parameter shall be calculated based upon the HMAC algorithm in RFC 2104.</w:t>
            </w:r>
          </w:p>
          <w:p w:rsidR="009E4499" w:rsidRPr="009E4499" w:rsidRDefault="009E4499" w:rsidP="009E4499">
            <w:pPr>
              <w:tabs>
                <w:tab w:val="left" w:pos="0"/>
              </w:tabs>
              <w:ind w:left="0" w:firstLine="0"/>
              <w:rPr>
                <w:rFonts w:eastAsia="Calibri"/>
                <w:bCs/>
                <w:szCs w:val="22"/>
              </w:rPr>
            </w:pPr>
            <w:r w:rsidRPr="009E4499">
              <w:rPr>
                <w:rFonts w:eastAsia="Calibri"/>
                <w:bCs/>
                <w:szCs w:val="22"/>
              </w:rPr>
              <w:t>The value of the HMAC and Signature production shall be treated as ASN.1 OCTETString values.</w:t>
            </w:r>
          </w:p>
          <w:p w:rsidR="009E4499" w:rsidRPr="009E4499" w:rsidRDefault="009E4499" w:rsidP="009E4499">
            <w:pPr>
              <w:tabs>
                <w:tab w:val="left" w:pos="0"/>
              </w:tabs>
              <w:ind w:left="0" w:firstLine="0"/>
              <w:rPr>
                <w:rFonts w:eastAsia="Calibri"/>
                <w:bCs/>
                <w:szCs w:val="22"/>
              </w:rPr>
            </w:pPr>
            <w:r w:rsidRPr="009E4499">
              <w:rPr>
                <w:rFonts w:eastAsia="Calibri"/>
                <w:bCs/>
                <w:szCs w:val="22"/>
              </w:rPr>
              <w:t>The allowed HMAC functions are: H, HMAC-SHA256, and AES-GMAC.</w:t>
            </w:r>
          </w:p>
          <w:p w:rsidR="009E4499" w:rsidRPr="009E4499" w:rsidRDefault="009E4499" w:rsidP="009E4499">
            <w:pPr>
              <w:tabs>
                <w:tab w:val="left" w:pos="0"/>
              </w:tabs>
              <w:ind w:left="0" w:firstLine="0"/>
              <w:rPr>
                <w:rFonts w:eastAsia="Calibri"/>
                <w:bCs/>
                <w:szCs w:val="22"/>
              </w:rPr>
            </w:pPr>
            <w:r w:rsidRPr="009E4499">
              <w:rPr>
                <w:rFonts w:eastAsia="Calibri"/>
                <w:bCs/>
                <w:szCs w:val="22"/>
              </w:rPr>
              <w:t xml:space="preserve">Additionally, the calculated HMAC value may be truncated, per RFC 2104. The </w:t>
            </w:r>
            <w:r w:rsidRPr="009E4499">
              <w:rPr>
                <w:rFonts w:eastAsia="Calibri"/>
                <w:bCs/>
                <w:szCs w:val="22"/>
              </w:rPr>
              <w:lastRenderedPageBreak/>
              <w:t>allowed truncations are 80, 128, and 256 bits.</w:t>
            </w:r>
          </w:p>
          <w:p w:rsidR="009E4499" w:rsidRPr="009E4499" w:rsidRDefault="009E4499" w:rsidP="009E4499">
            <w:pPr>
              <w:tabs>
                <w:tab w:val="left" w:pos="0"/>
              </w:tabs>
              <w:ind w:left="0" w:firstLine="0"/>
              <w:rPr>
                <w:rFonts w:eastAsia="Calibri"/>
                <w:bCs/>
                <w:szCs w:val="22"/>
              </w:rPr>
            </w:pPr>
            <w:r w:rsidRPr="009E4499">
              <w:rPr>
                <w:rFonts w:eastAsia="Calibri"/>
                <w:bCs/>
                <w:szCs w:val="22"/>
              </w:rPr>
              <w:t xml:space="preserve">Therefore, the HMAC enumerated values, used in the Security Algorithm field (see </w:t>
            </w:r>
            <w:hyperlink w:anchor="_bookmark47" w:history="1">
              <w:r w:rsidRPr="009E4499">
                <w:rPr>
                  <w:rFonts w:eastAsia="Calibri"/>
                  <w:bCs/>
                  <w:szCs w:val="22"/>
                </w:rPr>
                <w:t>11.3.2.2.3</w:t>
              </w:r>
            </w:hyperlink>
            <w:r w:rsidRPr="009E4499">
              <w:rPr>
                <w:rFonts w:eastAsia="Calibri"/>
                <w:bCs/>
                <w:szCs w:val="22"/>
              </w:rPr>
              <w:t xml:space="preserve">) shall be as defined in </w:t>
            </w:r>
            <w:hyperlink w:anchor="_bookmark52" w:history="1">
              <w:r w:rsidRPr="009E4499">
                <w:rPr>
                  <w:rFonts w:eastAsia="Calibri"/>
                  <w:bCs/>
                  <w:szCs w:val="22"/>
                </w:rPr>
                <w:t>Table 9.</w:t>
              </w:r>
            </w:hyperlink>
          </w:p>
          <w:p w:rsidR="009E4499" w:rsidRPr="009E4499" w:rsidRDefault="009E4499" w:rsidP="009E4499">
            <w:pPr>
              <w:tabs>
                <w:tab w:val="left" w:pos="0"/>
              </w:tabs>
              <w:ind w:left="0" w:firstLine="0"/>
              <w:rPr>
                <w:rFonts w:eastAsia="Calibri"/>
                <w:bCs/>
                <w:szCs w:val="22"/>
              </w:rPr>
            </w:pPr>
            <w:r w:rsidRPr="009E4499">
              <w:rPr>
                <w:rFonts w:eastAsia="Calibri"/>
                <w:bCs/>
                <w:szCs w:val="22"/>
              </w:rPr>
              <w:t>The MAC-None option is provided for testing and shall not be used in production systems. It indicates that no signature value (e.g. MAC) is  being calculated. Therefore, for  MAC-None,  the length octet of the signature production shall contain a value of zero (0).</w:t>
            </w:r>
          </w:p>
          <w:p w:rsidR="009E4499" w:rsidRPr="009E4499" w:rsidRDefault="009E4499" w:rsidP="009E4499">
            <w:pPr>
              <w:tabs>
                <w:tab w:val="left" w:pos="0"/>
              </w:tabs>
              <w:ind w:left="0" w:firstLine="0"/>
              <w:rPr>
                <w:rFonts w:eastAsia="Calibri"/>
                <w:bCs/>
                <w:szCs w:val="22"/>
              </w:rPr>
            </w:pPr>
            <w:r w:rsidRPr="009E4499">
              <w:rPr>
                <w:rFonts w:eastAsia="Calibri"/>
                <w:bCs/>
                <w:szCs w:val="22"/>
              </w:rPr>
              <w:t>When a truncated value is used, the leftmost bytes of  the computed value shall be  used  as the value known as a Message Authentication Code (MAC). The output length shall be no less than eight (8) octets.</w:t>
            </w:r>
          </w:p>
          <w:p w:rsidR="009E4499" w:rsidRPr="009E4499" w:rsidRDefault="009E4499" w:rsidP="009E4499">
            <w:pPr>
              <w:tabs>
                <w:tab w:val="left" w:pos="0"/>
              </w:tabs>
              <w:ind w:left="0" w:firstLine="0"/>
              <w:rPr>
                <w:rFonts w:eastAsia="Calibri"/>
                <w:bCs/>
                <w:szCs w:val="22"/>
              </w:rPr>
            </w:pPr>
            <w:r w:rsidRPr="009E4499">
              <w:rPr>
                <w:rFonts w:eastAsia="Calibri"/>
                <w:bCs/>
                <w:szCs w:val="22"/>
              </w:rPr>
              <w:t>The periodicity between rekey is related to the strength of the MAC. In particular,  the  guidance for AES-GMAC needs to be evaluated. The relevant document is NIST Special Publication 800-38D  (</w:t>
            </w:r>
            <w:hyperlink w:history="1">
              <w:r w:rsidRPr="00DD697E">
                <w:rPr>
                  <w:rStyle w:val="Hyperlink"/>
                  <w:rFonts w:eastAsia="Calibri"/>
                  <w:bCs/>
                  <w:szCs w:val="22"/>
                </w:rPr>
                <w:t>http://csrc.nist.gov /publications/nistpubs/800-38D/SP-800-38D.pdf</w:t>
              </w:r>
            </w:hyperlink>
            <w:r w:rsidRPr="009E4499">
              <w:rPr>
                <w:rFonts w:eastAsia="Calibri"/>
                <w:bCs/>
                <w:szCs w:val="22"/>
              </w:rPr>
              <w:t>) (website checked 2012-04-02).</w:t>
            </w:r>
          </w:p>
          <w:p w:rsidR="009E4499" w:rsidRPr="009E4499" w:rsidRDefault="009E4499" w:rsidP="009E4499">
            <w:pPr>
              <w:tabs>
                <w:tab w:val="left" w:pos="0"/>
              </w:tabs>
              <w:ind w:left="0" w:firstLine="0"/>
              <w:rPr>
                <w:rFonts w:eastAsia="Calibri"/>
                <w:bCs/>
                <w:szCs w:val="22"/>
              </w:rPr>
            </w:pPr>
            <w:r w:rsidRPr="009E4499">
              <w:rPr>
                <w:rFonts w:eastAsia="Calibri"/>
                <w:bCs/>
                <w:szCs w:val="22"/>
              </w:rPr>
              <w:t>The action due to detection of an invalid signature being received is a local issue. It is recommended that the information not be processed and that some type of security related event be triggered. The event type is a  local issue but could be  per  IEC/TS 62351-7 and/or  the incrementing of AuthFail attribute of a GSAL Logical Node.</w:t>
            </w:r>
          </w:p>
          <w:p w:rsidR="009E4499" w:rsidRPr="009E4499" w:rsidRDefault="009E4499" w:rsidP="009E4499">
            <w:pPr>
              <w:tabs>
                <w:tab w:val="left" w:pos="0"/>
              </w:tabs>
              <w:ind w:left="0" w:firstLine="0"/>
              <w:rPr>
                <w:rFonts w:eastAsia="Calibri"/>
                <w:bCs/>
                <w:szCs w:val="22"/>
              </w:rPr>
            </w:pPr>
          </w:p>
        </w:tc>
      </w:tr>
    </w:tbl>
    <w:p w:rsidR="009E4499" w:rsidRDefault="009E4499" w:rsidP="009E4499">
      <w:pPr>
        <w:ind w:left="0" w:firstLine="0"/>
        <w:jc w:val="center"/>
        <w:rPr>
          <w:b/>
        </w:rPr>
      </w:pPr>
    </w:p>
    <w:p w:rsidR="009E4499" w:rsidRPr="009E4499" w:rsidRDefault="009E4499" w:rsidP="009E4499">
      <w:pPr>
        <w:ind w:left="0" w:firstLine="0"/>
        <w:jc w:val="center"/>
        <w:rPr>
          <w:b/>
        </w:rPr>
      </w:pPr>
      <w:r w:rsidRPr="009E4499">
        <w:rPr>
          <w:b/>
        </w:rPr>
        <w:t>9</w:t>
      </w:r>
      <w:r>
        <w:rPr>
          <w:b/>
        </w:rPr>
        <w:t>-р хүснэгт</w:t>
      </w:r>
      <w:r w:rsidRPr="009E4499">
        <w:rPr>
          <w:b/>
        </w:rPr>
        <w:t xml:space="preserve"> – MAC баталгаажуулах утгын тооцооллын зөвшөөрөгдсөн утга</w:t>
      </w:r>
    </w:p>
    <w:tbl>
      <w:tblPr>
        <w:tblStyle w:val="TableGrid"/>
        <w:tblW w:w="0" w:type="auto"/>
        <w:tblLook w:val="04A0" w:firstRow="1" w:lastRow="0" w:firstColumn="1" w:lastColumn="0" w:noHBand="0" w:noVBand="1"/>
      </w:tblPr>
      <w:tblGrid>
        <w:gridCol w:w="1868"/>
        <w:gridCol w:w="1869"/>
        <w:gridCol w:w="1869"/>
        <w:gridCol w:w="1869"/>
        <w:gridCol w:w="1869"/>
      </w:tblGrid>
      <w:tr w:rsidR="009E4499" w:rsidTr="009E4499">
        <w:tc>
          <w:tcPr>
            <w:tcW w:w="1868" w:type="dxa"/>
          </w:tcPr>
          <w:p w:rsidR="009E4499" w:rsidRPr="009E4499" w:rsidRDefault="009E4499" w:rsidP="009E4499">
            <w:pPr>
              <w:pStyle w:val="TableParagraph"/>
              <w:tabs>
                <w:tab w:val="left" w:pos="0"/>
              </w:tabs>
              <w:spacing w:line="276" w:lineRule="auto"/>
              <w:ind w:left="105"/>
              <w:rPr>
                <w:b/>
                <w:sz w:val="20"/>
                <w:szCs w:val="20"/>
                <w:lang w:val="mn-MN"/>
              </w:rPr>
            </w:pPr>
            <w:r w:rsidRPr="009E4499">
              <w:rPr>
                <w:b/>
                <w:sz w:val="20"/>
                <w:szCs w:val="20"/>
                <w:lang w:val="mn-MN"/>
              </w:rPr>
              <w:t>Тооллын утга</w:t>
            </w:r>
          </w:p>
        </w:tc>
        <w:tc>
          <w:tcPr>
            <w:tcW w:w="1869" w:type="dxa"/>
          </w:tcPr>
          <w:p w:rsidR="009E4499" w:rsidRPr="009E4499" w:rsidRDefault="009E4499" w:rsidP="009E4499">
            <w:pPr>
              <w:pStyle w:val="TableParagraph"/>
              <w:tabs>
                <w:tab w:val="left" w:pos="0"/>
              </w:tabs>
              <w:spacing w:line="276" w:lineRule="auto"/>
              <w:ind w:left="107"/>
              <w:rPr>
                <w:b/>
                <w:sz w:val="20"/>
                <w:szCs w:val="20"/>
                <w:lang w:val="mn-MN"/>
              </w:rPr>
            </w:pPr>
            <w:r w:rsidRPr="009E4499">
              <w:rPr>
                <w:b/>
                <w:sz w:val="20"/>
                <w:szCs w:val="20"/>
                <w:lang w:val="mn-MN"/>
              </w:rPr>
              <w:t>HMAC алгоритм</w:t>
            </w:r>
          </w:p>
        </w:tc>
        <w:tc>
          <w:tcPr>
            <w:tcW w:w="1869" w:type="dxa"/>
          </w:tcPr>
          <w:p w:rsidR="009E4499" w:rsidRPr="009E4499" w:rsidRDefault="009E4499" w:rsidP="009E4499">
            <w:pPr>
              <w:pStyle w:val="TableParagraph"/>
              <w:tabs>
                <w:tab w:val="left" w:pos="0"/>
              </w:tabs>
              <w:spacing w:line="276" w:lineRule="auto"/>
              <w:ind w:left="107"/>
              <w:rPr>
                <w:b/>
                <w:sz w:val="20"/>
                <w:szCs w:val="20"/>
                <w:lang w:val="mn-MN"/>
              </w:rPr>
            </w:pPr>
            <w:r w:rsidRPr="009E4499">
              <w:rPr>
                <w:b/>
                <w:sz w:val="20"/>
                <w:szCs w:val="20"/>
                <w:lang w:val="mn-MN"/>
              </w:rPr>
              <w:t>Битүүдийн тоо</w:t>
            </w:r>
          </w:p>
        </w:tc>
        <w:tc>
          <w:tcPr>
            <w:tcW w:w="1869" w:type="dxa"/>
          </w:tcPr>
          <w:p w:rsidR="009E4499" w:rsidRPr="009E4499" w:rsidRDefault="009E4499" w:rsidP="009E4499">
            <w:pPr>
              <w:pStyle w:val="TableParagraph"/>
              <w:tabs>
                <w:tab w:val="left" w:pos="0"/>
              </w:tabs>
              <w:spacing w:line="276" w:lineRule="auto"/>
              <w:ind w:left="106"/>
              <w:rPr>
                <w:b/>
                <w:sz w:val="20"/>
                <w:szCs w:val="20"/>
                <w:lang w:val="mn-MN"/>
              </w:rPr>
            </w:pPr>
            <w:r w:rsidRPr="009E4499">
              <w:rPr>
                <w:b/>
                <w:sz w:val="20"/>
                <w:szCs w:val="20"/>
                <w:lang w:val="mn-MN"/>
              </w:rPr>
              <w:t>Тэмдэглэгээ</w:t>
            </w:r>
          </w:p>
        </w:tc>
        <w:tc>
          <w:tcPr>
            <w:tcW w:w="1869" w:type="dxa"/>
          </w:tcPr>
          <w:p w:rsidR="009E4499" w:rsidRPr="009E4499" w:rsidRDefault="009E4499" w:rsidP="009E4499">
            <w:pPr>
              <w:pStyle w:val="TableParagraph"/>
              <w:tabs>
                <w:tab w:val="left" w:pos="0"/>
              </w:tabs>
              <w:spacing w:line="276" w:lineRule="auto"/>
              <w:ind w:left="106" w:right="333"/>
              <w:rPr>
                <w:b/>
                <w:sz w:val="20"/>
                <w:szCs w:val="20"/>
                <w:lang w:val="mn-MN"/>
              </w:rPr>
            </w:pPr>
            <w:r w:rsidRPr="009E4499">
              <w:rPr>
                <w:b/>
                <w:sz w:val="20"/>
                <w:szCs w:val="20"/>
                <w:lang w:val="mn-MN"/>
              </w:rPr>
              <w:t>Заавал (м), Заавал биш (o)</w:t>
            </w:r>
          </w:p>
        </w:tc>
      </w:tr>
      <w:tr w:rsidR="009E4499" w:rsidTr="009E4499">
        <w:tc>
          <w:tcPr>
            <w:tcW w:w="1868" w:type="dxa"/>
          </w:tcPr>
          <w:p w:rsidR="009E4499" w:rsidRPr="00731F96" w:rsidRDefault="009E4499" w:rsidP="009E4499">
            <w:pPr>
              <w:pStyle w:val="TableParagraph"/>
              <w:tabs>
                <w:tab w:val="left" w:pos="0"/>
              </w:tabs>
              <w:spacing w:before="58" w:line="276" w:lineRule="auto"/>
              <w:ind w:left="105"/>
              <w:rPr>
                <w:sz w:val="20"/>
                <w:szCs w:val="20"/>
                <w:lang w:val="mn-MN"/>
              </w:rPr>
            </w:pPr>
            <w:r w:rsidRPr="00EF2D2B">
              <w:rPr>
                <w:sz w:val="20"/>
                <w:szCs w:val="20"/>
                <w:lang w:val="mn-MN"/>
              </w:rPr>
              <w:t>0</w:t>
            </w:r>
          </w:p>
        </w:tc>
        <w:tc>
          <w:tcPr>
            <w:tcW w:w="1869" w:type="dxa"/>
          </w:tcPr>
          <w:p w:rsidR="009E4499" w:rsidRPr="00EF2D2B"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None</w:t>
            </w:r>
          </w:p>
        </w:tc>
        <w:tc>
          <w:tcPr>
            <w:tcW w:w="1869" w:type="dxa"/>
          </w:tcPr>
          <w:p w:rsidR="009E4499" w:rsidRPr="00EF2D2B" w:rsidRDefault="009E4499" w:rsidP="009E4499">
            <w:pPr>
              <w:pStyle w:val="TableParagraph"/>
              <w:tabs>
                <w:tab w:val="left" w:pos="0"/>
              </w:tabs>
              <w:spacing w:before="58" w:line="276" w:lineRule="auto"/>
              <w:ind w:left="106"/>
              <w:rPr>
                <w:sz w:val="20"/>
                <w:szCs w:val="20"/>
                <w:lang w:val="mn-MN"/>
              </w:rPr>
            </w:pPr>
            <w:r w:rsidRPr="00EF2D2B">
              <w:rPr>
                <w:sz w:val="20"/>
                <w:szCs w:val="20"/>
                <w:lang w:val="mn-MN"/>
              </w:rPr>
              <w:t>None</w:t>
            </w:r>
          </w:p>
        </w:tc>
        <w:tc>
          <w:tcPr>
            <w:tcW w:w="1869" w:type="dxa"/>
          </w:tcPr>
          <w:p w:rsidR="009E4499" w:rsidRPr="00EF2D2B" w:rsidRDefault="009E4499" w:rsidP="009E4499">
            <w:pPr>
              <w:pStyle w:val="TableParagraph"/>
              <w:tabs>
                <w:tab w:val="left" w:pos="0"/>
              </w:tabs>
              <w:spacing w:before="58" w:line="276" w:lineRule="auto"/>
              <w:ind w:left="106"/>
              <w:rPr>
                <w:sz w:val="20"/>
                <w:szCs w:val="20"/>
                <w:lang w:val="mn-MN"/>
              </w:rPr>
            </w:pPr>
            <w:r w:rsidRPr="00EF2D2B">
              <w:rPr>
                <w:sz w:val="20"/>
                <w:szCs w:val="20"/>
                <w:lang w:val="mn-MN"/>
              </w:rPr>
              <w:t>MAC-None</w:t>
            </w:r>
          </w:p>
        </w:tc>
        <w:tc>
          <w:tcPr>
            <w:tcW w:w="1869" w:type="dxa"/>
          </w:tcPr>
          <w:p w:rsidR="009E4499" w:rsidRPr="00EF2D2B" w:rsidRDefault="009E4499" w:rsidP="009E4499">
            <w:pPr>
              <w:pStyle w:val="TableParagraph"/>
              <w:tabs>
                <w:tab w:val="left" w:pos="0"/>
              </w:tabs>
              <w:spacing w:before="58" w:line="276" w:lineRule="auto"/>
              <w:ind w:left="106"/>
              <w:rPr>
                <w:sz w:val="20"/>
                <w:szCs w:val="20"/>
                <w:lang w:val="mn-MN"/>
              </w:rPr>
            </w:pPr>
            <w:r w:rsidRPr="00EF2D2B">
              <w:rPr>
                <w:sz w:val="20"/>
                <w:szCs w:val="20"/>
                <w:lang w:val="mn-MN"/>
              </w:rPr>
              <w:t>c1</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1</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SHA-256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80</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HMAC-SHA256-80</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m</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2</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SHA-256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128</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HMAC-SHA256-128</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m</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3</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SHA-256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HMAC-SHA256-256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m</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4</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AES-GMAC</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64</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AES-GMAC-64</w:t>
            </w:r>
          </w:p>
        </w:tc>
        <w:tc>
          <w:tcPr>
            <w:tcW w:w="1869" w:type="dxa"/>
          </w:tcPr>
          <w:p w:rsidR="009E4499" w:rsidRPr="00EF2D2B" w:rsidRDefault="009E4499" w:rsidP="009E4499">
            <w:pPr>
              <w:pStyle w:val="TableParagraph"/>
              <w:tabs>
                <w:tab w:val="left" w:pos="0"/>
              </w:tabs>
              <w:spacing w:line="276" w:lineRule="auto"/>
              <w:ind w:left="105"/>
              <w:rPr>
                <w:sz w:val="20"/>
                <w:szCs w:val="20"/>
                <w:lang w:val="mn-MN"/>
              </w:rPr>
            </w:pPr>
            <w:r w:rsidRPr="00EF2D2B">
              <w:rPr>
                <w:sz w:val="20"/>
                <w:szCs w:val="20"/>
                <w:lang w:val="mn-MN"/>
              </w:rPr>
              <w:t>m</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5</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AES-GMAC</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128</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AES-GMAC-128</w:t>
            </w:r>
          </w:p>
        </w:tc>
        <w:tc>
          <w:tcPr>
            <w:tcW w:w="1869" w:type="dxa"/>
          </w:tcPr>
          <w:p w:rsidR="009E4499" w:rsidRPr="00EF2D2B" w:rsidRDefault="009E4499" w:rsidP="009E4499">
            <w:pPr>
              <w:pStyle w:val="TableParagraph"/>
              <w:tabs>
                <w:tab w:val="left" w:pos="0"/>
              </w:tabs>
              <w:spacing w:line="276" w:lineRule="auto"/>
              <w:ind w:left="105"/>
              <w:rPr>
                <w:sz w:val="20"/>
                <w:szCs w:val="20"/>
                <w:lang w:val="mn-MN"/>
              </w:rPr>
            </w:pPr>
            <w:r w:rsidRPr="00EF2D2B">
              <w:rPr>
                <w:sz w:val="20"/>
                <w:szCs w:val="20"/>
                <w:lang w:val="mn-MN"/>
              </w:rPr>
              <w:t>m</w:t>
            </w:r>
          </w:p>
        </w:tc>
      </w:tr>
      <w:tr w:rsidR="009E4499" w:rsidTr="009E4499">
        <w:tc>
          <w:tcPr>
            <w:tcW w:w="9344" w:type="dxa"/>
            <w:gridSpan w:val="5"/>
          </w:tcPr>
          <w:p w:rsidR="009E4499" w:rsidRPr="00EF2D2B" w:rsidRDefault="009E4499" w:rsidP="009E4499">
            <w:pPr>
              <w:pStyle w:val="TableParagraph"/>
              <w:tabs>
                <w:tab w:val="left" w:pos="0"/>
              </w:tabs>
              <w:spacing w:line="276" w:lineRule="auto"/>
              <w:ind w:left="105"/>
              <w:rPr>
                <w:sz w:val="20"/>
                <w:szCs w:val="20"/>
                <w:lang w:val="mn-MN"/>
              </w:rPr>
            </w:pPr>
            <w:r w:rsidRPr="009E4499">
              <w:rPr>
                <w:sz w:val="20"/>
                <w:szCs w:val="20"/>
                <w:lang w:val="mn-MN"/>
              </w:rPr>
              <w:t>C1- Нууцлалмөн ашиглагдаж байгаа үед л ашиглагдах болно</w:t>
            </w:r>
          </w:p>
        </w:tc>
      </w:tr>
    </w:tbl>
    <w:p w:rsidR="009E4499" w:rsidRDefault="009E4499" w:rsidP="00F11C9C">
      <w:pPr>
        <w:ind w:left="0" w:firstLine="0"/>
      </w:pPr>
    </w:p>
    <w:p w:rsidR="009E4499" w:rsidRPr="00EF2D2B" w:rsidRDefault="009E4499" w:rsidP="009E4499">
      <w:pPr>
        <w:tabs>
          <w:tab w:val="left" w:pos="142"/>
        </w:tabs>
        <w:ind w:left="142"/>
        <w:jc w:val="center"/>
        <w:rPr>
          <w:b/>
        </w:rPr>
      </w:pPr>
      <w:r w:rsidRPr="00EF2D2B">
        <w:rPr>
          <w:b/>
        </w:rPr>
        <w:t>Table 9 – Allowed values for MAC signature value calculations</w:t>
      </w:r>
    </w:p>
    <w:tbl>
      <w:tblPr>
        <w:tblStyle w:val="TableGrid"/>
        <w:tblW w:w="0" w:type="auto"/>
        <w:tblLook w:val="04A0" w:firstRow="1" w:lastRow="0" w:firstColumn="1" w:lastColumn="0" w:noHBand="0" w:noVBand="1"/>
      </w:tblPr>
      <w:tblGrid>
        <w:gridCol w:w="1868"/>
        <w:gridCol w:w="1869"/>
        <w:gridCol w:w="1869"/>
        <w:gridCol w:w="1869"/>
        <w:gridCol w:w="1869"/>
      </w:tblGrid>
      <w:tr w:rsidR="009E4499" w:rsidTr="009E4499">
        <w:tc>
          <w:tcPr>
            <w:tcW w:w="1868" w:type="dxa"/>
          </w:tcPr>
          <w:p w:rsidR="009E4499" w:rsidRPr="009E4499" w:rsidRDefault="009E4499" w:rsidP="009E4499">
            <w:pPr>
              <w:pStyle w:val="TableParagraph"/>
              <w:tabs>
                <w:tab w:val="left" w:pos="0"/>
              </w:tabs>
              <w:spacing w:line="276" w:lineRule="auto"/>
              <w:ind w:left="105"/>
              <w:rPr>
                <w:b/>
                <w:sz w:val="20"/>
                <w:szCs w:val="20"/>
                <w:lang w:val="mn-MN"/>
              </w:rPr>
            </w:pPr>
            <w:r w:rsidRPr="009E4499">
              <w:rPr>
                <w:b/>
                <w:sz w:val="20"/>
                <w:szCs w:val="20"/>
                <w:lang w:val="mn-MN"/>
              </w:rPr>
              <w:t>Enumerate value</w:t>
            </w:r>
          </w:p>
        </w:tc>
        <w:tc>
          <w:tcPr>
            <w:tcW w:w="1869" w:type="dxa"/>
          </w:tcPr>
          <w:p w:rsidR="009E4499" w:rsidRPr="009E4499" w:rsidRDefault="009E4499" w:rsidP="009E4499">
            <w:pPr>
              <w:pStyle w:val="TableParagraph"/>
              <w:tabs>
                <w:tab w:val="left" w:pos="0"/>
              </w:tabs>
              <w:spacing w:line="276" w:lineRule="auto"/>
              <w:ind w:left="107"/>
              <w:rPr>
                <w:b/>
                <w:sz w:val="20"/>
                <w:szCs w:val="20"/>
                <w:lang w:val="mn-MN"/>
              </w:rPr>
            </w:pPr>
            <w:r w:rsidRPr="009E4499">
              <w:rPr>
                <w:b/>
                <w:sz w:val="20"/>
                <w:szCs w:val="20"/>
                <w:lang w:val="mn-MN"/>
              </w:rPr>
              <w:t>HMAC algorithm</w:t>
            </w:r>
          </w:p>
        </w:tc>
        <w:tc>
          <w:tcPr>
            <w:tcW w:w="1869" w:type="dxa"/>
          </w:tcPr>
          <w:p w:rsidR="009E4499" w:rsidRPr="009E4499" w:rsidRDefault="009E4499" w:rsidP="009E4499">
            <w:pPr>
              <w:pStyle w:val="TableParagraph"/>
              <w:tabs>
                <w:tab w:val="left" w:pos="0"/>
              </w:tabs>
              <w:spacing w:line="276" w:lineRule="auto"/>
              <w:ind w:left="107"/>
              <w:rPr>
                <w:b/>
                <w:sz w:val="20"/>
                <w:szCs w:val="20"/>
                <w:lang w:val="mn-MN"/>
              </w:rPr>
            </w:pPr>
            <w:r w:rsidRPr="009E4499">
              <w:rPr>
                <w:b/>
                <w:sz w:val="20"/>
                <w:szCs w:val="20"/>
                <w:lang w:val="mn-MN"/>
              </w:rPr>
              <w:t>Number of bits</w:t>
            </w:r>
          </w:p>
        </w:tc>
        <w:tc>
          <w:tcPr>
            <w:tcW w:w="1869" w:type="dxa"/>
          </w:tcPr>
          <w:p w:rsidR="009E4499" w:rsidRPr="009E4499" w:rsidRDefault="009E4499" w:rsidP="009E4499">
            <w:pPr>
              <w:pStyle w:val="TableParagraph"/>
              <w:tabs>
                <w:tab w:val="left" w:pos="0"/>
              </w:tabs>
              <w:spacing w:line="276" w:lineRule="auto"/>
              <w:ind w:left="106"/>
              <w:rPr>
                <w:b/>
                <w:sz w:val="20"/>
                <w:szCs w:val="20"/>
                <w:lang w:val="mn-MN"/>
              </w:rPr>
            </w:pPr>
            <w:r w:rsidRPr="009E4499">
              <w:rPr>
                <w:b/>
                <w:sz w:val="20"/>
                <w:szCs w:val="20"/>
                <w:lang w:val="mn-MN"/>
              </w:rPr>
              <w:t>Designation</w:t>
            </w:r>
          </w:p>
        </w:tc>
        <w:tc>
          <w:tcPr>
            <w:tcW w:w="1869" w:type="dxa"/>
          </w:tcPr>
          <w:p w:rsidR="009E4499" w:rsidRPr="009E4499" w:rsidRDefault="009E4499" w:rsidP="009E4499">
            <w:pPr>
              <w:pStyle w:val="TableParagraph"/>
              <w:tabs>
                <w:tab w:val="left" w:pos="0"/>
              </w:tabs>
              <w:spacing w:line="276" w:lineRule="auto"/>
              <w:ind w:left="106" w:right="333"/>
              <w:rPr>
                <w:b/>
                <w:sz w:val="20"/>
                <w:szCs w:val="20"/>
                <w:lang w:val="mn-MN"/>
              </w:rPr>
            </w:pPr>
            <w:r w:rsidRPr="009E4499">
              <w:rPr>
                <w:b/>
                <w:sz w:val="20"/>
                <w:szCs w:val="20"/>
                <w:lang w:val="mn-MN"/>
              </w:rPr>
              <w:t>Mandatory (m), Optional (o)</w:t>
            </w:r>
          </w:p>
        </w:tc>
      </w:tr>
      <w:tr w:rsidR="009E4499" w:rsidTr="009E4499">
        <w:tc>
          <w:tcPr>
            <w:tcW w:w="1868" w:type="dxa"/>
          </w:tcPr>
          <w:p w:rsidR="009E4499" w:rsidRPr="00731F96" w:rsidRDefault="009E4499" w:rsidP="009E4499">
            <w:pPr>
              <w:pStyle w:val="TableParagraph"/>
              <w:tabs>
                <w:tab w:val="left" w:pos="0"/>
              </w:tabs>
              <w:spacing w:before="58" w:line="276" w:lineRule="auto"/>
              <w:ind w:left="105"/>
              <w:rPr>
                <w:sz w:val="20"/>
                <w:szCs w:val="20"/>
                <w:lang w:val="mn-MN"/>
              </w:rPr>
            </w:pPr>
            <w:r w:rsidRPr="00EF2D2B">
              <w:rPr>
                <w:sz w:val="20"/>
                <w:szCs w:val="20"/>
                <w:lang w:val="mn-MN"/>
              </w:rPr>
              <w:t>0</w:t>
            </w:r>
          </w:p>
        </w:tc>
        <w:tc>
          <w:tcPr>
            <w:tcW w:w="1869" w:type="dxa"/>
          </w:tcPr>
          <w:p w:rsidR="009E4499" w:rsidRPr="00EF2D2B" w:rsidRDefault="009E4499" w:rsidP="009E4499">
            <w:pPr>
              <w:pStyle w:val="TableParagraph"/>
              <w:tabs>
                <w:tab w:val="left" w:pos="0"/>
              </w:tabs>
              <w:spacing w:before="58" w:line="276" w:lineRule="auto"/>
              <w:ind w:left="107"/>
              <w:rPr>
                <w:sz w:val="20"/>
                <w:szCs w:val="20"/>
                <w:lang w:val="mn-MN"/>
              </w:rPr>
            </w:pPr>
            <w:r w:rsidRPr="00EF2D2B">
              <w:rPr>
                <w:sz w:val="20"/>
                <w:szCs w:val="20"/>
                <w:lang w:val="mn-MN"/>
              </w:rPr>
              <w:t>None</w:t>
            </w:r>
          </w:p>
        </w:tc>
        <w:tc>
          <w:tcPr>
            <w:tcW w:w="1869" w:type="dxa"/>
          </w:tcPr>
          <w:p w:rsidR="009E4499" w:rsidRPr="00EF2D2B" w:rsidRDefault="009E4499" w:rsidP="009E4499">
            <w:pPr>
              <w:pStyle w:val="TableParagraph"/>
              <w:tabs>
                <w:tab w:val="left" w:pos="0"/>
              </w:tabs>
              <w:spacing w:before="58" w:line="276" w:lineRule="auto"/>
              <w:ind w:left="106"/>
              <w:rPr>
                <w:sz w:val="20"/>
                <w:szCs w:val="20"/>
                <w:lang w:val="mn-MN"/>
              </w:rPr>
            </w:pPr>
            <w:r w:rsidRPr="00EF2D2B">
              <w:rPr>
                <w:sz w:val="20"/>
                <w:szCs w:val="20"/>
                <w:lang w:val="mn-MN"/>
              </w:rPr>
              <w:t>None</w:t>
            </w:r>
          </w:p>
        </w:tc>
        <w:tc>
          <w:tcPr>
            <w:tcW w:w="1869" w:type="dxa"/>
          </w:tcPr>
          <w:p w:rsidR="009E4499" w:rsidRPr="00EF2D2B" w:rsidRDefault="009E4499" w:rsidP="009E4499">
            <w:pPr>
              <w:pStyle w:val="TableParagraph"/>
              <w:tabs>
                <w:tab w:val="left" w:pos="0"/>
              </w:tabs>
              <w:spacing w:before="58" w:line="276" w:lineRule="auto"/>
              <w:ind w:left="106"/>
              <w:rPr>
                <w:sz w:val="20"/>
                <w:szCs w:val="20"/>
                <w:lang w:val="mn-MN"/>
              </w:rPr>
            </w:pPr>
            <w:r w:rsidRPr="00EF2D2B">
              <w:rPr>
                <w:sz w:val="20"/>
                <w:szCs w:val="20"/>
                <w:lang w:val="mn-MN"/>
              </w:rPr>
              <w:t>MAC-None</w:t>
            </w:r>
          </w:p>
        </w:tc>
        <w:tc>
          <w:tcPr>
            <w:tcW w:w="1869" w:type="dxa"/>
          </w:tcPr>
          <w:p w:rsidR="009E4499" w:rsidRPr="00EF2D2B" w:rsidRDefault="009E4499" w:rsidP="009E4499">
            <w:pPr>
              <w:pStyle w:val="TableParagraph"/>
              <w:tabs>
                <w:tab w:val="left" w:pos="0"/>
              </w:tabs>
              <w:spacing w:before="58" w:line="276" w:lineRule="auto"/>
              <w:ind w:left="106"/>
              <w:rPr>
                <w:sz w:val="20"/>
                <w:szCs w:val="20"/>
                <w:lang w:val="mn-MN"/>
              </w:rPr>
            </w:pPr>
            <w:r w:rsidRPr="00EF2D2B">
              <w:rPr>
                <w:sz w:val="20"/>
                <w:szCs w:val="20"/>
                <w:lang w:val="mn-MN"/>
              </w:rPr>
              <w:t>c1</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1</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SHA-256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80</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HMAC-SHA256-80</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m</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2</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SHA-256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128</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HMAC-SHA256-128</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m</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3</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SHA-256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HMAC-SHA256-256</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m</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4</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AES-GMAC</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64</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AES-GMAC-64</w:t>
            </w:r>
          </w:p>
        </w:tc>
        <w:tc>
          <w:tcPr>
            <w:tcW w:w="1869" w:type="dxa"/>
          </w:tcPr>
          <w:p w:rsidR="009E4499" w:rsidRPr="00EF2D2B" w:rsidRDefault="009E4499" w:rsidP="009E4499">
            <w:pPr>
              <w:pStyle w:val="TableParagraph"/>
              <w:tabs>
                <w:tab w:val="left" w:pos="0"/>
              </w:tabs>
              <w:spacing w:line="276" w:lineRule="auto"/>
              <w:ind w:left="105"/>
              <w:rPr>
                <w:sz w:val="20"/>
                <w:szCs w:val="20"/>
                <w:lang w:val="mn-MN"/>
              </w:rPr>
            </w:pPr>
            <w:r w:rsidRPr="00EF2D2B">
              <w:rPr>
                <w:sz w:val="20"/>
                <w:szCs w:val="20"/>
                <w:lang w:val="mn-MN"/>
              </w:rPr>
              <w:t>m</w:t>
            </w:r>
          </w:p>
        </w:tc>
      </w:tr>
      <w:tr w:rsidR="009E4499" w:rsidTr="009E4499">
        <w:tc>
          <w:tcPr>
            <w:tcW w:w="1868"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5</w:t>
            </w:r>
          </w:p>
        </w:tc>
        <w:tc>
          <w:tcPr>
            <w:tcW w:w="1869"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AES-GMAC</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128</w:t>
            </w:r>
          </w:p>
        </w:tc>
        <w:tc>
          <w:tcPr>
            <w:tcW w:w="1869"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AES-GMAC-128</w:t>
            </w:r>
          </w:p>
        </w:tc>
        <w:tc>
          <w:tcPr>
            <w:tcW w:w="1869" w:type="dxa"/>
          </w:tcPr>
          <w:p w:rsidR="009E4499" w:rsidRPr="00EF2D2B" w:rsidRDefault="009E4499" w:rsidP="009E4499">
            <w:pPr>
              <w:pStyle w:val="TableParagraph"/>
              <w:tabs>
                <w:tab w:val="left" w:pos="0"/>
              </w:tabs>
              <w:spacing w:line="276" w:lineRule="auto"/>
              <w:ind w:left="105"/>
              <w:rPr>
                <w:sz w:val="20"/>
                <w:szCs w:val="20"/>
                <w:lang w:val="mn-MN"/>
              </w:rPr>
            </w:pPr>
            <w:r w:rsidRPr="00EF2D2B">
              <w:rPr>
                <w:sz w:val="20"/>
                <w:szCs w:val="20"/>
                <w:lang w:val="mn-MN"/>
              </w:rPr>
              <w:t>m</w:t>
            </w:r>
          </w:p>
        </w:tc>
      </w:tr>
      <w:tr w:rsidR="009E4499" w:rsidTr="009E4499">
        <w:tc>
          <w:tcPr>
            <w:tcW w:w="9344" w:type="dxa"/>
            <w:gridSpan w:val="5"/>
          </w:tcPr>
          <w:p w:rsidR="009E4499" w:rsidRPr="009E4499" w:rsidRDefault="009E4499" w:rsidP="009E4499">
            <w:pPr>
              <w:pStyle w:val="TableParagraph"/>
              <w:tabs>
                <w:tab w:val="left" w:pos="0"/>
              </w:tabs>
              <w:spacing w:line="276" w:lineRule="auto"/>
              <w:ind w:left="105"/>
              <w:rPr>
                <w:b/>
                <w:sz w:val="20"/>
                <w:szCs w:val="20"/>
                <w:lang w:val="mn-MN"/>
              </w:rPr>
            </w:pPr>
            <w:r w:rsidRPr="009E4499">
              <w:rPr>
                <w:sz w:val="20"/>
                <w:szCs w:val="20"/>
                <w:lang w:val="mn-MN"/>
              </w:rPr>
              <w:t>c1 – Shall only be used when encryption is also in use.</w:t>
            </w:r>
          </w:p>
        </w:tc>
      </w:tr>
    </w:tbl>
    <w:p w:rsidR="00F11C9C" w:rsidRDefault="00F11C9C" w:rsidP="00F11C9C">
      <w:pPr>
        <w:ind w:left="0" w:firstLine="0"/>
        <w:jc w:val="center"/>
      </w:pPr>
    </w:p>
    <w:tbl>
      <w:tblPr>
        <w:tblStyle w:val="TableGrid"/>
        <w:tblW w:w="0" w:type="auto"/>
        <w:tblLook w:val="04A0" w:firstRow="1" w:lastRow="0" w:firstColumn="1" w:lastColumn="0" w:noHBand="0" w:noVBand="1"/>
      </w:tblPr>
      <w:tblGrid>
        <w:gridCol w:w="4672"/>
        <w:gridCol w:w="4672"/>
      </w:tblGrid>
      <w:tr w:rsidR="009E4499" w:rsidTr="009E4499">
        <w:tc>
          <w:tcPr>
            <w:tcW w:w="4672" w:type="dxa"/>
          </w:tcPr>
          <w:p w:rsidR="009E4499" w:rsidRPr="009E4499" w:rsidRDefault="009E4499" w:rsidP="009E4499">
            <w:pPr>
              <w:tabs>
                <w:tab w:val="left" w:pos="0"/>
              </w:tabs>
              <w:ind w:left="0" w:firstLine="0"/>
              <w:rPr>
                <w:rFonts w:eastAsia="Calibri"/>
                <w:b/>
                <w:bCs/>
                <w:szCs w:val="22"/>
              </w:rPr>
            </w:pPr>
            <w:r w:rsidRPr="009E4499">
              <w:rPr>
                <w:rFonts w:eastAsia="Calibri"/>
                <w:b/>
                <w:bCs/>
                <w:szCs w:val="22"/>
              </w:rPr>
              <w:t>11.3.5 ITU X.234 A- Профайл сонголтууд</w:t>
            </w:r>
          </w:p>
          <w:p w:rsidR="009E4499" w:rsidRPr="009E4499" w:rsidRDefault="009E4499" w:rsidP="009E4499">
            <w:pPr>
              <w:tabs>
                <w:tab w:val="left" w:pos="0"/>
              </w:tabs>
              <w:ind w:left="0" w:firstLine="0"/>
              <w:rPr>
                <w:rFonts w:eastAsia="Calibri"/>
                <w:bCs/>
                <w:szCs w:val="22"/>
              </w:rPr>
            </w:pPr>
            <w:r w:rsidRPr="009E4499">
              <w:rPr>
                <w:rFonts w:eastAsia="Calibri"/>
                <w:bCs/>
                <w:szCs w:val="22"/>
              </w:rPr>
              <w:t>ITU X.234 нь тээврийн хэд хэдэн параметрийг тодорхойлдог. 11.3.5-р дэд бүлэгт дэмжигдэх ёстой параметрүүд ба тэдгээрийн уртыг тодорхойлсон.</w:t>
            </w:r>
          </w:p>
          <w:p w:rsidR="009E4499" w:rsidRPr="009E4499" w:rsidRDefault="009E4499" w:rsidP="009E4499">
            <w:pPr>
              <w:tabs>
                <w:tab w:val="left" w:pos="0"/>
              </w:tabs>
              <w:ind w:left="0" w:firstLine="0"/>
              <w:rPr>
                <w:rFonts w:eastAsia="Calibri"/>
                <w:bCs/>
                <w:szCs w:val="22"/>
              </w:rPr>
            </w:pPr>
            <w:r w:rsidRPr="009E4499">
              <w:rPr>
                <w:rFonts w:eastAsia="Calibri"/>
                <w:bCs/>
                <w:szCs w:val="22"/>
              </w:rPr>
              <w:t>X.234-ийн хувьсах хэсгүүдийг энэ стандартад ашиглах ёсгүй. Тиймээс зөвхөн LI ба UD талбарууд байх ёстой (ж.нь 2 октет).</w:t>
            </w:r>
          </w:p>
        </w:tc>
        <w:tc>
          <w:tcPr>
            <w:tcW w:w="4672" w:type="dxa"/>
          </w:tcPr>
          <w:p w:rsidR="009E4499" w:rsidRPr="009E4499" w:rsidRDefault="009E4499" w:rsidP="009E4499">
            <w:pPr>
              <w:tabs>
                <w:tab w:val="left" w:pos="0"/>
              </w:tabs>
              <w:ind w:left="0" w:firstLine="0"/>
              <w:rPr>
                <w:rFonts w:eastAsia="Calibri"/>
                <w:b/>
                <w:bCs/>
                <w:szCs w:val="22"/>
              </w:rPr>
            </w:pPr>
            <w:bookmarkStart w:id="50" w:name="_TOC_250020"/>
            <w:r w:rsidRPr="009E4499">
              <w:rPr>
                <w:rFonts w:eastAsia="Calibri"/>
                <w:b/>
                <w:bCs/>
                <w:szCs w:val="22"/>
              </w:rPr>
              <w:t xml:space="preserve">11.3.5 ITU X.234 A-Profile </w:t>
            </w:r>
            <w:bookmarkEnd w:id="50"/>
            <w:r w:rsidRPr="009E4499">
              <w:rPr>
                <w:rFonts w:eastAsia="Calibri"/>
                <w:b/>
                <w:bCs/>
                <w:szCs w:val="22"/>
              </w:rPr>
              <w:t>options</w:t>
            </w:r>
          </w:p>
          <w:p w:rsidR="009E4499" w:rsidRPr="009E4499" w:rsidRDefault="009E4499" w:rsidP="009E4499">
            <w:pPr>
              <w:tabs>
                <w:tab w:val="left" w:pos="0"/>
              </w:tabs>
              <w:ind w:left="0" w:firstLine="0"/>
              <w:rPr>
                <w:rFonts w:eastAsia="Calibri"/>
                <w:bCs/>
                <w:szCs w:val="22"/>
              </w:rPr>
            </w:pPr>
            <w:r w:rsidRPr="009E4499">
              <w:rPr>
                <w:rFonts w:eastAsia="Calibri"/>
                <w:bCs/>
                <w:szCs w:val="22"/>
              </w:rPr>
              <w:t>ITU X.234 defines several transport parameters. Subclause 11.3.5 specifies the parameters that shall be supported and lengths for those parameters.</w:t>
            </w:r>
          </w:p>
          <w:p w:rsidR="009E4499" w:rsidRPr="009E4499" w:rsidRDefault="009E4499" w:rsidP="009E4499">
            <w:pPr>
              <w:tabs>
                <w:tab w:val="left" w:pos="0"/>
              </w:tabs>
              <w:ind w:left="0" w:firstLine="0"/>
              <w:rPr>
                <w:rFonts w:eastAsia="Calibri"/>
                <w:bCs/>
                <w:szCs w:val="22"/>
              </w:rPr>
            </w:pPr>
          </w:p>
          <w:p w:rsidR="009E4499" w:rsidRPr="009E4499" w:rsidRDefault="009E4499" w:rsidP="009E4499">
            <w:pPr>
              <w:tabs>
                <w:tab w:val="left" w:pos="0"/>
              </w:tabs>
              <w:ind w:left="0" w:firstLine="0"/>
              <w:rPr>
                <w:rFonts w:eastAsia="Calibri"/>
                <w:bCs/>
                <w:szCs w:val="22"/>
              </w:rPr>
            </w:pPr>
            <w:r w:rsidRPr="009E4499">
              <w:rPr>
                <w:rFonts w:eastAsia="Calibri"/>
                <w:bCs/>
                <w:szCs w:val="22"/>
              </w:rPr>
              <w:t>The variable parts of X.234 shall not be used within this standard. Therefore, only the LI and  UD fields shall be present (e.g. 2 octets).</w:t>
            </w:r>
          </w:p>
          <w:p w:rsidR="009E4499" w:rsidRPr="009E4499" w:rsidRDefault="009E4499" w:rsidP="009E4499">
            <w:pPr>
              <w:tabs>
                <w:tab w:val="left" w:pos="0"/>
              </w:tabs>
              <w:ind w:left="0" w:firstLine="0"/>
              <w:rPr>
                <w:rFonts w:eastAsia="Calibri"/>
                <w:bCs/>
                <w:szCs w:val="22"/>
              </w:rPr>
            </w:pPr>
          </w:p>
        </w:tc>
      </w:tr>
    </w:tbl>
    <w:p w:rsidR="009E4499" w:rsidRDefault="009E4499" w:rsidP="00F11C9C">
      <w:pPr>
        <w:ind w:left="0" w:firstLine="0"/>
        <w:jc w:val="center"/>
      </w:pPr>
    </w:p>
    <w:tbl>
      <w:tblPr>
        <w:tblStyle w:val="TableGrid"/>
        <w:tblW w:w="0" w:type="auto"/>
        <w:tblLook w:val="04A0" w:firstRow="1" w:lastRow="0" w:firstColumn="1" w:lastColumn="0" w:noHBand="0" w:noVBand="1"/>
      </w:tblPr>
      <w:tblGrid>
        <w:gridCol w:w="2244"/>
        <w:gridCol w:w="1823"/>
        <w:gridCol w:w="1661"/>
        <w:gridCol w:w="1815"/>
        <w:gridCol w:w="1801"/>
      </w:tblGrid>
      <w:tr w:rsidR="009E4499" w:rsidTr="009E4499">
        <w:tc>
          <w:tcPr>
            <w:tcW w:w="2244" w:type="dxa"/>
          </w:tcPr>
          <w:p w:rsidR="009E4499" w:rsidRPr="00731F96" w:rsidRDefault="009E4499" w:rsidP="009E4499">
            <w:pPr>
              <w:pStyle w:val="TableParagraph"/>
              <w:tabs>
                <w:tab w:val="left" w:pos="0"/>
              </w:tabs>
              <w:spacing w:before="53" w:line="276" w:lineRule="auto"/>
              <w:rPr>
                <w:b/>
                <w:sz w:val="20"/>
                <w:szCs w:val="20"/>
                <w:lang w:val="mn-MN"/>
              </w:rPr>
            </w:pPr>
            <w:r w:rsidRPr="00731F96">
              <w:rPr>
                <w:b/>
                <w:sz w:val="20"/>
                <w:szCs w:val="20"/>
                <w:lang w:val="mn-MN"/>
              </w:rPr>
              <w:lastRenderedPageBreak/>
              <w:t>Тээврийн параметрийн тодорхойлолт</w:t>
            </w:r>
          </w:p>
        </w:tc>
        <w:tc>
          <w:tcPr>
            <w:tcW w:w="1823" w:type="dxa"/>
          </w:tcPr>
          <w:p w:rsidR="009E4499" w:rsidRPr="00EF2D2B" w:rsidRDefault="009E4499" w:rsidP="009E4499">
            <w:pPr>
              <w:pStyle w:val="TableParagraph"/>
              <w:tabs>
                <w:tab w:val="left" w:pos="0"/>
              </w:tabs>
              <w:spacing w:before="0" w:line="276" w:lineRule="auto"/>
              <w:rPr>
                <w:b/>
                <w:sz w:val="20"/>
                <w:szCs w:val="20"/>
                <w:lang w:val="mn-MN"/>
              </w:rPr>
            </w:pPr>
            <w:r w:rsidRPr="00EF2D2B">
              <w:rPr>
                <w:b/>
                <w:sz w:val="20"/>
                <w:szCs w:val="20"/>
                <w:lang w:val="mn-MN"/>
              </w:rPr>
              <w:t>Параметерын утга (аравтын)</w:t>
            </w:r>
          </w:p>
        </w:tc>
        <w:tc>
          <w:tcPr>
            <w:tcW w:w="1661" w:type="dxa"/>
          </w:tcPr>
          <w:p w:rsidR="009E4499" w:rsidRPr="00EF2D2B" w:rsidRDefault="009E4499" w:rsidP="009E4499">
            <w:pPr>
              <w:pStyle w:val="TableParagraph"/>
              <w:tabs>
                <w:tab w:val="left" w:pos="0"/>
              </w:tabs>
              <w:spacing w:before="53" w:line="276" w:lineRule="auto"/>
              <w:ind w:left="462"/>
              <w:rPr>
                <w:b/>
                <w:sz w:val="20"/>
                <w:szCs w:val="20"/>
                <w:lang w:val="mn-MN"/>
              </w:rPr>
            </w:pPr>
            <w:r w:rsidRPr="00EF2D2B">
              <w:rPr>
                <w:b/>
                <w:sz w:val="20"/>
                <w:szCs w:val="20"/>
                <w:lang w:val="mn-MN"/>
              </w:rPr>
              <w:t>LI утга</w:t>
            </w:r>
          </w:p>
        </w:tc>
        <w:tc>
          <w:tcPr>
            <w:tcW w:w="1815" w:type="dxa"/>
          </w:tcPr>
          <w:p w:rsidR="009E4499" w:rsidRPr="00EF2D2B" w:rsidRDefault="009E4499" w:rsidP="009E4499">
            <w:pPr>
              <w:pStyle w:val="TableParagraph"/>
              <w:tabs>
                <w:tab w:val="left" w:pos="0"/>
              </w:tabs>
              <w:spacing w:before="53" w:line="276" w:lineRule="auto"/>
              <w:rPr>
                <w:b/>
                <w:sz w:val="20"/>
                <w:szCs w:val="20"/>
                <w:lang w:val="mn-MN"/>
              </w:rPr>
            </w:pPr>
            <w:r w:rsidRPr="00EF2D2B">
              <w:rPr>
                <w:b/>
                <w:sz w:val="20"/>
                <w:szCs w:val="20"/>
                <w:lang w:val="mn-MN"/>
              </w:rPr>
              <w:t>Заавал /Заавал биш/ Хасах</w:t>
            </w:r>
          </w:p>
        </w:tc>
        <w:tc>
          <w:tcPr>
            <w:tcW w:w="1801" w:type="dxa"/>
          </w:tcPr>
          <w:p w:rsidR="009E4499" w:rsidRPr="00EF2D2B" w:rsidRDefault="009E4499" w:rsidP="009E4499">
            <w:pPr>
              <w:pStyle w:val="TableParagraph"/>
              <w:tabs>
                <w:tab w:val="left" w:pos="0"/>
              </w:tabs>
              <w:spacing w:before="53" w:line="276" w:lineRule="auto"/>
              <w:ind w:left="555"/>
              <w:rPr>
                <w:b/>
                <w:sz w:val="20"/>
                <w:szCs w:val="20"/>
                <w:lang w:val="mn-MN"/>
              </w:rPr>
            </w:pPr>
            <w:r w:rsidRPr="00EF2D2B">
              <w:rPr>
                <w:b/>
                <w:sz w:val="20"/>
                <w:szCs w:val="20"/>
                <w:lang w:val="mn-MN"/>
              </w:rPr>
              <w:t>Тайлбар</w:t>
            </w:r>
          </w:p>
        </w:tc>
      </w:tr>
      <w:tr w:rsidR="009E4499" w:rsidTr="009E4499">
        <w:tc>
          <w:tcPr>
            <w:tcW w:w="2244"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Source TSAP</w:t>
            </w:r>
          </w:p>
        </w:tc>
        <w:tc>
          <w:tcPr>
            <w:tcW w:w="1823"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193</w:t>
            </w:r>
          </w:p>
        </w:tc>
        <w:tc>
          <w:tcPr>
            <w:tcW w:w="1661" w:type="dxa"/>
          </w:tcPr>
          <w:p w:rsidR="009E4499" w:rsidRPr="00EF2D2B" w:rsidRDefault="009E4499" w:rsidP="009E4499">
            <w:pPr>
              <w:pStyle w:val="TableParagraph"/>
              <w:tabs>
                <w:tab w:val="left" w:pos="0"/>
              </w:tabs>
              <w:spacing w:line="276" w:lineRule="auto"/>
              <w:ind w:left="106"/>
              <w:rPr>
                <w:sz w:val="20"/>
                <w:szCs w:val="20"/>
                <w:lang w:val="mn-MN"/>
              </w:rPr>
            </w:pPr>
            <w:r w:rsidRPr="00EF2D2B">
              <w:rPr>
                <w:sz w:val="20"/>
                <w:szCs w:val="20"/>
                <w:lang w:val="mn-MN"/>
              </w:rPr>
              <w:t>1</w:t>
            </w:r>
          </w:p>
        </w:tc>
        <w:tc>
          <w:tcPr>
            <w:tcW w:w="1815" w:type="dxa"/>
          </w:tcPr>
          <w:p w:rsidR="009E4499" w:rsidRPr="00EF2D2B" w:rsidRDefault="009E4499" w:rsidP="009E4499">
            <w:pPr>
              <w:pStyle w:val="TableParagraph"/>
              <w:tabs>
                <w:tab w:val="left" w:pos="0"/>
              </w:tabs>
              <w:spacing w:line="276" w:lineRule="auto"/>
              <w:ind w:left="104"/>
              <w:rPr>
                <w:sz w:val="20"/>
                <w:szCs w:val="20"/>
                <w:lang w:val="mn-MN"/>
              </w:rPr>
            </w:pPr>
            <w:r w:rsidRPr="00EF2D2B">
              <w:rPr>
                <w:sz w:val="20"/>
                <w:szCs w:val="20"/>
                <w:lang w:val="mn-MN"/>
              </w:rPr>
              <w:t>X</w:t>
            </w:r>
          </w:p>
        </w:tc>
        <w:tc>
          <w:tcPr>
            <w:tcW w:w="1801" w:type="dxa"/>
          </w:tcPr>
          <w:p w:rsidR="009E4499" w:rsidRPr="00EF2D2B" w:rsidRDefault="009E4499" w:rsidP="00EE53EE">
            <w:pPr>
              <w:pStyle w:val="TableParagraph"/>
              <w:tabs>
                <w:tab w:val="left" w:pos="0"/>
              </w:tabs>
              <w:spacing w:before="58" w:line="276" w:lineRule="auto"/>
              <w:ind w:left="106"/>
              <w:rPr>
                <w:sz w:val="20"/>
                <w:szCs w:val="20"/>
                <w:lang w:val="mn-MN"/>
              </w:rPr>
            </w:pPr>
            <w:r w:rsidRPr="00EF2D2B">
              <w:rPr>
                <w:sz w:val="20"/>
                <w:szCs w:val="20"/>
                <w:lang w:val="mn-MN"/>
              </w:rPr>
              <w:t>Аддликейшний эммитерийг зангилааны дотор тодорхойлоход ашигладаг.</w:t>
            </w:r>
          </w:p>
        </w:tc>
      </w:tr>
      <w:tr w:rsidR="009E4499" w:rsidTr="009E4499">
        <w:tc>
          <w:tcPr>
            <w:tcW w:w="2244"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Destination TSAP</w:t>
            </w:r>
          </w:p>
        </w:tc>
        <w:tc>
          <w:tcPr>
            <w:tcW w:w="1823"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194</w:t>
            </w:r>
          </w:p>
        </w:tc>
        <w:tc>
          <w:tcPr>
            <w:tcW w:w="1661"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1</w:t>
            </w:r>
          </w:p>
        </w:tc>
        <w:tc>
          <w:tcPr>
            <w:tcW w:w="1815" w:type="dxa"/>
          </w:tcPr>
          <w:p w:rsidR="009E4499" w:rsidRPr="00EF2D2B" w:rsidRDefault="009E4499" w:rsidP="009E4499">
            <w:pPr>
              <w:pStyle w:val="TableParagraph"/>
              <w:tabs>
                <w:tab w:val="left" w:pos="0"/>
              </w:tabs>
              <w:spacing w:line="276" w:lineRule="auto"/>
              <w:ind w:left="104"/>
              <w:rPr>
                <w:sz w:val="20"/>
                <w:szCs w:val="20"/>
                <w:lang w:val="mn-MN"/>
              </w:rPr>
            </w:pPr>
            <w:r w:rsidRPr="00EF2D2B">
              <w:rPr>
                <w:sz w:val="20"/>
                <w:szCs w:val="20"/>
                <w:lang w:val="mn-MN"/>
              </w:rPr>
              <w:t>X</w:t>
            </w:r>
          </w:p>
        </w:tc>
        <w:tc>
          <w:tcPr>
            <w:tcW w:w="1801" w:type="dxa"/>
          </w:tcPr>
          <w:p w:rsidR="009E4499" w:rsidRPr="00D33687" w:rsidRDefault="009E4499" w:rsidP="00EE53EE">
            <w:pPr>
              <w:pStyle w:val="TableParagraph"/>
              <w:tabs>
                <w:tab w:val="left" w:pos="0"/>
              </w:tabs>
              <w:spacing w:before="58" w:line="276" w:lineRule="auto"/>
              <w:ind w:left="106"/>
              <w:rPr>
                <w:sz w:val="20"/>
                <w:szCs w:val="20"/>
                <w:lang w:val="mn-MN"/>
              </w:rPr>
            </w:pPr>
          </w:p>
        </w:tc>
      </w:tr>
      <w:tr w:rsidR="009E4499" w:rsidTr="009E4499">
        <w:tc>
          <w:tcPr>
            <w:tcW w:w="2244"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Checksum</w:t>
            </w:r>
          </w:p>
        </w:tc>
        <w:tc>
          <w:tcPr>
            <w:tcW w:w="1823" w:type="dxa"/>
          </w:tcPr>
          <w:p w:rsidR="009E4499" w:rsidRPr="00EF2D2B" w:rsidRDefault="009E4499" w:rsidP="009E4499">
            <w:pPr>
              <w:pStyle w:val="TableParagraph"/>
              <w:tabs>
                <w:tab w:val="left" w:pos="0"/>
              </w:tabs>
              <w:spacing w:line="276" w:lineRule="auto"/>
              <w:ind w:left="107"/>
              <w:rPr>
                <w:sz w:val="20"/>
                <w:szCs w:val="20"/>
                <w:lang w:val="mn-MN"/>
              </w:rPr>
            </w:pPr>
            <w:r w:rsidRPr="00EF2D2B">
              <w:rPr>
                <w:sz w:val="20"/>
                <w:szCs w:val="20"/>
                <w:lang w:val="mn-MN"/>
              </w:rPr>
              <w:t>195</w:t>
            </w:r>
          </w:p>
        </w:tc>
        <w:tc>
          <w:tcPr>
            <w:tcW w:w="1661" w:type="dxa"/>
          </w:tcPr>
          <w:p w:rsidR="009E4499" w:rsidRPr="00D33687" w:rsidRDefault="009E4499" w:rsidP="009E4499">
            <w:pPr>
              <w:pStyle w:val="TableParagraph"/>
              <w:tabs>
                <w:tab w:val="left" w:pos="0"/>
              </w:tabs>
              <w:spacing w:before="0" w:line="276" w:lineRule="auto"/>
              <w:rPr>
                <w:sz w:val="20"/>
                <w:szCs w:val="20"/>
                <w:lang w:val="mn-MN"/>
              </w:rPr>
            </w:pPr>
          </w:p>
        </w:tc>
        <w:tc>
          <w:tcPr>
            <w:tcW w:w="1815" w:type="dxa"/>
          </w:tcPr>
          <w:p w:rsidR="009E4499" w:rsidRPr="00731F96" w:rsidRDefault="009E4499" w:rsidP="009E4499">
            <w:pPr>
              <w:pStyle w:val="TableParagraph"/>
              <w:tabs>
                <w:tab w:val="left" w:pos="0"/>
              </w:tabs>
              <w:spacing w:line="276" w:lineRule="auto"/>
              <w:ind w:left="104"/>
              <w:rPr>
                <w:sz w:val="20"/>
                <w:szCs w:val="20"/>
                <w:lang w:val="mn-MN"/>
              </w:rPr>
            </w:pPr>
            <w:r w:rsidRPr="00EF2D2B">
              <w:rPr>
                <w:sz w:val="20"/>
                <w:szCs w:val="20"/>
                <w:lang w:val="mn-MN"/>
              </w:rPr>
              <w:t>X</w:t>
            </w:r>
          </w:p>
        </w:tc>
        <w:tc>
          <w:tcPr>
            <w:tcW w:w="1801" w:type="dxa"/>
          </w:tcPr>
          <w:p w:rsidR="009E4499" w:rsidRPr="00D33687" w:rsidRDefault="009E4499" w:rsidP="00EE53EE">
            <w:pPr>
              <w:pStyle w:val="TableParagraph"/>
              <w:tabs>
                <w:tab w:val="left" w:pos="0"/>
              </w:tabs>
              <w:spacing w:before="58" w:line="276" w:lineRule="auto"/>
              <w:ind w:left="106"/>
              <w:rPr>
                <w:sz w:val="20"/>
                <w:szCs w:val="20"/>
                <w:lang w:val="mn-MN"/>
              </w:rPr>
            </w:pPr>
          </w:p>
        </w:tc>
      </w:tr>
      <w:tr w:rsidR="009E4499" w:rsidTr="009E4499">
        <w:tc>
          <w:tcPr>
            <w:tcW w:w="2244" w:type="dxa"/>
          </w:tcPr>
          <w:p w:rsidR="009E4499" w:rsidRPr="00731F96" w:rsidRDefault="009E4499" w:rsidP="009E4499">
            <w:pPr>
              <w:pStyle w:val="TableParagraph"/>
              <w:tabs>
                <w:tab w:val="left" w:pos="0"/>
              </w:tabs>
              <w:spacing w:line="276" w:lineRule="auto"/>
              <w:ind w:left="105"/>
              <w:rPr>
                <w:sz w:val="20"/>
                <w:szCs w:val="20"/>
                <w:lang w:val="mn-MN"/>
              </w:rPr>
            </w:pPr>
            <w:r w:rsidRPr="00EF2D2B">
              <w:rPr>
                <w:sz w:val="20"/>
                <w:szCs w:val="20"/>
                <w:lang w:val="mn-MN"/>
              </w:rPr>
              <w:t>User Data</w:t>
            </w:r>
          </w:p>
        </w:tc>
        <w:tc>
          <w:tcPr>
            <w:tcW w:w="1823" w:type="dxa"/>
          </w:tcPr>
          <w:p w:rsidR="009E4499" w:rsidRPr="00D33687" w:rsidRDefault="009E4499" w:rsidP="009E4499">
            <w:pPr>
              <w:pStyle w:val="TableParagraph"/>
              <w:tabs>
                <w:tab w:val="left" w:pos="0"/>
              </w:tabs>
              <w:spacing w:before="0" w:line="276" w:lineRule="auto"/>
              <w:rPr>
                <w:sz w:val="20"/>
                <w:szCs w:val="20"/>
                <w:lang w:val="mn-MN"/>
              </w:rPr>
            </w:pPr>
          </w:p>
        </w:tc>
        <w:tc>
          <w:tcPr>
            <w:tcW w:w="1661" w:type="dxa"/>
          </w:tcPr>
          <w:p w:rsidR="009E4499" w:rsidRPr="00D33687" w:rsidRDefault="009E4499" w:rsidP="009E4499">
            <w:pPr>
              <w:pStyle w:val="TableParagraph"/>
              <w:tabs>
                <w:tab w:val="left" w:pos="0"/>
              </w:tabs>
              <w:spacing w:before="0" w:line="276" w:lineRule="auto"/>
              <w:rPr>
                <w:sz w:val="20"/>
                <w:szCs w:val="20"/>
                <w:lang w:val="mn-MN"/>
              </w:rPr>
            </w:pPr>
          </w:p>
        </w:tc>
        <w:tc>
          <w:tcPr>
            <w:tcW w:w="1815" w:type="dxa"/>
          </w:tcPr>
          <w:p w:rsidR="009E4499" w:rsidRPr="00731F96" w:rsidRDefault="009E4499" w:rsidP="009E4499">
            <w:pPr>
              <w:pStyle w:val="TableParagraph"/>
              <w:tabs>
                <w:tab w:val="left" w:pos="0"/>
              </w:tabs>
              <w:spacing w:line="276" w:lineRule="auto"/>
              <w:ind w:left="104"/>
              <w:rPr>
                <w:sz w:val="20"/>
                <w:szCs w:val="20"/>
                <w:lang w:val="mn-MN"/>
              </w:rPr>
            </w:pPr>
            <w:r w:rsidRPr="00EF2D2B">
              <w:rPr>
                <w:sz w:val="20"/>
                <w:szCs w:val="20"/>
                <w:lang w:val="mn-MN"/>
              </w:rPr>
              <w:t>M</w:t>
            </w:r>
          </w:p>
        </w:tc>
        <w:tc>
          <w:tcPr>
            <w:tcW w:w="1801" w:type="dxa"/>
          </w:tcPr>
          <w:p w:rsidR="009E4499" w:rsidRPr="00D33687" w:rsidRDefault="009E4499" w:rsidP="009E4499">
            <w:pPr>
              <w:pStyle w:val="TableParagraph"/>
              <w:tabs>
                <w:tab w:val="left" w:pos="0"/>
              </w:tabs>
              <w:spacing w:before="0" w:line="276" w:lineRule="auto"/>
              <w:rPr>
                <w:sz w:val="20"/>
                <w:szCs w:val="20"/>
                <w:lang w:val="mn-MN"/>
              </w:rPr>
            </w:pPr>
          </w:p>
        </w:tc>
      </w:tr>
    </w:tbl>
    <w:p w:rsidR="009E4499" w:rsidRDefault="009E4499" w:rsidP="00F11C9C">
      <w:pPr>
        <w:ind w:left="0" w:firstLine="0"/>
        <w:jc w:val="center"/>
      </w:pPr>
    </w:p>
    <w:tbl>
      <w:tblPr>
        <w:tblStyle w:val="TableGrid"/>
        <w:tblW w:w="0" w:type="auto"/>
        <w:tblLook w:val="04A0" w:firstRow="1" w:lastRow="0" w:firstColumn="1" w:lastColumn="0" w:noHBand="0" w:noVBand="1"/>
      </w:tblPr>
      <w:tblGrid>
        <w:gridCol w:w="2098"/>
        <w:gridCol w:w="1639"/>
        <w:gridCol w:w="1460"/>
        <w:gridCol w:w="2371"/>
        <w:gridCol w:w="1776"/>
      </w:tblGrid>
      <w:tr w:rsidR="00EE53EE" w:rsidRPr="00EF2D2B" w:rsidTr="00EE53EE">
        <w:tc>
          <w:tcPr>
            <w:tcW w:w="2098" w:type="dxa"/>
          </w:tcPr>
          <w:p w:rsidR="00EE53EE" w:rsidRPr="00731F96" w:rsidRDefault="00EE53EE" w:rsidP="00EE53EE">
            <w:pPr>
              <w:pStyle w:val="TableParagraph"/>
              <w:tabs>
                <w:tab w:val="left" w:pos="0"/>
              </w:tabs>
              <w:spacing w:before="53" w:line="276" w:lineRule="auto"/>
              <w:ind w:left="606" w:hanging="382"/>
              <w:rPr>
                <w:b/>
                <w:sz w:val="20"/>
                <w:szCs w:val="20"/>
                <w:lang w:val="mn-MN"/>
              </w:rPr>
            </w:pPr>
            <w:r w:rsidRPr="00731F96">
              <w:rPr>
                <w:b/>
                <w:sz w:val="20"/>
                <w:szCs w:val="20"/>
                <w:lang w:val="mn-MN"/>
              </w:rPr>
              <w:t>Transport parameter description</w:t>
            </w:r>
          </w:p>
        </w:tc>
        <w:tc>
          <w:tcPr>
            <w:tcW w:w="1639" w:type="dxa"/>
          </w:tcPr>
          <w:p w:rsidR="00EE53EE" w:rsidRPr="00EF2D2B" w:rsidRDefault="00EE53EE" w:rsidP="00EE53EE">
            <w:pPr>
              <w:pStyle w:val="TableParagraph"/>
              <w:tabs>
                <w:tab w:val="left" w:pos="0"/>
              </w:tabs>
              <w:spacing w:before="53" w:line="276" w:lineRule="auto"/>
              <w:ind w:left="397" w:hanging="202"/>
              <w:rPr>
                <w:b/>
                <w:sz w:val="20"/>
                <w:szCs w:val="20"/>
                <w:lang w:val="mn-MN"/>
              </w:rPr>
            </w:pPr>
            <w:r w:rsidRPr="00EF2D2B">
              <w:rPr>
                <w:b/>
                <w:sz w:val="20"/>
                <w:szCs w:val="20"/>
                <w:lang w:val="mn-MN"/>
              </w:rPr>
              <w:t>Parameter value</w:t>
            </w:r>
          </w:p>
          <w:p w:rsidR="00EE53EE" w:rsidRPr="00EF2D2B" w:rsidRDefault="00EE53EE" w:rsidP="00EE53EE">
            <w:pPr>
              <w:pStyle w:val="TableParagraph"/>
              <w:tabs>
                <w:tab w:val="left" w:pos="0"/>
              </w:tabs>
              <w:spacing w:before="0" w:line="276" w:lineRule="auto"/>
              <w:ind w:left="234"/>
              <w:rPr>
                <w:b/>
                <w:sz w:val="20"/>
                <w:szCs w:val="20"/>
                <w:lang w:val="mn-MN"/>
              </w:rPr>
            </w:pPr>
            <w:r w:rsidRPr="00EF2D2B">
              <w:rPr>
                <w:b/>
                <w:sz w:val="20"/>
                <w:szCs w:val="20"/>
                <w:lang w:val="mn-MN"/>
              </w:rPr>
              <w:t>(decimal)</w:t>
            </w:r>
          </w:p>
        </w:tc>
        <w:tc>
          <w:tcPr>
            <w:tcW w:w="1460" w:type="dxa"/>
          </w:tcPr>
          <w:p w:rsidR="00EE53EE" w:rsidRPr="00EF2D2B" w:rsidRDefault="00EE53EE" w:rsidP="00EE53EE">
            <w:pPr>
              <w:pStyle w:val="TableParagraph"/>
              <w:tabs>
                <w:tab w:val="left" w:pos="0"/>
              </w:tabs>
              <w:spacing w:before="53" w:line="276" w:lineRule="auto"/>
              <w:ind w:left="462"/>
              <w:rPr>
                <w:b/>
                <w:sz w:val="20"/>
                <w:szCs w:val="20"/>
                <w:lang w:val="mn-MN"/>
              </w:rPr>
            </w:pPr>
            <w:r w:rsidRPr="00EF2D2B">
              <w:rPr>
                <w:b/>
                <w:sz w:val="20"/>
                <w:szCs w:val="20"/>
                <w:lang w:val="mn-MN"/>
              </w:rPr>
              <w:t>LI value</w:t>
            </w:r>
          </w:p>
        </w:tc>
        <w:tc>
          <w:tcPr>
            <w:tcW w:w="2371" w:type="dxa"/>
          </w:tcPr>
          <w:p w:rsidR="00EE53EE" w:rsidRPr="00EF2D2B" w:rsidRDefault="00EE53EE" w:rsidP="00EE53EE">
            <w:pPr>
              <w:pStyle w:val="TableParagraph"/>
              <w:tabs>
                <w:tab w:val="left" w:pos="0"/>
              </w:tabs>
              <w:spacing w:before="53" w:line="276" w:lineRule="auto"/>
              <w:ind w:left="685" w:hanging="464"/>
              <w:rPr>
                <w:b/>
                <w:sz w:val="20"/>
                <w:szCs w:val="20"/>
                <w:lang w:val="mn-MN"/>
              </w:rPr>
            </w:pPr>
            <w:r w:rsidRPr="00EF2D2B">
              <w:rPr>
                <w:b/>
                <w:sz w:val="20"/>
                <w:szCs w:val="20"/>
                <w:lang w:val="mn-MN"/>
              </w:rPr>
              <w:t>Mandatory/Optional/ eXcluded</w:t>
            </w:r>
          </w:p>
        </w:tc>
        <w:tc>
          <w:tcPr>
            <w:tcW w:w="1776" w:type="dxa"/>
          </w:tcPr>
          <w:p w:rsidR="00EE53EE" w:rsidRPr="00EF2D2B" w:rsidRDefault="00EE53EE" w:rsidP="00EE53EE">
            <w:pPr>
              <w:pStyle w:val="TableParagraph"/>
              <w:tabs>
                <w:tab w:val="left" w:pos="0"/>
              </w:tabs>
              <w:spacing w:before="53" w:line="276" w:lineRule="auto"/>
              <w:ind w:left="555"/>
              <w:rPr>
                <w:b/>
                <w:sz w:val="20"/>
                <w:szCs w:val="20"/>
                <w:lang w:val="mn-MN"/>
              </w:rPr>
            </w:pPr>
            <w:r w:rsidRPr="00EF2D2B">
              <w:rPr>
                <w:b/>
                <w:sz w:val="20"/>
                <w:szCs w:val="20"/>
                <w:lang w:val="mn-MN"/>
              </w:rPr>
              <w:t>Comment</w:t>
            </w:r>
          </w:p>
        </w:tc>
      </w:tr>
      <w:tr w:rsidR="00EE53EE" w:rsidRPr="00EF2D2B" w:rsidTr="00EE53EE">
        <w:tc>
          <w:tcPr>
            <w:tcW w:w="2098" w:type="dxa"/>
          </w:tcPr>
          <w:p w:rsidR="00EE53EE" w:rsidRPr="00731F96" w:rsidRDefault="00EE53EE" w:rsidP="00EE53EE">
            <w:pPr>
              <w:pStyle w:val="TableParagraph"/>
              <w:tabs>
                <w:tab w:val="left" w:pos="0"/>
              </w:tabs>
              <w:spacing w:line="276" w:lineRule="auto"/>
              <w:ind w:left="105"/>
              <w:rPr>
                <w:sz w:val="20"/>
                <w:szCs w:val="20"/>
                <w:lang w:val="mn-MN"/>
              </w:rPr>
            </w:pPr>
            <w:r w:rsidRPr="00EF2D2B">
              <w:rPr>
                <w:sz w:val="20"/>
                <w:szCs w:val="20"/>
                <w:lang w:val="mn-MN"/>
              </w:rPr>
              <w:t>Source TSAP</w:t>
            </w:r>
          </w:p>
        </w:tc>
        <w:tc>
          <w:tcPr>
            <w:tcW w:w="1639" w:type="dxa"/>
          </w:tcPr>
          <w:p w:rsidR="00EE53EE" w:rsidRPr="00EF2D2B" w:rsidRDefault="00EE53EE" w:rsidP="00EE53EE">
            <w:pPr>
              <w:pStyle w:val="TableParagraph"/>
              <w:tabs>
                <w:tab w:val="left" w:pos="0"/>
              </w:tabs>
              <w:spacing w:line="276" w:lineRule="auto"/>
              <w:ind w:left="107"/>
              <w:rPr>
                <w:sz w:val="20"/>
                <w:szCs w:val="20"/>
                <w:lang w:val="mn-MN"/>
              </w:rPr>
            </w:pPr>
            <w:r w:rsidRPr="00EF2D2B">
              <w:rPr>
                <w:sz w:val="20"/>
                <w:szCs w:val="20"/>
                <w:lang w:val="mn-MN"/>
              </w:rPr>
              <w:t>193</w:t>
            </w:r>
          </w:p>
        </w:tc>
        <w:tc>
          <w:tcPr>
            <w:tcW w:w="1460" w:type="dxa"/>
          </w:tcPr>
          <w:p w:rsidR="00EE53EE" w:rsidRPr="00EF2D2B" w:rsidRDefault="00EE53EE" w:rsidP="00EE53EE">
            <w:pPr>
              <w:pStyle w:val="TableParagraph"/>
              <w:tabs>
                <w:tab w:val="left" w:pos="0"/>
              </w:tabs>
              <w:spacing w:line="276" w:lineRule="auto"/>
              <w:ind w:left="106"/>
              <w:rPr>
                <w:sz w:val="20"/>
                <w:szCs w:val="20"/>
                <w:lang w:val="mn-MN"/>
              </w:rPr>
            </w:pPr>
            <w:r w:rsidRPr="00EF2D2B">
              <w:rPr>
                <w:sz w:val="20"/>
                <w:szCs w:val="20"/>
                <w:lang w:val="mn-MN"/>
              </w:rPr>
              <w:t>1</w:t>
            </w:r>
          </w:p>
        </w:tc>
        <w:tc>
          <w:tcPr>
            <w:tcW w:w="2371" w:type="dxa"/>
          </w:tcPr>
          <w:p w:rsidR="00EE53EE" w:rsidRPr="00EF2D2B" w:rsidRDefault="00EE53EE" w:rsidP="00EE53EE">
            <w:pPr>
              <w:pStyle w:val="TableParagraph"/>
              <w:tabs>
                <w:tab w:val="left" w:pos="0"/>
              </w:tabs>
              <w:spacing w:line="276" w:lineRule="auto"/>
              <w:ind w:left="104"/>
              <w:rPr>
                <w:sz w:val="20"/>
                <w:szCs w:val="20"/>
                <w:lang w:val="mn-MN"/>
              </w:rPr>
            </w:pPr>
            <w:r w:rsidRPr="00EF2D2B">
              <w:rPr>
                <w:sz w:val="20"/>
                <w:szCs w:val="20"/>
                <w:lang w:val="mn-MN"/>
              </w:rPr>
              <w:t>X</w:t>
            </w:r>
          </w:p>
        </w:tc>
        <w:tc>
          <w:tcPr>
            <w:tcW w:w="1776" w:type="dxa"/>
          </w:tcPr>
          <w:p w:rsidR="00EE53EE" w:rsidRPr="00EF2D2B" w:rsidRDefault="00EE53EE" w:rsidP="00EE53EE">
            <w:pPr>
              <w:pStyle w:val="TableParagraph"/>
              <w:tabs>
                <w:tab w:val="left" w:pos="0"/>
              </w:tabs>
              <w:spacing w:line="276" w:lineRule="auto"/>
              <w:ind w:left="104" w:right="113"/>
              <w:rPr>
                <w:sz w:val="20"/>
                <w:szCs w:val="20"/>
                <w:lang w:val="mn-MN"/>
              </w:rPr>
            </w:pPr>
            <w:r w:rsidRPr="00EF2D2B">
              <w:rPr>
                <w:sz w:val="20"/>
                <w:szCs w:val="20"/>
                <w:lang w:val="mn-MN"/>
              </w:rPr>
              <w:t>Used to identify the application emitter within a node.</w:t>
            </w:r>
          </w:p>
        </w:tc>
      </w:tr>
      <w:tr w:rsidR="00EE53EE" w:rsidRPr="00D33687" w:rsidTr="00EE53EE">
        <w:tc>
          <w:tcPr>
            <w:tcW w:w="2098" w:type="dxa"/>
          </w:tcPr>
          <w:p w:rsidR="00EE53EE" w:rsidRPr="00731F96" w:rsidRDefault="00EE53EE" w:rsidP="00EE53EE">
            <w:pPr>
              <w:pStyle w:val="TableParagraph"/>
              <w:tabs>
                <w:tab w:val="left" w:pos="0"/>
              </w:tabs>
              <w:spacing w:line="276" w:lineRule="auto"/>
              <w:ind w:left="105"/>
              <w:rPr>
                <w:sz w:val="20"/>
                <w:szCs w:val="20"/>
                <w:lang w:val="mn-MN"/>
              </w:rPr>
            </w:pPr>
            <w:r w:rsidRPr="00EF2D2B">
              <w:rPr>
                <w:sz w:val="20"/>
                <w:szCs w:val="20"/>
                <w:lang w:val="mn-MN"/>
              </w:rPr>
              <w:t>Destination TSAP</w:t>
            </w:r>
          </w:p>
        </w:tc>
        <w:tc>
          <w:tcPr>
            <w:tcW w:w="1639" w:type="dxa"/>
          </w:tcPr>
          <w:p w:rsidR="00EE53EE" w:rsidRPr="00EF2D2B" w:rsidRDefault="00EE53EE" w:rsidP="00EE53EE">
            <w:pPr>
              <w:pStyle w:val="TableParagraph"/>
              <w:tabs>
                <w:tab w:val="left" w:pos="0"/>
              </w:tabs>
              <w:spacing w:line="276" w:lineRule="auto"/>
              <w:ind w:left="107"/>
              <w:rPr>
                <w:sz w:val="20"/>
                <w:szCs w:val="20"/>
                <w:lang w:val="mn-MN"/>
              </w:rPr>
            </w:pPr>
            <w:r w:rsidRPr="00EF2D2B">
              <w:rPr>
                <w:sz w:val="20"/>
                <w:szCs w:val="20"/>
                <w:lang w:val="mn-MN"/>
              </w:rPr>
              <w:t>194</w:t>
            </w:r>
          </w:p>
        </w:tc>
        <w:tc>
          <w:tcPr>
            <w:tcW w:w="1460" w:type="dxa"/>
          </w:tcPr>
          <w:p w:rsidR="00EE53EE" w:rsidRPr="00EF2D2B" w:rsidRDefault="00EE53EE" w:rsidP="00EE53EE">
            <w:pPr>
              <w:pStyle w:val="TableParagraph"/>
              <w:tabs>
                <w:tab w:val="left" w:pos="0"/>
              </w:tabs>
              <w:spacing w:line="276" w:lineRule="auto"/>
              <w:ind w:left="107"/>
              <w:rPr>
                <w:sz w:val="20"/>
                <w:szCs w:val="20"/>
                <w:lang w:val="mn-MN"/>
              </w:rPr>
            </w:pPr>
            <w:r w:rsidRPr="00EF2D2B">
              <w:rPr>
                <w:sz w:val="20"/>
                <w:szCs w:val="20"/>
                <w:lang w:val="mn-MN"/>
              </w:rPr>
              <w:t>1</w:t>
            </w:r>
          </w:p>
        </w:tc>
        <w:tc>
          <w:tcPr>
            <w:tcW w:w="2371" w:type="dxa"/>
          </w:tcPr>
          <w:p w:rsidR="00EE53EE" w:rsidRPr="00EF2D2B" w:rsidRDefault="00EE53EE" w:rsidP="00EE53EE">
            <w:pPr>
              <w:pStyle w:val="TableParagraph"/>
              <w:tabs>
                <w:tab w:val="left" w:pos="0"/>
              </w:tabs>
              <w:spacing w:line="276" w:lineRule="auto"/>
              <w:ind w:left="104"/>
              <w:rPr>
                <w:sz w:val="20"/>
                <w:szCs w:val="20"/>
                <w:lang w:val="mn-MN"/>
              </w:rPr>
            </w:pPr>
            <w:r w:rsidRPr="00EF2D2B">
              <w:rPr>
                <w:sz w:val="20"/>
                <w:szCs w:val="20"/>
                <w:lang w:val="mn-MN"/>
              </w:rPr>
              <w:t>X</w:t>
            </w:r>
          </w:p>
        </w:tc>
        <w:tc>
          <w:tcPr>
            <w:tcW w:w="1776" w:type="dxa"/>
          </w:tcPr>
          <w:p w:rsidR="00EE53EE" w:rsidRPr="00D33687" w:rsidRDefault="00EE53EE" w:rsidP="00EE53EE">
            <w:pPr>
              <w:pStyle w:val="TableParagraph"/>
              <w:tabs>
                <w:tab w:val="left" w:pos="0"/>
              </w:tabs>
              <w:spacing w:before="0" w:line="276" w:lineRule="auto"/>
              <w:rPr>
                <w:sz w:val="20"/>
                <w:szCs w:val="20"/>
                <w:lang w:val="mn-MN"/>
              </w:rPr>
            </w:pPr>
          </w:p>
        </w:tc>
      </w:tr>
      <w:tr w:rsidR="00EE53EE" w:rsidRPr="00D33687" w:rsidTr="00EE53EE">
        <w:tc>
          <w:tcPr>
            <w:tcW w:w="2098" w:type="dxa"/>
          </w:tcPr>
          <w:p w:rsidR="00EE53EE" w:rsidRPr="00731F96" w:rsidRDefault="00EE53EE" w:rsidP="00EE53EE">
            <w:pPr>
              <w:pStyle w:val="TableParagraph"/>
              <w:tabs>
                <w:tab w:val="left" w:pos="0"/>
              </w:tabs>
              <w:spacing w:line="276" w:lineRule="auto"/>
              <w:ind w:left="105"/>
              <w:rPr>
                <w:sz w:val="20"/>
                <w:szCs w:val="20"/>
                <w:lang w:val="mn-MN"/>
              </w:rPr>
            </w:pPr>
            <w:r w:rsidRPr="00EF2D2B">
              <w:rPr>
                <w:sz w:val="20"/>
                <w:szCs w:val="20"/>
                <w:lang w:val="mn-MN"/>
              </w:rPr>
              <w:t>Checksum</w:t>
            </w:r>
          </w:p>
        </w:tc>
        <w:tc>
          <w:tcPr>
            <w:tcW w:w="1639" w:type="dxa"/>
          </w:tcPr>
          <w:p w:rsidR="00EE53EE" w:rsidRPr="00EF2D2B" w:rsidRDefault="00EE53EE" w:rsidP="00EE53EE">
            <w:pPr>
              <w:pStyle w:val="TableParagraph"/>
              <w:tabs>
                <w:tab w:val="left" w:pos="0"/>
              </w:tabs>
              <w:spacing w:line="276" w:lineRule="auto"/>
              <w:ind w:left="107"/>
              <w:rPr>
                <w:sz w:val="20"/>
                <w:szCs w:val="20"/>
                <w:lang w:val="mn-MN"/>
              </w:rPr>
            </w:pPr>
            <w:r w:rsidRPr="00EF2D2B">
              <w:rPr>
                <w:sz w:val="20"/>
                <w:szCs w:val="20"/>
                <w:lang w:val="mn-MN"/>
              </w:rPr>
              <w:t>195</w:t>
            </w:r>
          </w:p>
        </w:tc>
        <w:tc>
          <w:tcPr>
            <w:tcW w:w="1460" w:type="dxa"/>
          </w:tcPr>
          <w:p w:rsidR="00EE53EE" w:rsidRPr="00D33687" w:rsidRDefault="00EE53EE" w:rsidP="00EE53EE">
            <w:pPr>
              <w:pStyle w:val="TableParagraph"/>
              <w:tabs>
                <w:tab w:val="left" w:pos="0"/>
              </w:tabs>
              <w:spacing w:before="0" w:line="276" w:lineRule="auto"/>
              <w:rPr>
                <w:sz w:val="20"/>
                <w:szCs w:val="20"/>
                <w:lang w:val="mn-MN"/>
              </w:rPr>
            </w:pPr>
          </w:p>
        </w:tc>
        <w:tc>
          <w:tcPr>
            <w:tcW w:w="2371" w:type="dxa"/>
          </w:tcPr>
          <w:p w:rsidR="00EE53EE" w:rsidRPr="00731F96" w:rsidRDefault="00EE53EE" w:rsidP="00EE53EE">
            <w:pPr>
              <w:pStyle w:val="TableParagraph"/>
              <w:tabs>
                <w:tab w:val="left" w:pos="0"/>
              </w:tabs>
              <w:spacing w:line="276" w:lineRule="auto"/>
              <w:ind w:left="104"/>
              <w:rPr>
                <w:sz w:val="20"/>
                <w:szCs w:val="20"/>
                <w:lang w:val="mn-MN"/>
              </w:rPr>
            </w:pPr>
            <w:r w:rsidRPr="00EF2D2B">
              <w:rPr>
                <w:sz w:val="20"/>
                <w:szCs w:val="20"/>
                <w:lang w:val="mn-MN"/>
              </w:rPr>
              <w:t>X</w:t>
            </w:r>
          </w:p>
        </w:tc>
        <w:tc>
          <w:tcPr>
            <w:tcW w:w="1776" w:type="dxa"/>
          </w:tcPr>
          <w:p w:rsidR="00EE53EE" w:rsidRPr="00D33687" w:rsidRDefault="00EE53EE" w:rsidP="00EE53EE">
            <w:pPr>
              <w:pStyle w:val="TableParagraph"/>
              <w:tabs>
                <w:tab w:val="left" w:pos="0"/>
              </w:tabs>
              <w:spacing w:before="0" w:line="276" w:lineRule="auto"/>
              <w:rPr>
                <w:sz w:val="20"/>
                <w:szCs w:val="20"/>
                <w:lang w:val="mn-MN"/>
              </w:rPr>
            </w:pPr>
          </w:p>
        </w:tc>
      </w:tr>
      <w:tr w:rsidR="00EE53EE" w:rsidRPr="00D33687" w:rsidTr="00EE53EE">
        <w:tc>
          <w:tcPr>
            <w:tcW w:w="2098" w:type="dxa"/>
          </w:tcPr>
          <w:p w:rsidR="00EE53EE" w:rsidRPr="00731F96" w:rsidRDefault="00EE53EE" w:rsidP="00EE53EE">
            <w:pPr>
              <w:pStyle w:val="TableParagraph"/>
              <w:tabs>
                <w:tab w:val="left" w:pos="0"/>
              </w:tabs>
              <w:spacing w:line="276" w:lineRule="auto"/>
              <w:ind w:left="105"/>
              <w:rPr>
                <w:sz w:val="20"/>
                <w:szCs w:val="20"/>
                <w:lang w:val="mn-MN"/>
              </w:rPr>
            </w:pPr>
            <w:r w:rsidRPr="00EF2D2B">
              <w:rPr>
                <w:sz w:val="20"/>
                <w:szCs w:val="20"/>
                <w:lang w:val="mn-MN"/>
              </w:rPr>
              <w:t>User Data</w:t>
            </w:r>
          </w:p>
        </w:tc>
        <w:tc>
          <w:tcPr>
            <w:tcW w:w="1639" w:type="dxa"/>
          </w:tcPr>
          <w:p w:rsidR="00EE53EE" w:rsidRPr="00D33687" w:rsidRDefault="00EE53EE" w:rsidP="00EE53EE">
            <w:pPr>
              <w:pStyle w:val="TableParagraph"/>
              <w:tabs>
                <w:tab w:val="left" w:pos="0"/>
              </w:tabs>
              <w:spacing w:before="0" w:line="276" w:lineRule="auto"/>
              <w:rPr>
                <w:sz w:val="20"/>
                <w:szCs w:val="20"/>
                <w:lang w:val="mn-MN"/>
              </w:rPr>
            </w:pPr>
          </w:p>
        </w:tc>
        <w:tc>
          <w:tcPr>
            <w:tcW w:w="1460" w:type="dxa"/>
          </w:tcPr>
          <w:p w:rsidR="00EE53EE" w:rsidRPr="00D33687" w:rsidRDefault="00EE53EE" w:rsidP="00EE53EE">
            <w:pPr>
              <w:pStyle w:val="TableParagraph"/>
              <w:tabs>
                <w:tab w:val="left" w:pos="0"/>
              </w:tabs>
              <w:spacing w:before="0" w:line="276" w:lineRule="auto"/>
              <w:rPr>
                <w:sz w:val="20"/>
                <w:szCs w:val="20"/>
                <w:lang w:val="mn-MN"/>
              </w:rPr>
            </w:pPr>
          </w:p>
        </w:tc>
        <w:tc>
          <w:tcPr>
            <w:tcW w:w="2371" w:type="dxa"/>
          </w:tcPr>
          <w:p w:rsidR="00EE53EE" w:rsidRPr="00731F96" w:rsidRDefault="00EE53EE" w:rsidP="00EE53EE">
            <w:pPr>
              <w:pStyle w:val="TableParagraph"/>
              <w:tabs>
                <w:tab w:val="left" w:pos="0"/>
              </w:tabs>
              <w:spacing w:line="276" w:lineRule="auto"/>
              <w:ind w:left="104"/>
              <w:rPr>
                <w:sz w:val="20"/>
                <w:szCs w:val="20"/>
                <w:lang w:val="mn-MN"/>
              </w:rPr>
            </w:pPr>
            <w:r w:rsidRPr="00EF2D2B">
              <w:rPr>
                <w:sz w:val="20"/>
                <w:szCs w:val="20"/>
                <w:lang w:val="mn-MN"/>
              </w:rPr>
              <w:t>M</w:t>
            </w:r>
          </w:p>
        </w:tc>
        <w:tc>
          <w:tcPr>
            <w:tcW w:w="1776" w:type="dxa"/>
          </w:tcPr>
          <w:p w:rsidR="00EE53EE" w:rsidRPr="00D33687" w:rsidRDefault="00EE53EE" w:rsidP="00EE53EE">
            <w:pPr>
              <w:pStyle w:val="TableParagraph"/>
              <w:tabs>
                <w:tab w:val="left" w:pos="0"/>
              </w:tabs>
              <w:spacing w:before="0" w:line="276" w:lineRule="auto"/>
              <w:rPr>
                <w:sz w:val="20"/>
                <w:szCs w:val="20"/>
                <w:lang w:val="mn-MN"/>
              </w:rPr>
            </w:pPr>
          </w:p>
        </w:tc>
      </w:tr>
    </w:tbl>
    <w:p w:rsidR="00EE53EE" w:rsidRDefault="00EE53EE" w:rsidP="00F11C9C">
      <w:pPr>
        <w:ind w:left="0" w:firstLine="0"/>
        <w:jc w:val="center"/>
        <w:rPr>
          <w:b/>
        </w:rPr>
      </w:pPr>
    </w:p>
    <w:tbl>
      <w:tblPr>
        <w:tblStyle w:val="TableGrid"/>
        <w:tblW w:w="0" w:type="auto"/>
        <w:tblLook w:val="04A0" w:firstRow="1" w:lastRow="0" w:firstColumn="1" w:lastColumn="0" w:noHBand="0" w:noVBand="1"/>
      </w:tblPr>
      <w:tblGrid>
        <w:gridCol w:w="4672"/>
        <w:gridCol w:w="4672"/>
      </w:tblGrid>
      <w:tr w:rsidR="00EE53EE" w:rsidTr="00EE53EE">
        <w:tc>
          <w:tcPr>
            <w:tcW w:w="4672" w:type="dxa"/>
          </w:tcPr>
          <w:p w:rsidR="00EE53EE" w:rsidRPr="00EE53EE" w:rsidRDefault="00EE53EE" w:rsidP="00EE53EE">
            <w:pPr>
              <w:tabs>
                <w:tab w:val="left" w:pos="0"/>
              </w:tabs>
              <w:ind w:left="0" w:firstLine="0"/>
              <w:rPr>
                <w:rFonts w:eastAsia="Calibri"/>
                <w:b/>
                <w:bCs/>
                <w:szCs w:val="22"/>
              </w:rPr>
            </w:pPr>
            <w:r w:rsidRPr="00EE53EE">
              <w:rPr>
                <w:rFonts w:eastAsia="Calibri"/>
                <w:b/>
                <w:bCs/>
                <w:szCs w:val="22"/>
              </w:rPr>
              <w:t>11.4 KDCProfile (KDC Профайл)</w:t>
            </w:r>
          </w:p>
          <w:p w:rsidR="00EE53EE" w:rsidRPr="00EE53EE" w:rsidRDefault="00EE53EE" w:rsidP="00EE53EE">
            <w:pPr>
              <w:tabs>
                <w:tab w:val="left" w:pos="0"/>
              </w:tabs>
              <w:ind w:left="0" w:firstLine="0"/>
              <w:rPr>
                <w:rFonts w:eastAsia="Calibri"/>
                <w:bCs/>
                <w:szCs w:val="22"/>
              </w:rPr>
            </w:pPr>
            <w:r w:rsidRPr="00EE53EE">
              <w:rPr>
                <w:rFonts w:eastAsia="Calibri"/>
                <w:bCs/>
                <w:szCs w:val="22"/>
              </w:rPr>
              <w:t>IEC / TR 61850-90-5 KDC Profile нь RFC 3547: Group Domain Interpretation (Тайлбарын Бүлэг Домайн) (GDOI) дээр суурилсан. Энэхүү RFC нь ISAKMP (RFC 2407) -ийг түлхүүр хүсэлт ба солилцох механизмын нэг хэсэг болгон ашигладаг. RFC 2407 нь хэд хэдэн орон зайд хэрэглэгчийн/хувийн өргөтгөлийг ашиглах боломжийг олгодог бөгөөдэдгээр нь IEC/TR 61850-90-5 ашиглалтын хоёр хэлбэртэй:</w:t>
            </w:r>
          </w:p>
          <w:p w:rsidR="00EE53EE" w:rsidRPr="00EE53EE" w:rsidRDefault="00EE53EE" w:rsidP="00472036">
            <w:pPr>
              <w:pStyle w:val="ListParagraph"/>
              <w:numPr>
                <w:ilvl w:val="0"/>
                <w:numId w:val="26"/>
              </w:numPr>
              <w:tabs>
                <w:tab w:val="left" w:pos="0"/>
              </w:tabs>
              <w:spacing w:after="0"/>
              <w:ind w:left="0" w:firstLine="0"/>
              <w:rPr>
                <w:rFonts w:eastAsia="Calibri"/>
                <w:bCs/>
                <w:szCs w:val="22"/>
              </w:rPr>
            </w:pPr>
            <w:r w:rsidRPr="00EE53EE">
              <w:rPr>
                <w:rFonts w:eastAsia="Calibri"/>
                <w:bCs/>
                <w:szCs w:val="22"/>
              </w:rPr>
              <w:t>Тодорхойлох ачаалал (RFC 3547-ийн 5.1): Ачааллын тодорхойлогч нь түлхүүр шаардагддаг мэдээллийн урсгалын төрлийг заана.</w:t>
            </w:r>
          </w:p>
          <w:p w:rsidR="00EE53EE" w:rsidRPr="00EE53EE" w:rsidRDefault="00EE53EE" w:rsidP="00472036">
            <w:pPr>
              <w:pStyle w:val="ListParagraph"/>
              <w:numPr>
                <w:ilvl w:val="0"/>
                <w:numId w:val="26"/>
              </w:numPr>
              <w:tabs>
                <w:tab w:val="left" w:pos="0"/>
              </w:tabs>
              <w:spacing w:after="0"/>
              <w:ind w:left="0" w:firstLine="0"/>
              <w:rPr>
                <w:rFonts w:eastAsia="Calibri"/>
                <w:bCs/>
                <w:szCs w:val="22"/>
              </w:rPr>
            </w:pPr>
            <w:r w:rsidRPr="00EE53EE">
              <w:rPr>
                <w:rFonts w:eastAsia="Calibri"/>
                <w:bCs/>
                <w:szCs w:val="22"/>
              </w:rPr>
              <w:t>Түлхүүр ачааллыг тодорхойлох (RFC 3547-ийн 5.5): Түлхүүр ачааллын төрлийг тодорхойлогч нь буцааж буй түлхүүрийн төрлийг заана.</w:t>
            </w:r>
          </w:p>
          <w:p w:rsidR="00EE53EE" w:rsidRPr="00EE53EE" w:rsidRDefault="00EE53EE" w:rsidP="00EE53EE">
            <w:pPr>
              <w:tabs>
                <w:tab w:val="left" w:pos="0"/>
              </w:tabs>
              <w:ind w:left="0" w:firstLine="0"/>
              <w:rPr>
                <w:rFonts w:eastAsia="Calibri"/>
                <w:bCs/>
                <w:szCs w:val="22"/>
              </w:rPr>
            </w:pPr>
            <w:r w:rsidRPr="00EE53EE">
              <w:rPr>
                <w:rFonts w:eastAsia="Calibri"/>
                <w:bCs/>
                <w:szCs w:val="22"/>
              </w:rPr>
              <w:lastRenderedPageBreak/>
              <w:t>GROUPKEY-PULL гэгддэг GDOI-ийн мэдээлэл дамжуулах гурван үе шаттай:</w:t>
            </w:r>
          </w:p>
          <w:p w:rsidR="00EE53EE" w:rsidRPr="00EE53EE" w:rsidRDefault="00EE53EE" w:rsidP="00EE53EE">
            <w:pPr>
              <w:tabs>
                <w:tab w:val="left" w:pos="0"/>
              </w:tabs>
              <w:ind w:left="0" w:firstLine="0"/>
              <w:rPr>
                <w:rFonts w:eastAsia="Calibri"/>
                <w:bCs/>
                <w:szCs w:val="22"/>
              </w:rPr>
            </w:pP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1-р үе шат: Холболтыг үүсгэх ба баталгаажуулалт</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GDOI-ээс зөвшөөрөгдсөн баталгаажуулалтын хоёр механизм байдаг боловч IEC/TR 61850-90-5-ийн хэрэгжилтүүд нь холболт үүсгэх агшинд солилцсон GDOI клиент-ийн батлагааны итгэмжлэлийг ашиглах боломжийг дэмждэг.</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2-р үе шат: Хүсэлт гаргасан бүлэгт ашиглах удирдамжийгтодорхойлогч</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Энэ нь GDOI Тодорхойлох Ачааллын Хүсэлтийн дагуу хийгддэг. KDC нь энэхүү хүсэлтэд дэмжигдсэн удирдамжийн (ж.нь нууцлал ба баталгаажуулалтын алгоритмууд) дагуу хариу өгдөг. Энэхүү удирдамжууд нь SA KEK-ийн ачааллыг буцаан өгдөг GDOI SA-ийг ашиглан хариу өгнө.</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Хэрэв клиентудирдамжийг дэмжихгүй бол клиент цуцлах (ж.нь TCP холболтоо таслах) хэрэгтэй. Хэрэв клиентудирдамжийгдэмждэг бол Түлхүүр Татаж Авах (KD) ачааллын хүсэлтийг гаргана.</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3-р үе шат: Ашиглагдах түлхүүрүүдийг олж авах.</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Энэ нь KD-ийн зохих ачааллын хүсэлтийн дагуу хийгддэг.</w:t>
            </w:r>
          </w:p>
          <w:p w:rsidR="00EE53EE" w:rsidRPr="00EE53EE" w:rsidRDefault="00EE53EE" w:rsidP="00EE53EE">
            <w:pPr>
              <w:tabs>
                <w:tab w:val="left" w:pos="0"/>
              </w:tabs>
              <w:ind w:left="0" w:firstLine="0"/>
              <w:rPr>
                <w:rFonts w:eastAsia="Calibri"/>
                <w:bCs/>
                <w:szCs w:val="22"/>
              </w:rPr>
            </w:pPr>
            <w:r w:rsidRPr="00EE53EE">
              <w:rPr>
                <w:rFonts w:eastAsia="Calibri"/>
                <w:bCs/>
                <w:szCs w:val="22"/>
              </w:rPr>
              <w:t>Дараах дэд бүлгүүдэд IEC / TR 61850-90-5 өргөтгөлүүдийг 2-р үе шат, 3-р үе шатанд RFC 3547 руу шилжүүлэхийг дэлгэрэнгүй авч үзсэн.</w:t>
            </w:r>
          </w:p>
          <w:p w:rsidR="00EE53EE" w:rsidRPr="00EE53EE" w:rsidRDefault="00EE53EE" w:rsidP="00EE53EE">
            <w:pPr>
              <w:tabs>
                <w:tab w:val="left" w:pos="0"/>
              </w:tabs>
              <w:ind w:left="0" w:firstLine="0"/>
              <w:rPr>
                <w:rFonts w:eastAsia="Calibri"/>
                <w:bCs/>
                <w:szCs w:val="22"/>
              </w:rPr>
            </w:pPr>
            <w:bookmarkStart w:id="51" w:name="_TOC_250018"/>
            <w:r w:rsidRPr="00EE53EE">
              <w:rPr>
                <w:rFonts w:eastAsia="Calibri"/>
                <w:bCs/>
                <w:szCs w:val="22"/>
              </w:rPr>
              <w:t>Signature Hash</w:t>
            </w:r>
            <w:bookmarkEnd w:id="51"/>
            <w:r w:rsidRPr="00EE53EE">
              <w:rPr>
                <w:rFonts w:eastAsia="Calibri"/>
                <w:bCs/>
                <w:szCs w:val="22"/>
              </w:rPr>
              <w:t>algorithm(Баталгаажуулах Хэш алгоритм)</w:t>
            </w:r>
          </w:p>
          <w:p w:rsidR="00EE53EE" w:rsidRPr="00EE53EE" w:rsidRDefault="00EE53EE" w:rsidP="00EE53EE">
            <w:pPr>
              <w:tabs>
                <w:tab w:val="left" w:pos="0"/>
              </w:tabs>
              <w:ind w:left="0" w:firstLine="0"/>
              <w:rPr>
                <w:rFonts w:eastAsia="Calibri"/>
                <w:bCs/>
                <w:szCs w:val="22"/>
              </w:rPr>
            </w:pPr>
          </w:p>
          <w:p w:rsidR="00EE53EE" w:rsidRPr="00EE53EE" w:rsidRDefault="00EE53EE" w:rsidP="00EE53EE">
            <w:pPr>
              <w:tabs>
                <w:tab w:val="left" w:pos="0"/>
              </w:tabs>
              <w:ind w:left="0" w:firstLine="0"/>
              <w:rPr>
                <w:rFonts w:eastAsia="Calibri"/>
                <w:bCs/>
                <w:szCs w:val="22"/>
              </w:rPr>
            </w:pPr>
            <w:r w:rsidRPr="00EE53EE">
              <w:rPr>
                <w:rFonts w:eastAsia="Calibri"/>
                <w:bCs/>
                <w:szCs w:val="22"/>
              </w:rPr>
              <w:t xml:space="preserve">RFC 3547 нь хэд хэдэн баталгаажуулах хэш алгоритмийг дэмжих боломжийг олгодог (RFC 3547-ийн 5.3.6-ыг үзнэ үү). </w:t>
            </w:r>
            <w:r w:rsidRPr="00EE53EE">
              <w:rPr>
                <w:rFonts w:eastAsia="Calibri"/>
                <w:bCs/>
                <w:szCs w:val="22"/>
              </w:rPr>
              <w:lastRenderedPageBreak/>
              <w:t>Тодорхойлсон RFC 3547 алгоритмуудыг Хүснэгт 10-д үзүүлэв.</w:t>
            </w:r>
          </w:p>
          <w:p w:rsidR="00EE53EE" w:rsidRPr="00EE53EE" w:rsidRDefault="00EE53EE" w:rsidP="00EE53EE">
            <w:pPr>
              <w:tabs>
                <w:tab w:val="left" w:pos="0"/>
              </w:tabs>
              <w:ind w:left="0" w:firstLine="0"/>
              <w:rPr>
                <w:rFonts w:eastAsia="Calibri"/>
                <w:b/>
                <w:bCs/>
                <w:szCs w:val="22"/>
              </w:rPr>
            </w:pPr>
            <w:r w:rsidRPr="00EE53EE">
              <w:rPr>
                <w:rFonts w:eastAsia="Calibri"/>
                <w:b/>
                <w:bCs/>
                <w:szCs w:val="22"/>
              </w:rPr>
              <w:t>11.4.1 Signature Hash algorithm (Баталгаажуулах Хэш алгоритм)</w:t>
            </w:r>
          </w:p>
          <w:p w:rsidR="00EE53EE" w:rsidRPr="00EE53EE" w:rsidRDefault="00EE53EE" w:rsidP="00EE53EE">
            <w:pPr>
              <w:tabs>
                <w:tab w:val="left" w:pos="0"/>
              </w:tabs>
              <w:ind w:left="0" w:firstLine="0"/>
              <w:rPr>
                <w:rFonts w:eastAsia="Calibri"/>
                <w:bCs/>
                <w:szCs w:val="22"/>
              </w:rPr>
            </w:pPr>
            <w:r w:rsidRPr="00EE53EE">
              <w:rPr>
                <w:rFonts w:eastAsia="Calibri"/>
                <w:bCs/>
                <w:szCs w:val="22"/>
              </w:rPr>
              <w:t>RFC 3547 нь хэд хэдэн баталгаажуулах хэш алгоритмийг дэмжих боломжийг олгодог (RFC 3547-ийн 5.3.6-ыг үзнэ үү). Тодорхойлсон RFC 3547 алгоритмуудыг Хүснэгт 10-д үзүүлэв.</w:t>
            </w:r>
          </w:p>
        </w:tc>
        <w:tc>
          <w:tcPr>
            <w:tcW w:w="4672" w:type="dxa"/>
          </w:tcPr>
          <w:p w:rsidR="00EE53EE" w:rsidRPr="00EE53EE" w:rsidRDefault="00EE53EE" w:rsidP="00EE53EE">
            <w:pPr>
              <w:tabs>
                <w:tab w:val="left" w:pos="0"/>
              </w:tabs>
              <w:ind w:left="0" w:firstLine="0"/>
              <w:rPr>
                <w:rFonts w:eastAsia="Calibri"/>
                <w:b/>
                <w:bCs/>
                <w:szCs w:val="22"/>
              </w:rPr>
            </w:pPr>
            <w:bookmarkStart w:id="52" w:name="_TOC_250019"/>
            <w:r w:rsidRPr="00EE53EE">
              <w:rPr>
                <w:rFonts w:eastAsia="Calibri"/>
                <w:b/>
                <w:bCs/>
                <w:szCs w:val="22"/>
              </w:rPr>
              <w:lastRenderedPageBreak/>
              <w:t xml:space="preserve">11.4 KDC </w:t>
            </w:r>
            <w:bookmarkEnd w:id="52"/>
            <w:r w:rsidRPr="00EE53EE">
              <w:rPr>
                <w:rFonts w:eastAsia="Calibri"/>
                <w:b/>
                <w:bCs/>
                <w:szCs w:val="22"/>
              </w:rPr>
              <w:t>Profile</w:t>
            </w:r>
          </w:p>
          <w:p w:rsidR="00EE53EE" w:rsidRPr="00EE53EE" w:rsidRDefault="00EE53EE" w:rsidP="00EE53EE">
            <w:pPr>
              <w:tabs>
                <w:tab w:val="left" w:pos="0"/>
              </w:tabs>
              <w:ind w:left="0" w:firstLine="0"/>
              <w:rPr>
                <w:rFonts w:eastAsia="Calibri"/>
                <w:bCs/>
                <w:szCs w:val="22"/>
              </w:rPr>
            </w:pPr>
            <w:r w:rsidRPr="00EE53EE">
              <w:rPr>
                <w:rFonts w:eastAsia="Calibri"/>
                <w:bCs/>
                <w:szCs w:val="22"/>
              </w:rPr>
              <w:t>The IEC/TR 61850-90-5 KDC profile is based upon RFC 3547: Group Domain of Interpretation (GDOI). This RFC makes use of ISAKMP (RFC 2407) as part of the key  request  and  exchange mechanism. RFC 2407 allows user/private extensions in several  areas,  two  of which IEC/TR 61850-90-5 makes use of:</w:t>
            </w:r>
          </w:p>
          <w:p w:rsidR="00EE53EE" w:rsidRPr="00EE53EE" w:rsidRDefault="00EE53EE" w:rsidP="00472036">
            <w:pPr>
              <w:pStyle w:val="ListParagraph"/>
              <w:numPr>
                <w:ilvl w:val="0"/>
                <w:numId w:val="27"/>
              </w:numPr>
              <w:tabs>
                <w:tab w:val="left" w:pos="0"/>
              </w:tabs>
              <w:spacing w:after="0"/>
              <w:ind w:left="0" w:firstLine="0"/>
              <w:rPr>
                <w:rFonts w:eastAsia="Calibri"/>
                <w:bCs/>
                <w:szCs w:val="22"/>
              </w:rPr>
            </w:pPr>
            <w:r w:rsidRPr="00EE53EE">
              <w:rPr>
                <w:rFonts w:eastAsia="Calibri"/>
                <w:bCs/>
                <w:szCs w:val="22"/>
              </w:rPr>
              <w:t>The identification payload (5.1 of RFC 3547): The payload identifier indicates the information stream type for which a key is being requested.</w:t>
            </w:r>
          </w:p>
          <w:p w:rsidR="00EE53EE" w:rsidRPr="00EE53EE" w:rsidRDefault="00EE53EE" w:rsidP="00472036">
            <w:pPr>
              <w:pStyle w:val="ListParagraph"/>
              <w:numPr>
                <w:ilvl w:val="0"/>
                <w:numId w:val="27"/>
              </w:numPr>
              <w:tabs>
                <w:tab w:val="left" w:pos="0"/>
              </w:tabs>
              <w:spacing w:after="0"/>
              <w:ind w:left="0" w:firstLine="0"/>
              <w:rPr>
                <w:rFonts w:eastAsia="Calibri"/>
                <w:bCs/>
                <w:szCs w:val="22"/>
              </w:rPr>
            </w:pPr>
            <w:r w:rsidRPr="00EE53EE">
              <w:rPr>
                <w:rFonts w:eastAsia="Calibri"/>
                <w:bCs/>
                <w:szCs w:val="22"/>
              </w:rPr>
              <w:t>The identification of the key payload (5.5 of RFC 3547): The Key Payload Type identifier indicates the type of the key being returned.</w:t>
            </w:r>
          </w:p>
          <w:p w:rsidR="00EE53EE" w:rsidRPr="00EE53EE" w:rsidRDefault="00EE53EE" w:rsidP="00EE53EE">
            <w:pPr>
              <w:tabs>
                <w:tab w:val="left" w:pos="0"/>
              </w:tabs>
              <w:ind w:left="0" w:firstLine="0"/>
              <w:rPr>
                <w:rFonts w:eastAsia="Calibri"/>
                <w:bCs/>
                <w:szCs w:val="22"/>
              </w:rPr>
            </w:pPr>
            <w:r w:rsidRPr="00EE53EE">
              <w:rPr>
                <w:rFonts w:eastAsia="Calibri"/>
                <w:bCs/>
                <w:szCs w:val="22"/>
              </w:rPr>
              <w:t>There are three phases of communication for GDOI for what is known as a GROUPKEY-PULL:</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lastRenderedPageBreak/>
              <w:t>Phase 1: Connection establishment and Authorization</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Although   there  are   two   mechanisms   of   Authentication   allowed   by    GDOI,  IEC/TR 61850-90-5 implementations shall support the ability to use the GDOI client certificate credentials exchanged at connection establishment time.</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Phase 2: Determining the policies in use for the group that is being requested.</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This is accomplished through a  GDOI Identification Payload Request. The KDC  responds to this request with the policies (e.g. encryption and signature algorithms) that are supported. The policies are returned using GDOI SA which returns a SA KEK payload.</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If the client does not support the policies, the client shall abort (e.g. close the TCP connection). If the client can support the policies, the client will issue the Key Download (KD) payload request.</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Phase 3: Obtain the keys to be utilized.</w:t>
            </w:r>
          </w:p>
          <w:p w:rsidR="00EE53EE" w:rsidRPr="00EE53EE" w:rsidRDefault="00EE53EE"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This is accomplished through the request of the appropriate KD payload.</w:t>
            </w:r>
          </w:p>
          <w:p w:rsidR="00EE53EE" w:rsidRPr="00EE53EE" w:rsidRDefault="00EE53EE" w:rsidP="00EE53EE">
            <w:pPr>
              <w:tabs>
                <w:tab w:val="left" w:pos="0"/>
              </w:tabs>
              <w:ind w:left="0" w:firstLine="0"/>
              <w:rPr>
                <w:rFonts w:eastAsia="Calibri"/>
                <w:bCs/>
                <w:szCs w:val="22"/>
              </w:rPr>
            </w:pPr>
            <w:r w:rsidRPr="00EE53EE">
              <w:rPr>
                <w:rFonts w:eastAsia="Calibri"/>
                <w:bCs/>
                <w:szCs w:val="22"/>
              </w:rPr>
              <w:t>The following subclauses detail the IEC/TR 61850-90-5 extensions to RFC 3547 for Phase 2 and Phase 3.</w:t>
            </w:r>
          </w:p>
          <w:p w:rsidR="00EE53EE" w:rsidRPr="00EE53EE" w:rsidRDefault="00EE53EE" w:rsidP="00EE53EE">
            <w:pPr>
              <w:pStyle w:val="Heading5"/>
              <w:tabs>
                <w:tab w:val="left" w:pos="0"/>
                <w:tab w:val="left" w:pos="1411"/>
              </w:tabs>
              <w:spacing w:line="276" w:lineRule="auto"/>
              <w:jc w:val="both"/>
              <w:outlineLvl w:val="4"/>
              <w:rPr>
                <w:rFonts w:ascii="Arial" w:eastAsia="Calibri" w:hAnsi="Arial" w:cs="Arial"/>
                <w:color w:val="auto"/>
                <w:szCs w:val="22"/>
                <w:lang w:val="mn-MN"/>
              </w:rPr>
            </w:pPr>
          </w:p>
          <w:p w:rsidR="00EE53EE" w:rsidRPr="00EE53EE" w:rsidRDefault="00EE53EE" w:rsidP="00EE53EE">
            <w:pPr>
              <w:pStyle w:val="Heading5"/>
              <w:tabs>
                <w:tab w:val="left" w:pos="0"/>
                <w:tab w:val="left" w:pos="1411"/>
              </w:tabs>
              <w:spacing w:line="276" w:lineRule="auto"/>
              <w:jc w:val="both"/>
              <w:outlineLvl w:val="4"/>
              <w:rPr>
                <w:rFonts w:ascii="Arial" w:eastAsia="Calibri" w:hAnsi="Arial" w:cs="Arial"/>
                <w:color w:val="auto"/>
                <w:szCs w:val="22"/>
                <w:lang w:val="mn-MN"/>
              </w:rPr>
            </w:pPr>
          </w:p>
          <w:p w:rsidR="00EE53EE" w:rsidRPr="00EE53EE" w:rsidRDefault="00EE53EE" w:rsidP="00EE53EE">
            <w:pPr>
              <w:pStyle w:val="Heading5"/>
              <w:tabs>
                <w:tab w:val="left" w:pos="0"/>
                <w:tab w:val="left" w:pos="1411"/>
              </w:tabs>
              <w:spacing w:line="276" w:lineRule="auto"/>
              <w:jc w:val="both"/>
              <w:outlineLvl w:val="4"/>
              <w:rPr>
                <w:rFonts w:ascii="Arial" w:eastAsia="Calibri" w:hAnsi="Arial" w:cs="Arial"/>
                <w:color w:val="auto"/>
                <w:szCs w:val="22"/>
                <w:lang w:val="mn-MN"/>
              </w:rPr>
            </w:pPr>
          </w:p>
          <w:p w:rsidR="00EE53EE" w:rsidRPr="00EE53EE" w:rsidRDefault="00EE53EE" w:rsidP="00EE53EE">
            <w:pPr>
              <w:pStyle w:val="Heading5"/>
              <w:tabs>
                <w:tab w:val="left" w:pos="0"/>
                <w:tab w:val="left" w:pos="1411"/>
              </w:tabs>
              <w:spacing w:line="276" w:lineRule="auto"/>
              <w:jc w:val="both"/>
              <w:outlineLvl w:val="4"/>
              <w:rPr>
                <w:rFonts w:ascii="Arial" w:eastAsia="Calibri" w:hAnsi="Arial" w:cs="Arial"/>
                <w:color w:val="auto"/>
                <w:szCs w:val="22"/>
                <w:lang w:val="mn-MN"/>
              </w:rPr>
            </w:pPr>
          </w:p>
          <w:p w:rsidR="00EE53EE" w:rsidRPr="00EE53EE" w:rsidRDefault="00EE53EE" w:rsidP="00EE53EE">
            <w:pPr>
              <w:pStyle w:val="Heading5"/>
              <w:tabs>
                <w:tab w:val="left" w:pos="0"/>
                <w:tab w:val="left" w:pos="1411"/>
              </w:tabs>
              <w:spacing w:line="276" w:lineRule="auto"/>
              <w:jc w:val="both"/>
              <w:outlineLvl w:val="4"/>
              <w:rPr>
                <w:rFonts w:ascii="Arial" w:eastAsia="Calibri" w:hAnsi="Arial" w:cs="Arial"/>
                <w:color w:val="auto"/>
                <w:szCs w:val="22"/>
                <w:lang w:val="mn-MN"/>
              </w:rPr>
            </w:pPr>
          </w:p>
          <w:p w:rsidR="00EE53EE" w:rsidRPr="00EE53EE" w:rsidRDefault="00EE53EE" w:rsidP="00EE53EE">
            <w:pPr>
              <w:ind w:left="0" w:firstLine="0"/>
              <w:rPr>
                <w:rFonts w:eastAsia="Calibri"/>
                <w:bCs/>
                <w:szCs w:val="22"/>
              </w:rPr>
            </w:pPr>
          </w:p>
          <w:p w:rsidR="00EE53EE" w:rsidRPr="00EE53EE" w:rsidRDefault="00EE53EE" w:rsidP="00EE53EE">
            <w:pPr>
              <w:ind w:left="0" w:firstLine="0"/>
              <w:rPr>
                <w:rFonts w:eastAsia="Calibri"/>
                <w:bCs/>
                <w:szCs w:val="22"/>
              </w:rPr>
            </w:pPr>
          </w:p>
          <w:p w:rsidR="00EE53EE" w:rsidRPr="00EE53EE" w:rsidRDefault="00EE53EE" w:rsidP="00EE53EE">
            <w:pPr>
              <w:ind w:left="0" w:firstLine="0"/>
              <w:rPr>
                <w:rFonts w:eastAsia="Calibri"/>
                <w:bCs/>
                <w:szCs w:val="22"/>
              </w:rPr>
            </w:pPr>
          </w:p>
          <w:p w:rsidR="00EE53EE" w:rsidRPr="00EE53EE" w:rsidRDefault="00EE53EE" w:rsidP="00EE53EE">
            <w:pPr>
              <w:ind w:left="0" w:firstLine="0"/>
              <w:rPr>
                <w:rFonts w:eastAsia="Calibri"/>
                <w:bCs/>
                <w:szCs w:val="22"/>
              </w:rPr>
            </w:pPr>
          </w:p>
          <w:p w:rsidR="00EE53EE" w:rsidRPr="00EE53EE" w:rsidRDefault="00EE53EE" w:rsidP="00EE53EE">
            <w:pPr>
              <w:ind w:left="0" w:firstLine="0"/>
              <w:rPr>
                <w:rFonts w:eastAsia="Calibri"/>
                <w:bCs/>
                <w:szCs w:val="22"/>
              </w:rPr>
            </w:pPr>
          </w:p>
          <w:p w:rsidR="00EE53EE" w:rsidRPr="00EE53EE" w:rsidRDefault="00EE53EE" w:rsidP="00EE53EE">
            <w:pPr>
              <w:ind w:left="0" w:firstLine="0"/>
              <w:rPr>
                <w:rFonts w:eastAsia="Calibri"/>
                <w:bCs/>
                <w:szCs w:val="22"/>
              </w:rPr>
            </w:pPr>
          </w:p>
          <w:p w:rsidR="00EE53EE" w:rsidRPr="00EE53EE" w:rsidRDefault="00EE53EE" w:rsidP="00EE53EE">
            <w:pPr>
              <w:ind w:left="0" w:firstLine="0"/>
              <w:rPr>
                <w:rFonts w:eastAsia="Calibri"/>
                <w:bCs/>
                <w:szCs w:val="22"/>
              </w:rPr>
            </w:pPr>
          </w:p>
          <w:p w:rsidR="00EE53EE" w:rsidRPr="00EE53EE" w:rsidRDefault="00EE53EE" w:rsidP="00EE53EE">
            <w:pPr>
              <w:ind w:left="0" w:firstLine="0"/>
              <w:rPr>
                <w:rFonts w:eastAsia="Calibri"/>
                <w:bCs/>
                <w:szCs w:val="22"/>
              </w:rPr>
            </w:pPr>
          </w:p>
          <w:p w:rsidR="00EE53EE" w:rsidRPr="00EE53EE" w:rsidRDefault="00EE53EE" w:rsidP="00EE53EE">
            <w:pPr>
              <w:tabs>
                <w:tab w:val="left" w:pos="0"/>
              </w:tabs>
              <w:ind w:left="0" w:firstLine="0"/>
              <w:rPr>
                <w:rFonts w:eastAsia="Calibri"/>
                <w:b/>
                <w:bCs/>
                <w:szCs w:val="22"/>
              </w:rPr>
            </w:pPr>
            <w:r w:rsidRPr="00EE53EE">
              <w:rPr>
                <w:rFonts w:eastAsia="Calibri"/>
                <w:b/>
                <w:bCs/>
                <w:szCs w:val="22"/>
              </w:rPr>
              <w:lastRenderedPageBreak/>
              <w:t>11.4.1 Signature Hash algorithm</w:t>
            </w:r>
          </w:p>
          <w:p w:rsidR="00EE53EE" w:rsidRPr="00EE53EE" w:rsidRDefault="00EE53EE" w:rsidP="00EE53EE">
            <w:pPr>
              <w:tabs>
                <w:tab w:val="left" w:pos="0"/>
              </w:tabs>
              <w:ind w:left="0" w:firstLine="0"/>
              <w:rPr>
                <w:rFonts w:eastAsia="Calibri"/>
                <w:bCs/>
                <w:szCs w:val="22"/>
              </w:rPr>
            </w:pPr>
            <w:r w:rsidRPr="00EE53EE">
              <w:rPr>
                <w:rFonts w:eastAsia="Calibri"/>
                <w:bCs/>
                <w:szCs w:val="22"/>
              </w:rPr>
              <w:t xml:space="preserve">RFC 3547 allows several different signature hash algorithms to be supported (see 5.3.6 of  RFC 3547). The RFC 3547 specified algorithms are shown in </w:t>
            </w:r>
            <w:hyperlink w:anchor="_bookmark53" w:history="1">
              <w:r w:rsidRPr="00EE53EE">
                <w:rPr>
                  <w:rFonts w:eastAsia="Calibri"/>
                  <w:bCs/>
                  <w:szCs w:val="22"/>
                </w:rPr>
                <w:t>Table 10.</w:t>
              </w:r>
            </w:hyperlink>
          </w:p>
          <w:p w:rsidR="00EE53EE" w:rsidRPr="00EE53EE" w:rsidRDefault="00EE53EE" w:rsidP="00EE53EE">
            <w:pPr>
              <w:tabs>
                <w:tab w:val="left" w:pos="0"/>
              </w:tabs>
              <w:ind w:left="0" w:firstLine="0"/>
              <w:rPr>
                <w:rFonts w:eastAsia="Calibri"/>
                <w:bCs/>
                <w:szCs w:val="22"/>
              </w:rPr>
            </w:pPr>
          </w:p>
          <w:p w:rsidR="00EE53EE" w:rsidRPr="00EE53EE" w:rsidRDefault="00EE53EE" w:rsidP="00EE53EE">
            <w:pPr>
              <w:tabs>
                <w:tab w:val="left" w:pos="0"/>
              </w:tabs>
              <w:ind w:left="0" w:firstLine="0"/>
              <w:rPr>
                <w:rFonts w:eastAsia="Calibri"/>
                <w:bCs/>
                <w:szCs w:val="22"/>
              </w:rPr>
            </w:pPr>
          </w:p>
          <w:p w:rsidR="00EE53EE" w:rsidRPr="00EE53EE" w:rsidRDefault="00EE53EE" w:rsidP="00EE53EE">
            <w:pPr>
              <w:tabs>
                <w:tab w:val="left" w:pos="0"/>
              </w:tabs>
              <w:ind w:left="0" w:firstLine="0"/>
              <w:rPr>
                <w:rFonts w:eastAsia="Calibri"/>
                <w:bCs/>
                <w:szCs w:val="22"/>
              </w:rPr>
            </w:pPr>
          </w:p>
        </w:tc>
      </w:tr>
    </w:tbl>
    <w:p w:rsidR="00EE53EE" w:rsidRDefault="00EE53EE" w:rsidP="00F11C9C">
      <w:pPr>
        <w:ind w:left="0" w:firstLine="0"/>
        <w:jc w:val="center"/>
        <w:rPr>
          <w:b/>
        </w:rPr>
      </w:pPr>
    </w:p>
    <w:p w:rsidR="00EE53EE" w:rsidRDefault="00EE53EE" w:rsidP="00F11C9C">
      <w:pPr>
        <w:ind w:left="0" w:firstLine="0"/>
        <w:jc w:val="center"/>
        <w:rPr>
          <w:b/>
        </w:rPr>
      </w:pPr>
      <w:r w:rsidRPr="00EE53EE">
        <w:rPr>
          <w:b/>
        </w:rPr>
        <w:t>10</w:t>
      </w:r>
      <w:r>
        <w:rPr>
          <w:b/>
        </w:rPr>
        <w:t>-р хүснэгт</w:t>
      </w:r>
      <w:r w:rsidRPr="00EE53EE">
        <w:rPr>
          <w:b/>
        </w:rPr>
        <w:t xml:space="preserve"> – RFC-3547 Хэш тодорхойлогч</w:t>
      </w:r>
    </w:p>
    <w:tbl>
      <w:tblPr>
        <w:tblStyle w:val="TableGrid"/>
        <w:tblW w:w="0" w:type="auto"/>
        <w:tblLook w:val="04A0" w:firstRow="1" w:lastRow="0" w:firstColumn="1" w:lastColumn="0" w:noHBand="0" w:noVBand="1"/>
      </w:tblPr>
      <w:tblGrid>
        <w:gridCol w:w="4672"/>
        <w:gridCol w:w="4672"/>
      </w:tblGrid>
      <w:tr w:rsidR="00EE53EE" w:rsidTr="00EE53EE">
        <w:tc>
          <w:tcPr>
            <w:tcW w:w="4672" w:type="dxa"/>
          </w:tcPr>
          <w:p w:rsidR="00EE53EE" w:rsidRPr="00EF2D2B" w:rsidRDefault="00EE53EE" w:rsidP="00EE53EE">
            <w:pPr>
              <w:pStyle w:val="TableParagraph"/>
              <w:tabs>
                <w:tab w:val="left" w:pos="0"/>
              </w:tabs>
              <w:spacing w:before="53" w:line="276" w:lineRule="auto"/>
              <w:ind w:left="1079"/>
              <w:rPr>
                <w:b/>
                <w:sz w:val="20"/>
                <w:szCs w:val="20"/>
                <w:lang w:val="mn-MN"/>
              </w:rPr>
            </w:pPr>
            <w:r w:rsidRPr="00EF2D2B">
              <w:rPr>
                <w:b/>
                <w:sz w:val="20"/>
                <w:szCs w:val="20"/>
                <w:lang w:val="mn-MN"/>
              </w:rPr>
              <w:t>Алгоритмын төрөл</w:t>
            </w:r>
          </w:p>
        </w:tc>
        <w:tc>
          <w:tcPr>
            <w:tcW w:w="4672" w:type="dxa"/>
          </w:tcPr>
          <w:p w:rsidR="00EE53EE" w:rsidRPr="00EF2D2B" w:rsidRDefault="00EE53EE" w:rsidP="00EE53EE">
            <w:pPr>
              <w:pStyle w:val="TableParagraph"/>
              <w:tabs>
                <w:tab w:val="left" w:pos="0"/>
              </w:tabs>
              <w:spacing w:before="53" w:line="276" w:lineRule="auto"/>
              <w:ind w:left="1461" w:right="1462"/>
              <w:jc w:val="center"/>
              <w:rPr>
                <w:b/>
                <w:sz w:val="20"/>
                <w:szCs w:val="20"/>
                <w:lang w:val="mn-MN"/>
              </w:rPr>
            </w:pPr>
            <w:r w:rsidRPr="00EF2D2B">
              <w:rPr>
                <w:b/>
                <w:sz w:val="20"/>
                <w:szCs w:val="20"/>
                <w:lang w:val="mn-MN"/>
              </w:rPr>
              <w:t>Утга</w:t>
            </w:r>
          </w:p>
        </w:tc>
      </w:tr>
      <w:tr w:rsidR="00EE53EE" w:rsidTr="00EE53EE">
        <w:tc>
          <w:tcPr>
            <w:tcW w:w="4672" w:type="dxa"/>
          </w:tcPr>
          <w:p w:rsidR="00EE53EE" w:rsidRPr="00731F96" w:rsidRDefault="00EE53EE" w:rsidP="00EE53EE">
            <w:pPr>
              <w:pStyle w:val="TableParagraph"/>
              <w:tabs>
                <w:tab w:val="left" w:pos="0"/>
              </w:tabs>
              <w:spacing w:line="276" w:lineRule="auto"/>
              <w:ind w:left="107"/>
              <w:rPr>
                <w:sz w:val="20"/>
                <w:szCs w:val="20"/>
                <w:lang w:val="mn-MN"/>
              </w:rPr>
            </w:pPr>
            <w:r w:rsidRPr="00EF2D2B">
              <w:rPr>
                <w:sz w:val="20"/>
                <w:szCs w:val="20"/>
                <w:lang w:val="mn-MN"/>
              </w:rPr>
              <w:t>RESERVED</w:t>
            </w:r>
          </w:p>
        </w:tc>
        <w:tc>
          <w:tcPr>
            <w:tcW w:w="4672" w:type="dxa"/>
          </w:tcPr>
          <w:p w:rsidR="00EE53EE" w:rsidRPr="00EF2D2B" w:rsidRDefault="00EE53EE" w:rsidP="00EE53EE">
            <w:pPr>
              <w:pStyle w:val="TableParagraph"/>
              <w:tabs>
                <w:tab w:val="left" w:pos="0"/>
              </w:tabs>
              <w:spacing w:line="276" w:lineRule="auto"/>
              <w:ind w:left="105"/>
              <w:rPr>
                <w:sz w:val="20"/>
                <w:szCs w:val="20"/>
                <w:lang w:val="mn-MN"/>
              </w:rPr>
            </w:pPr>
            <w:r w:rsidRPr="00EF2D2B">
              <w:rPr>
                <w:sz w:val="20"/>
                <w:szCs w:val="20"/>
                <w:lang w:val="mn-MN"/>
              </w:rPr>
              <w:t>0</w:t>
            </w:r>
          </w:p>
        </w:tc>
      </w:tr>
      <w:tr w:rsidR="00EE53EE" w:rsidTr="00EE53EE">
        <w:tc>
          <w:tcPr>
            <w:tcW w:w="4672" w:type="dxa"/>
          </w:tcPr>
          <w:p w:rsidR="00EE53EE" w:rsidRPr="00731F96" w:rsidRDefault="00EE53EE" w:rsidP="00EE53EE">
            <w:pPr>
              <w:pStyle w:val="TableParagraph"/>
              <w:tabs>
                <w:tab w:val="left" w:pos="0"/>
              </w:tabs>
              <w:spacing w:line="276" w:lineRule="auto"/>
              <w:ind w:left="107"/>
              <w:rPr>
                <w:sz w:val="20"/>
                <w:szCs w:val="20"/>
                <w:lang w:val="mn-MN"/>
              </w:rPr>
            </w:pPr>
            <w:r w:rsidRPr="00EF2D2B">
              <w:rPr>
                <w:sz w:val="20"/>
                <w:szCs w:val="20"/>
                <w:lang w:val="mn-MN"/>
              </w:rPr>
              <w:t>SIG_HASH_MD5</w:t>
            </w:r>
          </w:p>
        </w:tc>
        <w:tc>
          <w:tcPr>
            <w:tcW w:w="4672" w:type="dxa"/>
          </w:tcPr>
          <w:p w:rsidR="00EE53EE" w:rsidRPr="00EF2D2B" w:rsidRDefault="00EE53EE" w:rsidP="00EE53EE">
            <w:pPr>
              <w:pStyle w:val="TableParagraph"/>
              <w:tabs>
                <w:tab w:val="left" w:pos="0"/>
              </w:tabs>
              <w:spacing w:line="276" w:lineRule="auto"/>
              <w:ind w:left="105"/>
              <w:rPr>
                <w:sz w:val="20"/>
                <w:szCs w:val="20"/>
                <w:lang w:val="mn-MN"/>
              </w:rPr>
            </w:pPr>
            <w:r w:rsidRPr="00EF2D2B">
              <w:rPr>
                <w:sz w:val="20"/>
                <w:szCs w:val="20"/>
                <w:lang w:val="mn-MN"/>
              </w:rPr>
              <w:t>1</w:t>
            </w:r>
          </w:p>
        </w:tc>
      </w:tr>
      <w:tr w:rsidR="00EE53EE" w:rsidTr="00EE53EE">
        <w:tc>
          <w:tcPr>
            <w:tcW w:w="4672" w:type="dxa"/>
          </w:tcPr>
          <w:p w:rsidR="00EE53EE" w:rsidRPr="00731F96" w:rsidRDefault="00EE53EE" w:rsidP="00EE53EE">
            <w:pPr>
              <w:pStyle w:val="TableParagraph"/>
              <w:tabs>
                <w:tab w:val="left" w:pos="0"/>
              </w:tabs>
              <w:spacing w:before="58" w:line="276" w:lineRule="auto"/>
              <w:ind w:left="107"/>
              <w:rPr>
                <w:sz w:val="20"/>
                <w:szCs w:val="20"/>
                <w:lang w:val="mn-MN"/>
              </w:rPr>
            </w:pPr>
            <w:r w:rsidRPr="00EF2D2B">
              <w:rPr>
                <w:sz w:val="20"/>
                <w:szCs w:val="20"/>
                <w:lang w:val="mn-MN"/>
              </w:rPr>
              <w:t>SIG_HASH_SHA1</w:t>
            </w:r>
          </w:p>
        </w:tc>
        <w:tc>
          <w:tcPr>
            <w:tcW w:w="4672" w:type="dxa"/>
          </w:tcPr>
          <w:p w:rsidR="00EE53EE" w:rsidRPr="00EF2D2B" w:rsidRDefault="00EE53EE" w:rsidP="00EE53EE">
            <w:pPr>
              <w:pStyle w:val="TableParagraph"/>
              <w:tabs>
                <w:tab w:val="left" w:pos="0"/>
              </w:tabs>
              <w:spacing w:before="58" w:line="276" w:lineRule="auto"/>
              <w:ind w:left="105"/>
              <w:rPr>
                <w:sz w:val="20"/>
                <w:szCs w:val="20"/>
                <w:lang w:val="mn-MN"/>
              </w:rPr>
            </w:pPr>
            <w:r w:rsidRPr="00EF2D2B">
              <w:rPr>
                <w:sz w:val="20"/>
                <w:szCs w:val="20"/>
                <w:lang w:val="mn-MN"/>
              </w:rPr>
              <w:t>2</w:t>
            </w:r>
          </w:p>
        </w:tc>
      </w:tr>
      <w:tr w:rsidR="00EE53EE" w:rsidTr="00EE53EE">
        <w:tc>
          <w:tcPr>
            <w:tcW w:w="4672" w:type="dxa"/>
          </w:tcPr>
          <w:p w:rsidR="00EE53EE" w:rsidRPr="00731F96" w:rsidRDefault="00EE53EE" w:rsidP="00EE53EE">
            <w:pPr>
              <w:pStyle w:val="TableParagraph"/>
              <w:tabs>
                <w:tab w:val="left" w:pos="0"/>
              </w:tabs>
              <w:spacing w:line="276" w:lineRule="auto"/>
              <w:ind w:left="107"/>
              <w:rPr>
                <w:sz w:val="20"/>
                <w:szCs w:val="20"/>
                <w:lang w:val="mn-MN"/>
              </w:rPr>
            </w:pPr>
            <w:r w:rsidRPr="00EF2D2B">
              <w:rPr>
                <w:sz w:val="20"/>
                <w:szCs w:val="20"/>
                <w:lang w:val="mn-MN"/>
              </w:rPr>
              <w:t>RESERVED</w:t>
            </w:r>
          </w:p>
        </w:tc>
        <w:tc>
          <w:tcPr>
            <w:tcW w:w="4672" w:type="dxa"/>
          </w:tcPr>
          <w:p w:rsidR="00EE53EE" w:rsidRPr="00EF2D2B" w:rsidRDefault="00EE53EE" w:rsidP="00EE53EE">
            <w:pPr>
              <w:pStyle w:val="TableParagraph"/>
              <w:tabs>
                <w:tab w:val="left" w:pos="0"/>
              </w:tabs>
              <w:spacing w:line="276" w:lineRule="auto"/>
              <w:ind w:left="105"/>
              <w:rPr>
                <w:sz w:val="20"/>
                <w:szCs w:val="20"/>
                <w:lang w:val="mn-MN"/>
              </w:rPr>
            </w:pPr>
            <w:r w:rsidRPr="00EF2D2B">
              <w:rPr>
                <w:sz w:val="20"/>
                <w:szCs w:val="20"/>
                <w:lang w:val="mn-MN"/>
              </w:rPr>
              <w:t>3-127</w:t>
            </w:r>
          </w:p>
        </w:tc>
      </w:tr>
      <w:tr w:rsidR="00EE53EE" w:rsidTr="00EE53EE">
        <w:tc>
          <w:tcPr>
            <w:tcW w:w="4672" w:type="dxa"/>
          </w:tcPr>
          <w:p w:rsidR="00EE53EE" w:rsidRPr="00731F96" w:rsidRDefault="00EE53EE" w:rsidP="00EE53EE">
            <w:pPr>
              <w:pStyle w:val="TableParagraph"/>
              <w:tabs>
                <w:tab w:val="left" w:pos="0"/>
              </w:tabs>
              <w:spacing w:line="276" w:lineRule="auto"/>
              <w:ind w:left="107"/>
              <w:rPr>
                <w:sz w:val="20"/>
                <w:szCs w:val="20"/>
                <w:lang w:val="mn-MN"/>
              </w:rPr>
            </w:pPr>
            <w:r w:rsidRPr="00EF2D2B">
              <w:rPr>
                <w:sz w:val="20"/>
                <w:szCs w:val="20"/>
                <w:lang w:val="mn-MN"/>
              </w:rPr>
              <w:t>Хувь хэрэглэгч</w:t>
            </w:r>
          </w:p>
        </w:tc>
        <w:tc>
          <w:tcPr>
            <w:tcW w:w="4672" w:type="dxa"/>
          </w:tcPr>
          <w:p w:rsidR="00EE53EE" w:rsidRPr="00EF2D2B" w:rsidRDefault="00EE53EE" w:rsidP="00EE53EE">
            <w:pPr>
              <w:pStyle w:val="TableParagraph"/>
              <w:tabs>
                <w:tab w:val="left" w:pos="0"/>
              </w:tabs>
              <w:spacing w:line="276" w:lineRule="auto"/>
              <w:ind w:left="105"/>
              <w:rPr>
                <w:sz w:val="20"/>
                <w:szCs w:val="20"/>
                <w:lang w:val="mn-MN"/>
              </w:rPr>
            </w:pPr>
            <w:r w:rsidRPr="00EF2D2B">
              <w:rPr>
                <w:sz w:val="20"/>
                <w:szCs w:val="20"/>
                <w:lang w:val="mn-MN"/>
              </w:rPr>
              <w:t>128-255</w:t>
            </w:r>
          </w:p>
        </w:tc>
      </w:tr>
    </w:tbl>
    <w:p w:rsidR="00EE53EE" w:rsidRDefault="00EE53EE" w:rsidP="00F11C9C">
      <w:pPr>
        <w:ind w:left="0" w:firstLine="0"/>
        <w:jc w:val="center"/>
        <w:rPr>
          <w:b/>
        </w:rPr>
      </w:pPr>
    </w:p>
    <w:p w:rsidR="00EE53EE" w:rsidRPr="00EE53EE" w:rsidRDefault="00EE53EE" w:rsidP="00EE53EE">
      <w:pPr>
        <w:ind w:left="0" w:firstLine="0"/>
        <w:jc w:val="center"/>
        <w:rPr>
          <w:b/>
        </w:rPr>
      </w:pPr>
      <w:r w:rsidRPr="00EE53EE">
        <w:rPr>
          <w:b/>
        </w:rPr>
        <w:t>Table 10 – RFC-3547 assigned Hash identifiers</w:t>
      </w:r>
    </w:p>
    <w:tbl>
      <w:tblPr>
        <w:tblStyle w:val="TableGrid"/>
        <w:tblW w:w="0" w:type="auto"/>
        <w:tblLook w:val="04A0" w:firstRow="1" w:lastRow="0" w:firstColumn="1" w:lastColumn="0" w:noHBand="0" w:noVBand="1"/>
      </w:tblPr>
      <w:tblGrid>
        <w:gridCol w:w="4672"/>
        <w:gridCol w:w="4672"/>
      </w:tblGrid>
      <w:tr w:rsidR="00EE53EE" w:rsidTr="00B93EC0">
        <w:tc>
          <w:tcPr>
            <w:tcW w:w="4672" w:type="dxa"/>
          </w:tcPr>
          <w:p w:rsidR="00EE53EE" w:rsidRPr="00EF2D2B" w:rsidRDefault="00EE53EE" w:rsidP="00EE53EE">
            <w:pPr>
              <w:pStyle w:val="TableParagraph"/>
              <w:tabs>
                <w:tab w:val="left" w:pos="0"/>
              </w:tabs>
              <w:spacing w:before="53" w:line="276" w:lineRule="auto"/>
              <w:ind w:left="1079"/>
              <w:rPr>
                <w:b/>
                <w:sz w:val="20"/>
                <w:szCs w:val="20"/>
                <w:lang w:val="mn-MN"/>
              </w:rPr>
            </w:pPr>
            <w:r w:rsidRPr="00EF2D2B">
              <w:rPr>
                <w:b/>
                <w:sz w:val="20"/>
                <w:szCs w:val="20"/>
                <w:lang w:val="mn-MN"/>
              </w:rPr>
              <w:t>Algorithm type</w:t>
            </w:r>
          </w:p>
        </w:tc>
        <w:tc>
          <w:tcPr>
            <w:tcW w:w="4672" w:type="dxa"/>
          </w:tcPr>
          <w:p w:rsidR="00EE53EE" w:rsidRPr="00EF2D2B" w:rsidRDefault="00EE53EE" w:rsidP="00EE53EE">
            <w:pPr>
              <w:pStyle w:val="TableParagraph"/>
              <w:tabs>
                <w:tab w:val="left" w:pos="0"/>
              </w:tabs>
              <w:spacing w:before="53" w:line="276" w:lineRule="auto"/>
              <w:ind w:left="1461" w:right="1462"/>
              <w:jc w:val="center"/>
              <w:rPr>
                <w:b/>
                <w:sz w:val="20"/>
                <w:szCs w:val="20"/>
                <w:lang w:val="mn-MN"/>
              </w:rPr>
            </w:pPr>
            <w:r w:rsidRPr="00EF2D2B">
              <w:rPr>
                <w:b/>
                <w:sz w:val="20"/>
                <w:szCs w:val="20"/>
                <w:lang w:val="mn-MN"/>
              </w:rPr>
              <w:t>Value</w:t>
            </w:r>
          </w:p>
        </w:tc>
      </w:tr>
      <w:tr w:rsidR="00EE53EE" w:rsidTr="00B93EC0">
        <w:tc>
          <w:tcPr>
            <w:tcW w:w="4672" w:type="dxa"/>
          </w:tcPr>
          <w:p w:rsidR="00EE53EE" w:rsidRPr="00731F96" w:rsidRDefault="00EE53EE" w:rsidP="00EE53EE">
            <w:pPr>
              <w:pStyle w:val="TableParagraph"/>
              <w:tabs>
                <w:tab w:val="left" w:pos="0"/>
              </w:tabs>
              <w:spacing w:line="276" w:lineRule="auto"/>
              <w:ind w:left="107"/>
              <w:rPr>
                <w:sz w:val="20"/>
                <w:szCs w:val="20"/>
                <w:lang w:val="mn-MN"/>
              </w:rPr>
            </w:pPr>
            <w:r w:rsidRPr="00EF2D2B">
              <w:rPr>
                <w:sz w:val="20"/>
                <w:szCs w:val="20"/>
                <w:lang w:val="mn-MN"/>
              </w:rPr>
              <w:t>RESERVED</w:t>
            </w:r>
          </w:p>
        </w:tc>
        <w:tc>
          <w:tcPr>
            <w:tcW w:w="4672" w:type="dxa"/>
          </w:tcPr>
          <w:p w:rsidR="00EE53EE" w:rsidRPr="00EF2D2B" w:rsidRDefault="00EE53EE" w:rsidP="00EE53EE">
            <w:pPr>
              <w:pStyle w:val="TableParagraph"/>
              <w:tabs>
                <w:tab w:val="left" w:pos="0"/>
              </w:tabs>
              <w:spacing w:line="276" w:lineRule="auto"/>
              <w:ind w:left="105"/>
              <w:rPr>
                <w:sz w:val="20"/>
                <w:szCs w:val="20"/>
                <w:lang w:val="mn-MN"/>
              </w:rPr>
            </w:pPr>
            <w:r w:rsidRPr="00EF2D2B">
              <w:rPr>
                <w:sz w:val="20"/>
                <w:szCs w:val="20"/>
                <w:lang w:val="mn-MN"/>
              </w:rPr>
              <w:t>0</w:t>
            </w:r>
          </w:p>
        </w:tc>
      </w:tr>
      <w:tr w:rsidR="00EE53EE" w:rsidTr="00B93EC0">
        <w:tc>
          <w:tcPr>
            <w:tcW w:w="4672" w:type="dxa"/>
          </w:tcPr>
          <w:p w:rsidR="00EE53EE" w:rsidRPr="00731F96" w:rsidRDefault="00EE53EE" w:rsidP="00EE53EE">
            <w:pPr>
              <w:pStyle w:val="TableParagraph"/>
              <w:tabs>
                <w:tab w:val="left" w:pos="0"/>
              </w:tabs>
              <w:spacing w:line="276" w:lineRule="auto"/>
              <w:ind w:left="107"/>
              <w:rPr>
                <w:sz w:val="20"/>
                <w:szCs w:val="20"/>
                <w:lang w:val="mn-MN"/>
              </w:rPr>
            </w:pPr>
            <w:r w:rsidRPr="00EF2D2B">
              <w:rPr>
                <w:sz w:val="20"/>
                <w:szCs w:val="20"/>
                <w:lang w:val="mn-MN"/>
              </w:rPr>
              <w:t>SIG_HASH_MD5</w:t>
            </w:r>
          </w:p>
        </w:tc>
        <w:tc>
          <w:tcPr>
            <w:tcW w:w="4672" w:type="dxa"/>
          </w:tcPr>
          <w:p w:rsidR="00EE53EE" w:rsidRPr="00EF2D2B" w:rsidRDefault="00EE53EE" w:rsidP="00EE53EE">
            <w:pPr>
              <w:pStyle w:val="TableParagraph"/>
              <w:tabs>
                <w:tab w:val="left" w:pos="0"/>
              </w:tabs>
              <w:spacing w:line="276" w:lineRule="auto"/>
              <w:ind w:left="105"/>
              <w:rPr>
                <w:sz w:val="20"/>
                <w:szCs w:val="20"/>
                <w:lang w:val="mn-MN"/>
              </w:rPr>
            </w:pPr>
            <w:r w:rsidRPr="00EF2D2B">
              <w:rPr>
                <w:sz w:val="20"/>
                <w:szCs w:val="20"/>
                <w:lang w:val="mn-MN"/>
              </w:rPr>
              <w:t>1</w:t>
            </w:r>
          </w:p>
        </w:tc>
      </w:tr>
      <w:tr w:rsidR="00EE53EE" w:rsidTr="00B93EC0">
        <w:tc>
          <w:tcPr>
            <w:tcW w:w="4672" w:type="dxa"/>
          </w:tcPr>
          <w:p w:rsidR="00EE53EE" w:rsidRPr="00731F96" w:rsidRDefault="00EE53EE" w:rsidP="00EE53EE">
            <w:pPr>
              <w:pStyle w:val="TableParagraph"/>
              <w:tabs>
                <w:tab w:val="left" w:pos="0"/>
              </w:tabs>
              <w:spacing w:before="58" w:line="276" w:lineRule="auto"/>
              <w:ind w:left="107"/>
              <w:rPr>
                <w:sz w:val="20"/>
                <w:szCs w:val="20"/>
                <w:lang w:val="mn-MN"/>
              </w:rPr>
            </w:pPr>
            <w:r w:rsidRPr="00EF2D2B">
              <w:rPr>
                <w:sz w:val="20"/>
                <w:szCs w:val="20"/>
                <w:lang w:val="mn-MN"/>
              </w:rPr>
              <w:t>SIG_HASH_SHA1</w:t>
            </w:r>
          </w:p>
        </w:tc>
        <w:tc>
          <w:tcPr>
            <w:tcW w:w="4672" w:type="dxa"/>
          </w:tcPr>
          <w:p w:rsidR="00EE53EE" w:rsidRPr="00EF2D2B" w:rsidRDefault="00EE53EE" w:rsidP="00EE53EE">
            <w:pPr>
              <w:pStyle w:val="TableParagraph"/>
              <w:tabs>
                <w:tab w:val="left" w:pos="0"/>
              </w:tabs>
              <w:spacing w:before="58" w:line="276" w:lineRule="auto"/>
              <w:ind w:left="105"/>
              <w:rPr>
                <w:sz w:val="20"/>
                <w:szCs w:val="20"/>
                <w:lang w:val="mn-MN"/>
              </w:rPr>
            </w:pPr>
            <w:r w:rsidRPr="00EF2D2B">
              <w:rPr>
                <w:sz w:val="20"/>
                <w:szCs w:val="20"/>
                <w:lang w:val="mn-MN"/>
              </w:rPr>
              <w:t>2</w:t>
            </w:r>
          </w:p>
        </w:tc>
      </w:tr>
      <w:tr w:rsidR="00EE53EE" w:rsidTr="00B93EC0">
        <w:tc>
          <w:tcPr>
            <w:tcW w:w="4672" w:type="dxa"/>
          </w:tcPr>
          <w:p w:rsidR="00EE53EE" w:rsidRPr="00731F96" w:rsidRDefault="00EE53EE" w:rsidP="00EE53EE">
            <w:pPr>
              <w:pStyle w:val="TableParagraph"/>
              <w:tabs>
                <w:tab w:val="left" w:pos="0"/>
              </w:tabs>
              <w:spacing w:line="276" w:lineRule="auto"/>
              <w:ind w:left="107"/>
              <w:rPr>
                <w:sz w:val="20"/>
                <w:szCs w:val="20"/>
                <w:lang w:val="mn-MN"/>
              </w:rPr>
            </w:pPr>
            <w:r w:rsidRPr="00EF2D2B">
              <w:rPr>
                <w:sz w:val="20"/>
                <w:szCs w:val="20"/>
                <w:lang w:val="mn-MN"/>
              </w:rPr>
              <w:t>RESERVED</w:t>
            </w:r>
          </w:p>
        </w:tc>
        <w:tc>
          <w:tcPr>
            <w:tcW w:w="4672" w:type="dxa"/>
          </w:tcPr>
          <w:p w:rsidR="00EE53EE" w:rsidRPr="00EF2D2B" w:rsidRDefault="00EE53EE" w:rsidP="00EE53EE">
            <w:pPr>
              <w:pStyle w:val="TableParagraph"/>
              <w:tabs>
                <w:tab w:val="left" w:pos="0"/>
              </w:tabs>
              <w:spacing w:line="276" w:lineRule="auto"/>
              <w:ind w:left="105"/>
              <w:rPr>
                <w:sz w:val="20"/>
                <w:szCs w:val="20"/>
                <w:lang w:val="mn-MN"/>
              </w:rPr>
            </w:pPr>
            <w:r w:rsidRPr="00EF2D2B">
              <w:rPr>
                <w:sz w:val="20"/>
                <w:szCs w:val="20"/>
                <w:lang w:val="mn-MN"/>
              </w:rPr>
              <w:t>3-127</w:t>
            </w:r>
          </w:p>
        </w:tc>
      </w:tr>
      <w:tr w:rsidR="00EE53EE" w:rsidTr="00B93EC0">
        <w:tc>
          <w:tcPr>
            <w:tcW w:w="4672" w:type="dxa"/>
          </w:tcPr>
          <w:p w:rsidR="00EE53EE" w:rsidRPr="00731F96" w:rsidRDefault="00EE53EE" w:rsidP="00EE53EE">
            <w:pPr>
              <w:pStyle w:val="TableParagraph"/>
              <w:tabs>
                <w:tab w:val="left" w:pos="0"/>
              </w:tabs>
              <w:spacing w:line="276" w:lineRule="auto"/>
              <w:ind w:left="107"/>
              <w:rPr>
                <w:sz w:val="20"/>
                <w:szCs w:val="20"/>
                <w:lang w:val="mn-MN"/>
              </w:rPr>
            </w:pPr>
            <w:r w:rsidRPr="00EF2D2B">
              <w:rPr>
                <w:sz w:val="20"/>
                <w:szCs w:val="20"/>
                <w:lang w:val="mn-MN"/>
              </w:rPr>
              <w:t>Private Use</w:t>
            </w:r>
          </w:p>
        </w:tc>
        <w:tc>
          <w:tcPr>
            <w:tcW w:w="4672" w:type="dxa"/>
          </w:tcPr>
          <w:p w:rsidR="00EE53EE" w:rsidRPr="00EF2D2B" w:rsidRDefault="00EE53EE" w:rsidP="00EE53EE">
            <w:pPr>
              <w:pStyle w:val="TableParagraph"/>
              <w:tabs>
                <w:tab w:val="left" w:pos="0"/>
              </w:tabs>
              <w:spacing w:line="276" w:lineRule="auto"/>
              <w:ind w:left="105"/>
              <w:rPr>
                <w:sz w:val="20"/>
                <w:szCs w:val="20"/>
                <w:lang w:val="mn-MN"/>
              </w:rPr>
            </w:pPr>
            <w:r w:rsidRPr="00EF2D2B">
              <w:rPr>
                <w:sz w:val="20"/>
                <w:szCs w:val="20"/>
                <w:lang w:val="mn-MN"/>
              </w:rPr>
              <w:t>128-255</w:t>
            </w:r>
          </w:p>
        </w:tc>
      </w:tr>
    </w:tbl>
    <w:p w:rsidR="00EE53EE" w:rsidRDefault="00EE53EE" w:rsidP="00F11C9C">
      <w:pPr>
        <w:ind w:left="0" w:firstLine="0"/>
        <w:jc w:val="center"/>
      </w:pPr>
    </w:p>
    <w:tbl>
      <w:tblPr>
        <w:tblStyle w:val="TableGrid"/>
        <w:tblW w:w="0" w:type="auto"/>
        <w:tblLook w:val="04A0" w:firstRow="1" w:lastRow="0" w:firstColumn="1" w:lastColumn="0" w:noHBand="0" w:noVBand="1"/>
      </w:tblPr>
      <w:tblGrid>
        <w:gridCol w:w="4672"/>
        <w:gridCol w:w="4672"/>
      </w:tblGrid>
      <w:tr w:rsidR="00EE53EE" w:rsidTr="00EE53EE">
        <w:tc>
          <w:tcPr>
            <w:tcW w:w="4672" w:type="dxa"/>
          </w:tcPr>
          <w:p w:rsidR="00EE53EE" w:rsidRPr="00EE53EE" w:rsidRDefault="00EE53EE" w:rsidP="00EE53EE">
            <w:pPr>
              <w:tabs>
                <w:tab w:val="left" w:pos="0"/>
              </w:tabs>
              <w:ind w:left="0" w:firstLine="0"/>
              <w:rPr>
                <w:rFonts w:eastAsia="Calibri"/>
                <w:bCs/>
                <w:szCs w:val="22"/>
              </w:rPr>
            </w:pPr>
            <w:r w:rsidRPr="00EE53EE">
              <w:rPr>
                <w:rFonts w:eastAsia="Calibri"/>
                <w:bCs/>
                <w:szCs w:val="22"/>
              </w:rPr>
              <w:t>IEC/TR 61850-90-5-тай нийцэхийг шаардсан хэрэгжүүлэлт нь SIG_HASH_SHA1 ба SIG_HASH_SHA256-т дэмжлэг үзүүлнэ. SIG_HASH_SHA256-г заахдаа 192 (аравтын) алгоритмын төрлийн утгыг ашиглана уу. Алгоритмын төрлийн утга 192 (аравтын) ньSIG_HASH_SHA256-г заахад ашиглана.</w:t>
            </w:r>
          </w:p>
          <w:p w:rsidR="00EE53EE" w:rsidRPr="00EE53EE" w:rsidRDefault="00EE53EE" w:rsidP="00EE53EE">
            <w:pPr>
              <w:tabs>
                <w:tab w:val="left" w:pos="0"/>
              </w:tabs>
              <w:ind w:left="0" w:firstLine="0"/>
              <w:rPr>
                <w:rFonts w:eastAsia="Calibri"/>
                <w:b/>
                <w:bCs/>
                <w:szCs w:val="22"/>
              </w:rPr>
            </w:pPr>
            <w:r w:rsidRPr="00EE53EE">
              <w:rPr>
                <w:rFonts w:eastAsia="Calibri"/>
                <w:b/>
                <w:bCs/>
                <w:szCs w:val="22"/>
              </w:rPr>
              <w:t>11.4.2 identificationpayload (тодорхойлох ачаалал)</w:t>
            </w:r>
          </w:p>
        </w:tc>
        <w:tc>
          <w:tcPr>
            <w:tcW w:w="4672" w:type="dxa"/>
          </w:tcPr>
          <w:p w:rsidR="00EE53EE" w:rsidRPr="00EE53EE" w:rsidRDefault="00EE53EE" w:rsidP="00EE53EE">
            <w:pPr>
              <w:tabs>
                <w:tab w:val="left" w:pos="0"/>
              </w:tabs>
              <w:ind w:left="0" w:firstLine="0"/>
              <w:rPr>
                <w:rFonts w:eastAsia="Calibri"/>
                <w:bCs/>
                <w:szCs w:val="22"/>
              </w:rPr>
            </w:pPr>
            <w:r w:rsidRPr="00EE53EE">
              <w:rPr>
                <w:rFonts w:eastAsia="Calibri"/>
                <w:bCs/>
                <w:szCs w:val="22"/>
              </w:rPr>
              <w:t>Implementations claiming conformance with IEC/TR 61850-90-5 shall provide support for SIG_HASH_SHA1 and SIG_HASH_SHA256. The Algorithm Type Value of 192 (decimal) shall be used to indicate SIG_HASH_SHA256.</w:t>
            </w:r>
          </w:p>
          <w:p w:rsidR="00EE53EE" w:rsidRPr="00EE53EE" w:rsidRDefault="00EE53EE" w:rsidP="00EE53EE">
            <w:pPr>
              <w:tabs>
                <w:tab w:val="left" w:pos="0"/>
              </w:tabs>
              <w:ind w:left="0" w:firstLine="0"/>
              <w:rPr>
                <w:rFonts w:eastAsia="Calibri"/>
                <w:b/>
                <w:bCs/>
                <w:szCs w:val="22"/>
              </w:rPr>
            </w:pPr>
            <w:r w:rsidRPr="00EE53EE">
              <w:rPr>
                <w:rFonts w:eastAsia="Calibri"/>
                <w:b/>
                <w:bCs/>
                <w:szCs w:val="22"/>
              </w:rPr>
              <w:t xml:space="preserve">11.4.2 Identification payload </w:t>
            </w:r>
          </w:p>
          <w:p w:rsidR="00EE53EE" w:rsidRPr="00EE53EE" w:rsidRDefault="00EE53EE" w:rsidP="00EE53EE">
            <w:pPr>
              <w:tabs>
                <w:tab w:val="left" w:pos="0"/>
              </w:tabs>
              <w:ind w:left="0" w:firstLine="0"/>
              <w:rPr>
                <w:b/>
              </w:rPr>
            </w:pPr>
          </w:p>
        </w:tc>
      </w:tr>
    </w:tbl>
    <w:p w:rsidR="00EE53EE" w:rsidRDefault="00EE53EE" w:rsidP="00F11C9C">
      <w:pPr>
        <w:ind w:left="0" w:firstLine="0"/>
        <w:jc w:val="center"/>
      </w:pPr>
    </w:p>
    <w:p w:rsidR="00EE53EE" w:rsidRDefault="00EE53EE" w:rsidP="00F11C9C">
      <w:pPr>
        <w:ind w:left="0" w:firstLine="0"/>
        <w:jc w:val="center"/>
      </w:pPr>
      <w:r>
        <w:rPr>
          <w:noProof/>
          <w:lang w:val="en-US"/>
        </w:rPr>
        <w:lastRenderedPageBreak/>
        <w:drawing>
          <wp:inline distT="0" distB="0" distL="0" distR="0" wp14:anchorId="553D4AA1" wp14:editId="5ACC4D00">
            <wp:extent cx="4552950" cy="125730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52950" cy="1257300"/>
                    </a:xfrm>
                    <a:prstGeom prst="rect">
                      <a:avLst/>
                    </a:prstGeom>
                  </pic:spPr>
                </pic:pic>
              </a:graphicData>
            </a:graphic>
          </wp:inline>
        </w:drawing>
      </w:r>
    </w:p>
    <w:p w:rsidR="00EE53EE" w:rsidRDefault="00EE53EE" w:rsidP="00F11C9C">
      <w:pPr>
        <w:ind w:left="0" w:firstLine="0"/>
        <w:jc w:val="center"/>
      </w:pPr>
    </w:p>
    <w:tbl>
      <w:tblPr>
        <w:tblStyle w:val="TableGrid"/>
        <w:tblW w:w="0" w:type="auto"/>
        <w:tblLook w:val="04A0" w:firstRow="1" w:lastRow="0" w:firstColumn="1" w:lastColumn="0" w:noHBand="0" w:noVBand="1"/>
      </w:tblPr>
      <w:tblGrid>
        <w:gridCol w:w="4672"/>
        <w:gridCol w:w="4672"/>
      </w:tblGrid>
      <w:tr w:rsidR="00EE53EE" w:rsidTr="00EE53EE">
        <w:tc>
          <w:tcPr>
            <w:tcW w:w="4672" w:type="dxa"/>
          </w:tcPr>
          <w:p w:rsidR="00EE53EE" w:rsidRPr="00EE53EE" w:rsidRDefault="00EE53EE" w:rsidP="00EE53EE">
            <w:pPr>
              <w:tabs>
                <w:tab w:val="left" w:pos="0"/>
              </w:tabs>
              <w:ind w:left="0" w:firstLine="0"/>
              <w:rPr>
                <w:rFonts w:eastAsia="Calibri"/>
                <w:bCs/>
                <w:szCs w:val="22"/>
              </w:rPr>
            </w:pPr>
            <w:r w:rsidRPr="00EE53EE">
              <w:rPr>
                <w:rFonts w:eastAsia="Calibri"/>
                <w:bCs/>
                <w:szCs w:val="22"/>
              </w:rPr>
              <w:t>IEC / TR 61850-90-5-т үзүүлсэн GDOI тодорхойлох ачаалал (жишээ нь, 2-р үе шатны хүсэлт) нь тодорхой IDType утга ба тодорхойлох өгөгдлийн форматыг тодорхойлдог.</w:t>
            </w:r>
          </w:p>
          <w:p w:rsidR="00EE53EE" w:rsidRPr="00EE53EE" w:rsidRDefault="00EE53EE" w:rsidP="00EE53EE">
            <w:pPr>
              <w:tabs>
                <w:tab w:val="left" w:pos="0"/>
              </w:tabs>
              <w:ind w:left="0" w:firstLine="0"/>
              <w:rPr>
                <w:rFonts w:eastAsia="Calibri"/>
                <w:bCs/>
                <w:szCs w:val="22"/>
              </w:rPr>
            </w:pPr>
            <w:r w:rsidRPr="00EE53EE">
              <w:rPr>
                <w:rFonts w:eastAsia="Calibri"/>
                <w:bCs/>
                <w:szCs w:val="22"/>
              </w:rPr>
              <w:t>RFC 3547-ийн 5.4-р дэд бүлэгт Хүснэгт 11-д үзүүлсэн дараахь ачааллын тодорхойлогчийг тодорхой заасан:</w:t>
            </w:r>
          </w:p>
        </w:tc>
        <w:tc>
          <w:tcPr>
            <w:tcW w:w="4672" w:type="dxa"/>
          </w:tcPr>
          <w:p w:rsidR="00EE53EE" w:rsidRPr="00EE53EE" w:rsidRDefault="00EE53EE" w:rsidP="00EE53EE">
            <w:pPr>
              <w:tabs>
                <w:tab w:val="left" w:pos="0"/>
              </w:tabs>
              <w:ind w:left="0" w:firstLine="0"/>
              <w:rPr>
                <w:rFonts w:eastAsia="Calibri"/>
                <w:bCs/>
                <w:szCs w:val="22"/>
              </w:rPr>
            </w:pPr>
            <w:r w:rsidRPr="00EE53EE">
              <w:rPr>
                <w:rFonts w:eastAsia="Calibri"/>
                <w:bCs/>
                <w:szCs w:val="22"/>
              </w:rPr>
              <w:t>The GDOI Identification Payload (e.g. Phase 2 request) is shown in  IEC/TR 61850-90-5  defines a specific ID Type value and a format of the Identification Data.</w:t>
            </w:r>
          </w:p>
          <w:p w:rsidR="00EE53EE" w:rsidRPr="00EE53EE" w:rsidRDefault="00EE53EE" w:rsidP="00EE53EE">
            <w:pPr>
              <w:tabs>
                <w:tab w:val="left" w:pos="0"/>
              </w:tabs>
              <w:ind w:left="0" w:firstLine="0"/>
              <w:rPr>
                <w:rFonts w:eastAsia="Calibri"/>
                <w:bCs/>
                <w:szCs w:val="22"/>
              </w:rPr>
            </w:pPr>
            <w:r w:rsidRPr="00EE53EE">
              <w:rPr>
                <w:rFonts w:eastAsia="Calibri"/>
                <w:bCs/>
                <w:szCs w:val="22"/>
              </w:rPr>
              <w:t xml:space="preserve">Subclause 5.4 of RFC 3547 specifies the following payload identifiers shown in </w:t>
            </w:r>
            <w:hyperlink w:anchor="_bookmark54" w:history="1">
              <w:r w:rsidRPr="00EE53EE">
                <w:rPr>
                  <w:rFonts w:eastAsia="Calibri"/>
                  <w:bCs/>
                  <w:szCs w:val="22"/>
                </w:rPr>
                <w:t>Table 11:</w:t>
              </w:r>
            </w:hyperlink>
          </w:p>
        </w:tc>
      </w:tr>
    </w:tbl>
    <w:p w:rsidR="00EE53EE" w:rsidRDefault="00EE53EE" w:rsidP="00F11C9C">
      <w:pPr>
        <w:ind w:left="0" w:firstLine="0"/>
        <w:jc w:val="center"/>
      </w:pPr>
    </w:p>
    <w:p w:rsidR="00D5601E" w:rsidRDefault="00D5601E" w:rsidP="00D5601E">
      <w:pPr>
        <w:tabs>
          <w:tab w:val="left" w:pos="142"/>
        </w:tabs>
        <w:ind w:left="142"/>
        <w:jc w:val="center"/>
        <w:rPr>
          <w:b/>
        </w:rPr>
      </w:pPr>
      <w:r w:rsidRPr="00EF2D2B">
        <w:rPr>
          <w:b/>
        </w:rPr>
        <w:t>11</w:t>
      </w:r>
      <w:r>
        <w:rPr>
          <w:b/>
        </w:rPr>
        <w:t>-р хүснэгт</w:t>
      </w:r>
      <w:r w:rsidRPr="00EF2D2B">
        <w:rPr>
          <w:b/>
        </w:rPr>
        <w:t xml:space="preserve"> –RFC-3547 ачаалал тодорхойлогч</w:t>
      </w:r>
    </w:p>
    <w:tbl>
      <w:tblPr>
        <w:tblStyle w:val="TableGrid"/>
        <w:tblW w:w="0" w:type="auto"/>
        <w:tblInd w:w="142" w:type="dxa"/>
        <w:tblLook w:val="04A0" w:firstRow="1" w:lastRow="0" w:firstColumn="1" w:lastColumn="0" w:noHBand="0" w:noVBand="1"/>
      </w:tblPr>
      <w:tblGrid>
        <w:gridCol w:w="4601"/>
        <w:gridCol w:w="4601"/>
      </w:tblGrid>
      <w:tr w:rsidR="00D5601E" w:rsidTr="00D5601E">
        <w:tc>
          <w:tcPr>
            <w:tcW w:w="4601" w:type="dxa"/>
          </w:tcPr>
          <w:p w:rsidR="00D5601E" w:rsidRPr="00EF2D2B" w:rsidRDefault="00D5601E" w:rsidP="00D5601E">
            <w:pPr>
              <w:pStyle w:val="TableParagraph"/>
              <w:tabs>
                <w:tab w:val="left" w:pos="0"/>
              </w:tabs>
              <w:spacing w:before="53" w:line="276" w:lineRule="auto"/>
              <w:ind w:left="1072"/>
              <w:rPr>
                <w:b/>
                <w:sz w:val="20"/>
                <w:szCs w:val="20"/>
                <w:lang w:val="mn-MN"/>
              </w:rPr>
            </w:pPr>
            <w:r w:rsidRPr="00EF2D2B">
              <w:rPr>
                <w:b/>
                <w:sz w:val="20"/>
                <w:szCs w:val="20"/>
                <w:lang w:val="mn-MN"/>
              </w:rPr>
              <w:t>Тодорхойлогч нэр</w:t>
            </w:r>
          </w:p>
        </w:tc>
        <w:tc>
          <w:tcPr>
            <w:tcW w:w="4601" w:type="dxa"/>
          </w:tcPr>
          <w:p w:rsidR="00D5601E" w:rsidRPr="00EF2D2B" w:rsidRDefault="00D5601E" w:rsidP="00D5601E">
            <w:pPr>
              <w:pStyle w:val="TableParagraph"/>
              <w:tabs>
                <w:tab w:val="left" w:pos="0"/>
              </w:tabs>
              <w:spacing w:before="53" w:line="276" w:lineRule="auto"/>
              <w:ind w:left="1460" w:right="1462"/>
              <w:jc w:val="center"/>
              <w:rPr>
                <w:b/>
                <w:sz w:val="20"/>
                <w:szCs w:val="20"/>
                <w:lang w:val="mn-MN"/>
              </w:rPr>
            </w:pPr>
            <w:r w:rsidRPr="00EF2D2B">
              <w:rPr>
                <w:b/>
                <w:sz w:val="20"/>
                <w:szCs w:val="20"/>
                <w:lang w:val="mn-MN"/>
              </w:rPr>
              <w:t>Утга</w:t>
            </w:r>
          </w:p>
        </w:tc>
      </w:tr>
      <w:tr w:rsidR="00D5601E" w:rsidTr="00D5601E">
        <w:tc>
          <w:tcPr>
            <w:tcW w:w="4601" w:type="dxa"/>
          </w:tcPr>
          <w:p w:rsidR="00D5601E" w:rsidRPr="00731F96" w:rsidRDefault="00D5601E" w:rsidP="00D5601E">
            <w:pPr>
              <w:pStyle w:val="TableParagraph"/>
              <w:tabs>
                <w:tab w:val="left" w:pos="0"/>
              </w:tabs>
              <w:spacing w:line="276" w:lineRule="auto"/>
              <w:ind w:left="107"/>
              <w:rPr>
                <w:sz w:val="20"/>
                <w:szCs w:val="20"/>
                <w:lang w:val="mn-MN"/>
              </w:rPr>
            </w:pPr>
            <w:r w:rsidRPr="00EF2D2B">
              <w:rPr>
                <w:sz w:val="20"/>
                <w:szCs w:val="20"/>
                <w:lang w:val="mn-MN"/>
              </w:rPr>
              <w:t>Reserved</w:t>
            </w:r>
          </w:p>
        </w:tc>
        <w:tc>
          <w:tcPr>
            <w:tcW w:w="4601" w:type="dxa"/>
          </w:tcPr>
          <w:p w:rsidR="00D5601E" w:rsidRPr="00EF2D2B" w:rsidRDefault="00D5601E" w:rsidP="00D5601E">
            <w:pPr>
              <w:pStyle w:val="TableParagraph"/>
              <w:tabs>
                <w:tab w:val="left" w:pos="0"/>
              </w:tabs>
              <w:spacing w:line="276" w:lineRule="auto"/>
              <w:ind w:left="105"/>
              <w:rPr>
                <w:sz w:val="20"/>
                <w:szCs w:val="20"/>
                <w:lang w:val="mn-MN"/>
              </w:rPr>
            </w:pPr>
            <w:r w:rsidRPr="00EF2D2B">
              <w:rPr>
                <w:sz w:val="20"/>
                <w:szCs w:val="20"/>
                <w:lang w:val="mn-MN"/>
              </w:rPr>
              <w:t>0-10</w:t>
            </w:r>
          </w:p>
        </w:tc>
      </w:tr>
      <w:tr w:rsidR="00D5601E" w:rsidTr="00D5601E">
        <w:tc>
          <w:tcPr>
            <w:tcW w:w="4601" w:type="dxa"/>
          </w:tcPr>
          <w:p w:rsidR="00D5601E" w:rsidRPr="00731F96" w:rsidRDefault="00D5601E" w:rsidP="00D5601E">
            <w:pPr>
              <w:pStyle w:val="TableParagraph"/>
              <w:tabs>
                <w:tab w:val="left" w:pos="0"/>
              </w:tabs>
              <w:spacing w:before="58" w:line="276" w:lineRule="auto"/>
              <w:ind w:left="107"/>
              <w:rPr>
                <w:sz w:val="20"/>
                <w:szCs w:val="20"/>
                <w:lang w:val="mn-MN"/>
              </w:rPr>
            </w:pPr>
            <w:r w:rsidRPr="00EF2D2B">
              <w:rPr>
                <w:sz w:val="20"/>
                <w:szCs w:val="20"/>
                <w:lang w:val="mn-MN"/>
              </w:rPr>
              <w:t>ID_KEY_ID</w:t>
            </w:r>
          </w:p>
        </w:tc>
        <w:tc>
          <w:tcPr>
            <w:tcW w:w="4601" w:type="dxa"/>
          </w:tcPr>
          <w:p w:rsidR="00D5601E" w:rsidRPr="00EF2D2B" w:rsidRDefault="00D5601E" w:rsidP="00D5601E">
            <w:pPr>
              <w:pStyle w:val="TableParagraph"/>
              <w:tabs>
                <w:tab w:val="left" w:pos="0"/>
              </w:tabs>
              <w:spacing w:before="58" w:line="276" w:lineRule="auto"/>
              <w:ind w:left="105"/>
              <w:rPr>
                <w:sz w:val="20"/>
                <w:szCs w:val="20"/>
                <w:lang w:val="mn-MN"/>
              </w:rPr>
            </w:pPr>
            <w:r w:rsidRPr="00EF2D2B">
              <w:rPr>
                <w:sz w:val="20"/>
                <w:szCs w:val="20"/>
                <w:lang w:val="mn-MN"/>
              </w:rPr>
              <w:t>11</w:t>
            </w:r>
          </w:p>
        </w:tc>
      </w:tr>
      <w:tr w:rsidR="00D5601E" w:rsidTr="00D5601E">
        <w:tc>
          <w:tcPr>
            <w:tcW w:w="4601" w:type="dxa"/>
          </w:tcPr>
          <w:p w:rsidR="00D5601E" w:rsidRPr="00EF2D2B" w:rsidRDefault="00D5601E" w:rsidP="00D5601E">
            <w:pPr>
              <w:pStyle w:val="TableParagraph"/>
              <w:tabs>
                <w:tab w:val="left" w:pos="0"/>
              </w:tabs>
              <w:spacing w:line="276" w:lineRule="auto"/>
              <w:ind w:left="107"/>
              <w:rPr>
                <w:sz w:val="20"/>
                <w:szCs w:val="20"/>
                <w:lang w:val="mn-MN"/>
              </w:rPr>
            </w:pPr>
            <w:r w:rsidRPr="00EF2D2B">
              <w:rPr>
                <w:sz w:val="20"/>
                <w:szCs w:val="20"/>
                <w:lang w:val="mn-MN"/>
              </w:rPr>
              <w:t>RESERVED</w:t>
            </w:r>
          </w:p>
        </w:tc>
        <w:tc>
          <w:tcPr>
            <w:tcW w:w="4601" w:type="dxa"/>
          </w:tcPr>
          <w:p w:rsidR="00D5601E" w:rsidRPr="00731F96" w:rsidRDefault="00D5601E" w:rsidP="00D5601E">
            <w:pPr>
              <w:pStyle w:val="TableParagraph"/>
              <w:tabs>
                <w:tab w:val="left" w:pos="0"/>
              </w:tabs>
              <w:spacing w:line="276" w:lineRule="auto"/>
              <w:ind w:left="105"/>
              <w:rPr>
                <w:sz w:val="20"/>
                <w:szCs w:val="20"/>
                <w:lang w:val="mn-MN"/>
              </w:rPr>
            </w:pPr>
            <w:r w:rsidRPr="00731F96">
              <w:rPr>
                <w:sz w:val="20"/>
                <w:szCs w:val="20"/>
                <w:lang w:val="mn-MN"/>
              </w:rPr>
              <w:t>12-127</w:t>
            </w:r>
          </w:p>
        </w:tc>
      </w:tr>
      <w:tr w:rsidR="00D5601E" w:rsidTr="00D5601E">
        <w:tc>
          <w:tcPr>
            <w:tcW w:w="4601" w:type="dxa"/>
          </w:tcPr>
          <w:p w:rsidR="00D5601E" w:rsidRPr="00EF2D2B" w:rsidRDefault="00D5601E" w:rsidP="00D5601E">
            <w:pPr>
              <w:pStyle w:val="TableParagraph"/>
              <w:tabs>
                <w:tab w:val="left" w:pos="0"/>
              </w:tabs>
              <w:spacing w:line="276" w:lineRule="auto"/>
              <w:ind w:left="107"/>
              <w:rPr>
                <w:sz w:val="20"/>
                <w:szCs w:val="20"/>
                <w:lang w:val="mn-MN"/>
              </w:rPr>
            </w:pPr>
            <w:r w:rsidRPr="00EF2D2B">
              <w:rPr>
                <w:sz w:val="20"/>
                <w:szCs w:val="20"/>
                <w:lang w:val="mn-MN"/>
              </w:rPr>
              <w:t>Private Use</w:t>
            </w:r>
          </w:p>
        </w:tc>
        <w:tc>
          <w:tcPr>
            <w:tcW w:w="4601" w:type="dxa"/>
          </w:tcPr>
          <w:p w:rsidR="00D5601E" w:rsidRPr="00731F96" w:rsidRDefault="00D5601E" w:rsidP="00D5601E">
            <w:pPr>
              <w:pStyle w:val="TableParagraph"/>
              <w:tabs>
                <w:tab w:val="left" w:pos="0"/>
              </w:tabs>
              <w:spacing w:line="276" w:lineRule="auto"/>
              <w:ind w:left="105"/>
              <w:rPr>
                <w:sz w:val="20"/>
                <w:szCs w:val="20"/>
                <w:lang w:val="mn-MN"/>
              </w:rPr>
            </w:pPr>
            <w:r w:rsidRPr="00731F96">
              <w:rPr>
                <w:sz w:val="20"/>
                <w:szCs w:val="20"/>
                <w:lang w:val="mn-MN"/>
              </w:rPr>
              <w:t>128-255</w:t>
            </w:r>
          </w:p>
        </w:tc>
      </w:tr>
    </w:tbl>
    <w:p w:rsidR="00D5601E" w:rsidRDefault="00D5601E" w:rsidP="00D5601E">
      <w:pPr>
        <w:tabs>
          <w:tab w:val="left" w:pos="142"/>
        </w:tabs>
        <w:ind w:left="142"/>
        <w:jc w:val="center"/>
        <w:rPr>
          <w:b/>
        </w:rPr>
      </w:pPr>
    </w:p>
    <w:p w:rsidR="00D5601E" w:rsidRDefault="00D5601E" w:rsidP="00D5601E">
      <w:pPr>
        <w:tabs>
          <w:tab w:val="left" w:pos="142"/>
        </w:tabs>
        <w:ind w:left="142"/>
        <w:jc w:val="center"/>
        <w:rPr>
          <w:b/>
        </w:rPr>
      </w:pPr>
      <w:r w:rsidRPr="00731F96">
        <w:rPr>
          <w:b/>
        </w:rPr>
        <w:t>Table 11 – RFC-3547 assigned payload identifiers</w:t>
      </w:r>
    </w:p>
    <w:tbl>
      <w:tblPr>
        <w:tblStyle w:val="TableGrid"/>
        <w:tblW w:w="0" w:type="auto"/>
        <w:tblInd w:w="142" w:type="dxa"/>
        <w:tblLook w:val="04A0" w:firstRow="1" w:lastRow="0" w:firstColumn="1" w:lastColumn="0" w:noHBand="0" w:noVBand="1"/>
      </w:tblPr>
      <w:tblGrid>
        <w:gridCol w:w="4601"/>
        <w:gridCol w:w="4601"/>
      </w:tblGrid>
      <w:tr w:rsidR="00D5601E" w:rsidRPr="00EF2D2B" w:rsidTr="00B93EC0">
        <w:tc>
          <w:tcPr>
            <w:tcW w:w="4601" w:type="dxa"/>
          </w:tcPr>
          <w:p w:rsidR="00D5601E" w:rsidRPr="00EF2D2B" w:rsidRDefault="00D5601E" w:rsidP="00D5601E">
            <w:pPr>
              <w:pStyle w:val="TableParagraph"/>
              <w:tabs>
                <w:tab w:val="left" w:pos="0"/>
              </w:tabs>
              <w:spacing w:before="53" w:line="276" w:lineRule="auto"/>
              <w:ind w:left="1072"/>
              <w:rPr>
                <w:b/>
                <w:sz w:val="20"/>
                <w:szCs w:val="20"/>
                <w:lang w:val="mn-MN"/>
              </w:rPr>
            </w:pPr>
            <w:r w:rsidRPr="00EF2D2B">
              <w:rPr>
                <w:b/>
                <w:sz w:val="20"/>
                <w:szCs w:val="20"/>
                <w:lang w:val="mn-MN"/>
              </w:rPr>
              <w:t>Identifier name</w:t>
            </w:r>
          </w:p>
        </w:tc>
        <w:tc>
          <w:tcPr>
            <w:tcW w:w="4601" w:type="dxa"/>
          </w:tcPr>
          <w:p w:rsidR="00D5601E" w:rsidRPr="00EF2D2B" w:rsidRDefault="00D5601E" w:rsidP="00D5601E">
            <w:pPr>
              <w:pStyle w:val="TableParagraph"/>
              <w:tabs>
                <w:tab w:val="left" w:pos="0"/>
              </w:tabs>
              <w:spacing w:before="53" w:line="276" w:lineRule="auto"/>
              <w:ind w:left="1460" w:right="1462"/>
              <w:jc w:val="center"/>
              <w:rPr>
                <w:b/>
                <w:sz w:val="20"/>
                <w:szCs w:val="20"/>
                <w:lang w:val="mn-MN"/>
              </w:rPr>
            </w:pPr>
            <w:r w:rsidRPr="00EF2D2B">
              <w:rPr>
                <w:b/>
                <w:sz w:val="20"/>
                <w:szCs w:val="20"/>
                <w:lang w:val="mn-MN"/>
              </w:rPr>
              <w:t>Value</w:t>
            </w:r>
          </w:p>
        </w:tc>
      </w:tr>
      <w:tr w:rsidR="00D5601E" w:rsidRPr="00EF2D2B" w:rsidTr="00B93EC0">
        <w:tc>
          <w:tcPr>
            <w:tcW w:w="4601" w:type="dxa"/>
          </w:tcPr>
          <w:p w:rsidR="00D5601E" w:rsidRPr="00731F96" w:rsidRDefault="00D5601E" w:rsidP="00B93EC0">
            <w:pPr>
              <w:pStyle w:val="TableParagraph"/>
              <w:tabs>
                <w:tab w:val="left" w:pos="0"/>
              </w:tabs>
              <w:spacing w:line="276" w:lineRule="auto"/>
              <w:ind w:left="107"/>
              <w:rPr>
                <w:sz w:val="20"/>
                <w:szCs w:val="20"/>
                <w:lang w:val="mn-MN"/>
              </w:rPr>
            </w:pPr>
            <w:r w:rsidRPr="00EF2D2B">
              <w:rPr>
                <w:sz w:val="20"/>
                <w:szCs w:val="20"/>
                <w:lang w:val="mn-MN"/>
              </w:rPr>
              <w:t>Reserved</w:t>
            </w:r>
          </w:p>
        </w:tc>
        <w:tc>
          <w:tcPr>
            <w:tcW w:w="4601" w:type="dxa"/>
          </w:tcPr>
          <w:p w:rsidR="00D5601E" w:rsidRPr="00EF2D2B" w:rsidRDefault="00D5601E" w:rsidP="00B93EC0">
            <w:pPr>
              <w:pStyle w:val="TableParagraph"/>
              <w:tabs>
                <w:tab w:val="left" w:pos="0"/>
              </w:tabs>
              <w:spacing w:line="276" w:lineRule="auto"/>
              <w:ind w:left="105"/>
              <w:rPr>
                <w:sz w:val="20"/>
                <w:szCs w:val="20"/>
                <w:lang w:val="mn-MN"/>
              </w:rPr>
            </w:pPr>
            <w:r w:rsidRPr="00EF2D2B">
              <w:rPr>
                <w:sz w:val="20"/>
                <w:szCs w:val="20"/>
                <w:lang w:val="mn-MN"/>
              </w:rPr>
              <w:t>0-10</w:t>
            </w:r>
          </w:p>
        </w:tc>
      </w:tr>
      <w:tr w:rsidR="00D5601E" w:rsidRPr="00EF2D2B" w:rsidTr="00B93EC0">
        <w:tc>
          <w:tcPr>
            <w:tcW w:w="4601" w:type="dxa"/>
          </w:tcPr>
          <w:p w:rsidR="00D5601E" w:rsidRPr="00731F96" w:rsidRDefault="00D5601E" w:rsidP="00B93EC0">
            <w:pPr>
              <w:pStyle w:val="TableParagraph"/>
              <w:tabs>
                <w:tab w:val="left" w:pos="0"/>
              </w:tabs>
              <w:spacing w:before="58" w:line="276" w:lineRule="auto"/>
              <w:ind w:left="107"/>
              <w:rPr>
                <w:sz w:val="20"/>
                <w:szCs w:val="20"/>
                <w:lang w:val="mn-MN"/>
              </w:rPr>
            </w:pPr>
            <w:r w:rsidRPr="00EF2D2B">
              <w:rPr>
                <w:sz w:val="20"/>
                <w:szCs w:val="20"/>
                <w:lang w:val="mn-MN"/>
              </w:rPr>
              <w:t>ID_KEY_ID</w:t>
            </w:r>
          </w:p>
        </w:tc>
        <w:tc>
          <w:tcPr>
            <w:tcW w:w="4601" w:type="dxa"/>
          </w:tcPr>
          <w:p w:rsidR="00D5601E" w:rsidRPr="00EF2D2B" w:rsidRDefault="00D5601E" w:rsidP="00B93EC0">
            <w:pPr>
              <w:pStyle w:val="TableParagraph"/>
              <w:tabs>
                <w:tab w:val="left" w:pos="0"/>
              </w:tabs>
              <w:spacing w:before="58" w:line="276" w:lineRule="auto"/>
              <w:ind w:left="105"/>
              <w:rPr>
                <w:sz w:val="20"/>
                <w:szCs w:val="20"/>
                <w:lang w:val="mn-MN"/>
              </w:rPr>
            </w:pPr>
            <w:r w:rsidRPr="00EF2D2B">
              <w:rPr>
                <w:sz w:val="20"/>
                <w:szCs w:val="20"/>
                <w:lang w:val="mn-MN"/>
              </w:rPr>
              <w:t>11</w:t>
            </w:r>
          </w:p>
        </w:tc>
      </w:tr>
      <w:tr w:rsidR="00D5601E" w:rsidRPr="00731F96" w:rsidTr="00B93EC0">
        <w:tc>
          <w:tcPr>
            <w:tcW w:w="4601" w:type="dxa"/>
          </w:tcPr>
          <w:p w:rsidR="00D5601E" w:rsidRPr="00EF2D2B" w:rsidRDefault="00D5601E" w:rsidP="00B93EC0">
            <w:pPr>
              <w:pStyle w:val="TableParagraph"/>
              <w:tabs>
                <w:tab w:val="left" w:pos="0"/>
              </w:tabs>
              <w:spacing w:line="276" w:lineRule="auto"/>
              <w:ind w:left="107"/>
              <w:rPr>
                <w:sz w:val="20"/>
                <w:szCs w:val="20"/>
                <w:lang w:val="mn-MN"/>
              </w:rPr>
            </w:pPr>
            <w:r w:rsidRPr="00EF2D2B">
              <w:rPr>
                <w:sz w:val="20"/>
                <w:szCs w:val="20"/>
                <w:lang w:val="mn-MN"/>
              </w:rPr>
              <w:t>RESERVED</w:t>
            </w:r>
          </w:p>
        </w:tc>
        <w:tc>
          <w:tcPr>
            <w:tcW w:w="4601" w:type="dxa"/>
          </w:tcPr>
          <w:p w:rsidR="00D5601E" w:rsidRPr="00731F96" w:rsidRDefault="00D5601E" w:rsidP="00B93EC0">
            <w:pPr>
              <w:pStyle w:val="TableParagraph"/>
              <w:tabs>
                <w:tab w:val="left" w:pos="0"/>
              </w:tabs>
              <w:spacing w:line="276" w:lineRule="auto"/>
              <w:ind w:left="105"/>
              <w:rPr>
                <w:sz w:val="20"/>
                <w:szCs w:val="20"/>
                <w:lang w:val="mn-MN"/>
              </w:rPr>
            </w:pPr>
            <w:r w:rsidRPr="00731F96">
              <w:rPr>
                <w:sz w:val="20"/>
                <w:szCs w:val="20"/>
                <w:lang w:val="mn-MN"/>
              </w:rPr>
              <w:t>12-127</w:t>
            </w:r>
          </w:p>
        </w:tc>
      </w:tr>
      <w:tr w:rsidR="00D5601E" w:rsidRPr="00731F96" w:rsidTr="00B93EC0">
        <w:tc>
          <w:tcPr>
            <w:tcW w:w="4601" w:type="dxa"/>
          </w:tcPr>
          <w:p w:rsidR="00D5601E" w:rsidRPr="00EF2D2B" w:rsidRDefault="00D5601E" w:rsidP="00B93EC0">
            <w:pPr>
              <w:pStyle w:val="TableParagraph"/>
              <w:tabs>
                <w:tab w:val="left" w:pos="0"/>
              </w:tabs>
              <w:spacing w:line="276" w:lineRule="auto"/>
              <w:ind w:left="107"/>
              <w:rPr>
                <w:sz w:val="20"/>
                <w:szCs w:val="20"/>
                <w:lang w:val="mn-MN"/>
              </w:rPr>
            </w:pPr>
            <w:r w:rsidRPr="00EF2D2B">
              <w:rPr>
                <w:sz w:val="20"/>
                <w:szCs w:val="20"/>
                <w:lang w:val="mn-MN"/>
              </w:rPr>
              <w:t>Private Use</w:t>
            </w:r>
          </w:p>
        </w:tc>
        <w:tc>
          <w:tcPr>
            <w:tcW w:w="4601" w:type="dxa"/>
          </w:tcPr>
          <w:p w:rsidR="00D5601E" w:rsidRPr="00731F96" w:rsidRDefault="00D5601E" w:rsidP="00B93EC0">
            <w:pPr>
              <w:pStyle w:val="TableParagraph"/>
              <w:tabs>
                <w:tab w:val="left" w:pos="0"/>
              </w:tabs>
              <w:spacing w:line="276" w:lineRule="auto"/>
              <w:ind w:left="105"/>
              <w:rPr>
                <w:sz w:val="20"/>
                <w:szCs w:val="20"/>
                <w:lang w:val="mn-MN"/>
              </w:rPr>
            </w:pPr>
            <w:r w:rsidRPr="00731F96">
              <w:rPr>
                <w:sz w:val="20"/>
                <w:szCs w:val="20"/>
                <w:lang w:val="mn-MN"/>
              </w:rPr>
              <w:t>128-255</w:t>
            </w:r>
          </w:p>
        </w:tc>
      </w:tr>
    </w:tbl>
    <w:p w:rsidR="00D5601E" w:rsidRDefault="00D5601E" w:rsidP="00D5601E">
      <w:pPr>
        <w:ind w:left="0" w:firstLine="0"/>
      </w:pPr>
    </w:p>
    <w:tbl>
      <w:tblPr>
        <w:tblStyle w:val="TableGrid"/>
        <w:tblW w:w="0" w:type="auto"/>
        <w:tblLook w:val="04A0" w:firstRow="1" w:lastRow="0" w:firstColumn="1" w:lastColumn="0" w:noHBand="0" w:noVBand="1"/>
      </w:tblPr>
      <w:tblGrid>
        <w:gridCol w:w="4672"/>
        <w:gridCol w:w="4672"/>
      </w:tblGrid>
      <w:tr w:rsidR="00EE53EE" w:rsidTr="00EE53EE">
        <w:tc>
          <w:tcPr>
            <w:tcW w:w="4672" w:type="dxa"/>
          </w:tcPr>
          <w:p w:rsidR="00EE53EE" w:rsidRPr="00EE53EE" w:rsidRDefault="00EE53EE" w:rsidP="00EE53EE">
            <w:pPr>
              <w:tabs>
                <w:tab w:val="left" w:pos="0"/>
              </w:tabs>
              <w:ind w:left="0" w:firstLine="0"/>
              <w:rPr>
                <w:rFonts w:eastAsia="Calibri"/>
                <w:bCs/>
                <w:szCs w:val="22"/>
              </w:rPr>
            </w:pPr>
            <w:r w:rsidRPr="00EE53EE">
              <w:rPr>
                <w:rFonts w:eastAsia="Calibri"/>
                <w:bCs/>
                <w:szCs w:val="22"/>
              </w:rPr>
              <w:t>IEC / TR 61850-90-5 нь дараахь нэмэлт ачаалал тодорхойлогчийг томилно.Энэ тодорхойлогч161 (аравтын утга)байх ёстой. Энэ тодорхойлогчийгачааллын өргөтгөлийг тодорхойлдог октетуудын дарааллыг тодорхойлоход ашиглана. Энэхүү өргөтгөл механизм нь бусад протокол эсвэл байгууллагуудад IEC / TR 61850-90-5 ачааллын өргөтгөлийг ашиглах боломжийг олгох зорилготой юм. Ачаалал өргөтгөх ерөнхий дарааллыг Зураг 29-т үзүүлэв.</w:t>
            </w:r>
          </w:p>
          <w:p w:rsidR="00EE53EE" w:rsidRDefault="00EE53EE" w:rsidP="00B93EC0">
            <w:pPr>
              <w:tabs>
                <w:tab w:val="left" w:pos="0"/>
              </w:tabs>
              <w:ind w:left="0" w:firstLine="0"/>
            </w:pPr>
          </w:p>
        </w:tc>
        <w:tc>
          <w:tcPr>
            <w:tcW w:w="4672" w:type="dxa"/>
          </w:tcPr>
          <w:p w:rsidR="00EE53EE" w:rsidRPr="00EE53EE" w:rsidRDefault="00EE53EE" w:rsidP="00EE53EE">
            <w:pPr>
              <w:tabs>
                <w:tab w:val="left" w:pos="0"/>
              </w:tabs>
              <w:ind w:left="0" w:firstLine="0"/>
              <w:rPr>
                <w:rFonts w:eastAsia="Calibri"/>
                <w:bCs/>
                <w:szCs w:val="22"/>
              </w:rPr>
            </w:pPr>
            <w:r w:rsidRPr="00EE53EE">
              <w:rPr>
                <w:rFonts w:eastAsia="Calibri"/>
                <w:bCs/>
                <w:szCs w:val="22"/>
              </w:rPr>
              <w:t xml:space="preserve">IEC/TR 61850-90-5 shall assign the following additional payload identifier. This identifier shall be 161 (decimal).This identifier shall be used to identify a sequence of octets that define a payload extension. This extension mechanism is designed to allow other protocols or  organizations to make use of the IEC/TR 61850-90-5 payload extension. The general  sequence for the payload extension is shown in </w:t>
            </w:r>
            <w:hyperlink w:anchor="_bookmark55" w:history="1">
              <w:r w:rsidRPr="00EE53EE">
                <w:rPr>
                  <w:rFonts w:eastAsia="Calibri"/>
                  <w:bCs/>
                  <w:szCs w:val="22"/>
                </w:rPr>
                <w:t>Figure 29.</w:t>
              </w:r>
            </w:hyperlink>
          </w:p>
          <w:p w:rsidR="00EE53EE" w:rsidRPr="00EE53EE" w:rsidRDefault="00EE53EE" w:rsidP="00EE53EE">
            <w:pPr>
              <w:tabs>
                <w:tab w:val="left" w:pos="0"/>
              </w:tabs>
              <w:ind w:left="0" w:firstLine="0"/>
              <w:rPr>
                <w:rFonts w:eastAsia="Calibri"/>
                <w:bCs/>
                <w:szCs w:val="22"/>
              </w:rPr>
            </w:pPr>
          </w:p>
          <w:p w:rsidR="00EE53EE" w:rsidRDefault="00EE53EE" w:rsidP="00B93EC0">
            <w:pPr>
              <w:tabs>
                <w:tab w:val="left" w:pos="0"/>
              </w:tabs>
              <w:ind w:left="0" w:firstLine="0"/>
            </w:pPr>
          </w:p>
        </w:tc>
      </w:tr>
    </w:tbl>
    <w:p w:rsidR="00EE53EE" w:rsidRDefault="00EE53EE" w:rsidP="00B93EC0">
      <w:pPr>
        <w:ind w:left="0" w:firstLine="0"/>
      </w:pPr>
    </w:p>
    <w:tbl>
      <w:tblPr>
        <w:tblStyle w:val="TableGrid"/>
        <w:tblW w:w="0" w:type="auto"/>
        <w:tblLook w:val="04A0" w:firstRow="1" w:lastRow="0" w:firstColumn="1" w:lastColumn="0" w:noHBand="0" w:noVBand="1"/>
      </w:tblPr>
      <w:tblGrid>
        <w:gridCol w:w="3114"/>
        <w:gridCol w:w="3115"/>
        <w:gridCol w:w="3115"/>
      </w:tblGrid>
      <w:tr w:rsidR="00B93EC0" w:rsidTr="00B93EC0">
        <w:tc>
          <w:tcPr>
            <w:tcW w:w="3114" w:type="dxa"/>
          </w:tcPr>
          <w:p w:rsidR="00B93EC0" w:rsidRPr="00731F96" w:rsidRDefault="00B93EC0" w:rsidP="00B93EC0">
            <w:pPr>
              <w:pStyle w:val="TableParagraph"/>
              <w:tabs>
                <w:tab w:val="left" w:pos="0"/>
              </w:tabs>
              <w:spacing w:before="53" w:line="276" w:lineRule="auto"/>
              <w:ind w:left="382" w:right="375"/>
              <w:jc w:val="center"/>
              <w:rPr>
                <w:b/>
                <w:sz w:val="20"/>
                <w:szCs w:val="20"/>
                <w:lang w:val="mn-MN"/>
              </w:rPr>
            </w:pPr>
            <w:r w:rsidRPr="00731F96">
              <w:rPr>
                <w:b/>
                <w:sz w:val="20"/>
                <w:szCs w:val="20"/>
                <w:lang w:val="mn-MN"/>
              </w:rPr>
              <w:t xml:space="preserve">Октет </w:t>
            </w:r>
          </w:p>
        </w:tc>
        <w:tc>
          <w:tcPr>
            <w:tcW w:w="3115" w:type="dxa"/>
          </w:tcPr>
          <w:p w:rsidR="00B93EC0" w:rsidRPr="00EF2D2B" w:rsidRDefault="00B93EC0" w:rsidP="00B93EC0">
            <w:pPr>
              <w:pStyle w:val="TableParagraph"/>
              <w:tabs>
                <w:tab w:val="left" w:pos="0"/>
              </w:tabs>
              <w:spacing w:before="53" w:line="276" w:lineRule="auto"/>
              <w:ind w:left="472"/>
              <w:rPr>
                <w:b/>
                <w:sz w:val="20"/>
                <w:szCs w:val="20"/>
                <w:lang w:val="mn-MN"/>
              </w:rPr>
            </w:pPr>
            <w:r w:rsidRPr="00EF2D2B">
              <w:rPr>
                <w:b/>
                <w:sz w:val="20"/>
                <w:szCs w:val="20"/>
                <w:lang w:val="mn-MN"/>
              </w:rPr>
              <w:t>Тодорхойлолт/утга</w:t>
            </w:r>
          </w:p>
        </w:tc>
        <w:tc>
          <w:tcPr>
            <w:tcW w:w="3115" w:type="dxa"/>
          </w:tcPr>
          <w:p w:rsidR="00B93EC0" w:rsidRPr="00EF2D2B" w:rsidRDefault="00B93EC0" w:rsidP="00B93EC0">
            <w:pPr>
              <w:pStyle w:val="TableParagraph"/>
              <w:tabs>
                <w:tab w:val="left" w:pos="0"/>
              </w:tabs>
              <w:spacing w:before="53" w:line="276" w:lineRule="auto"/>
              <w:ind w:left="650"/>
              <w:rPr>
                <w:b/>
                <w:sz w:val="20"/>
                <w:szCs w:val="20"/>
                <w:lang w:val="mn-MN"/>
              </w:rPr>
            </w:pPr>
            <w:r w:rsidRPr="00EF2D2B">
              <w:rPr>
                <w:b/>
                <w:sz w:val="20"/>
                <w:szCs w:val="20"/>
                <w:lang w:val="mn-MN"/>
              </w:rPr>
              <w:t>Тайлбар</w:t>
            </w: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0</w:t>
            </w:r>
          </w:p>
        </w:tc>
        <w:tc>
          <w:tcPr>
            <w:tcW w:w="3115" w:type="dxa"/>
          </w:tcPr>
          <w:p w:rsidR="00B93EC0" w:rsidRPr="00731F96" w:rsidRDefault="00B93EC0" w:rsidP="00B93EC0">
            <w:pPr>
              <w:pStyle w:val="TableParagraph"/>
              <w:tabs>
                <w:tab w:val="left" w:pos="0"/>
              </w:tabs>
              <w:spacing w:line="276" w:lineRule="auto"/>
              <w:ind w:left="107"/>
              <w:rPr>
                <w:sz w:val="20"/>
                <w:szCs w:val="20"/>
                <w:lang w:val="mn-MN"/>
              </w:rPr>
            </w:pPr>
            <w:r w:rsidRPr="00731F96">
              <w:rPr>
                <w:sz w:val="20"/>
                <w:szCs w:val="20"/>
                <w:lang w:val="mn-MN"/>
              </w:rPr>
              <w:t>161 decimal</w:t>
            </w:r>
          </w:p>
          <w:p w:rsidR="00B93EC0" w:rsidRPr="00EF2D2B" w:rsidRDefault="00B93EC0" w:rsidP="00B93EC0">
            <w:pPr>
              <w:pStyle w:val="TableParagraph"/>
              <w:tabs>
                <w:tab w:val="left" w:pos="0"/>
              </w:tabs>
              <w:spacing w:before="0" w:line="276" w:lineRule="auto"/>
              <w:ind w:left="107"/>
              <w:rPr>
                <w:sz w:val="20"/>
                <w:szCs w:val="20"/>
                <w:lang w:val="mn-MN"/>
              </w:rPr>
            </w:pPr>
            <w:r w:rsidRPr="00EF2D2B">
              <w:rPr>
                <w:sz w:val="20"/>
                <w:szCs w:val="20"/>
                <w:lang w:val="mn-MN"/>
              </w:rPr>
              <w:t>A1 hexadecimal</w:t>
            </w:r>
          </w:p>
        </w:tc>
        <w:tc>
          <w:tcPr>
            <w:tcW w:w="3115" w:type="dxa"/>
          </w:tcPr>
          <w:p w:rsidR="00B93EC0" w:rsidRPr="00EF2D2B" w:rsidRDefault="00B93EC0" w:rsidP="00B93EC0">
            <w:pPr>
              <w:pStyle w:val="TableParagraph"/>
              <w:tabs>
                <w:tab w:val="left" w:pos="0"/>
              </w:tabs>
              <w:spacing w:line="276" w:lineRule="auto"/>
              <w:rPr>
                <w:sz w:val="20"/>
                <w:szCs w:val="20"/>
                <w:lang w:val="mn-MN"/>
              </w:rPr>
            </w:pPr>
            <w:r w:rsidRPr="00EF2D2B">
              <w:rPr>
                <w:sz w:val="20"/>
                <w:szCs w:val="20"/>
                <w:lang w:val="mn-MN"/>
              </w:rPr>
              <w:t>Ачааллын өргөтгөл тодорхойлогч</w:t>
            </w: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1</w:t>
            </w:r>
          </w:p>
        </w:tc>
        <w:tc>
          <w:tcPr>
            <w:tcW w:w="3115" w:type="dxa"/>
          </w:tcPr>
          <w:p w:rsidR="00B93EC0" w:rsidRPr="00731F96" w:rsidRDefault="00B93EC0" w:rsidP="00B93EC0">
            <w:pPr>
              <w:pStyle w:val="TableParagraph"/>
              <w:tabs>
                <w:tab w:val="left" w:pos="0"/>
              </w:tabs>
              <w:spacing w:line="276" w:lineRule="auto"/>
              <w:ind w:left="107"/>
              <w:rPr>
                <w:sz w:val="20"/>
                <w:szCs w:val="20"/>
                <w:lang w:val="mn-MN"/>
              </w:rPr>
            </w:pPr>
            <w:r w:rsidRPr="00731F96">
              <w:rPr>
                <w:sz w:val="20"/>
                <w:szCs w:val="20"/>
                <w:lang w:val="mn-MN"/>
              </w:rPr>
              <w:t>Length of payload</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2</w:t>
            </w:r>
          </w:p>
        </w:tc>
        <w:tc>
          <w:tcPr>
            <w:tcW w:w="3115" w:type="dxa"/>
          </w:tcPr>
          <w:p w:rsidR="00B93EC0" w:rsidRPr="00731F96" w:rsidRDefault="00B93EC0" w:rsidP="00B93EC0">
            <w:pPr>
              <w:tabs>
                <w:tab w:val="left" w:pos="0"/>
              </w:tabs>
              <w:rPr>
                <w:sz w:val="20"/>
              </w:rPr>
            </w:pPr>
          </w:p>
        </w:tc>
        <w:tc>
          <w:tcPr>
            <w:tcW w:w="3115" w:type="dxa"/>
          </w:tcPr>
          <w:p w:rsidR="00B93EC0" w:rsidRPr="00EF2D2B" w:rsidRDefault="00B93EC0" w:rsidP="00B93EC0">
            <w:pPr>
              <w:tabs>
                <w:tab w:val="left" w:pos="0"/>
              </w:tabs>
              <w:rPr>
                <w:sz w:val="20"/>
              </w:rPr>
            </w:pP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3</w:t>
            </w:r>
          </w:p>
        </w:tc>
        <w:tc>
          <w:tcPr>
            <w:tcW w:w="3115" w:type="dxa"/>
          </w:tcPr>
          <w:p w:rsidR="00B93EC0" w:rsidRPr="00731F96" w:rsidRDefault="00B93EC0" w:rsidP="00B93EC0">
            <w:pPr>
              <w:pStyle w:val="TableParagraph"/>
              <w:tabs>
                <w:tab w:val="left" w:pos="0"/>
              </w:tabs>
              <w:spacing w:line="276" w:lineRule="auto"/>
              <w:ind w:left="107"/>
              <w:rPr>
                <w:sz w:val="20"/>
                <w:szCs w:val="20"/>
                <w:lang w:val="mn-MN"/>
              </w:rPr>
            </w:pPr>
            <w:r w:rsidRPr="00731F96">
              <w:rPr>
                <w:sz w:val="20"/>
                <w:szCs w:val="20"/>
                <w:lang w:val="mn-MN"/>
              </w:rPr>
              <w:t>80 (hexadecimal)</w:t>
            </w:r>
          </w:p>
        </w:tc>
        <w:tc>
          <w:tcPr>
            <w:tcW w:w="3115" w:type="dxa"/>
          </w:tcPr>
          <w:p w:rsidR="00B93EC0" w:rsidRPr="00EF2D2B" w:rsidRDefault="00B93EC0" w:rsidP="00B93EC0">
            <w:pPr>
              <w:pStyle w:val="TableParagraph"/>
              <w:tabs>
                <w:tab w:val="left" w:pos="0"/>
              </w:tabs>
              <w:spacing w:line="276" w:lineRule="auto"/>
              <w:ind w:right="398"/>
              <w:jc w:val="both"/>
              <w:rPr>
                <w:sz w:val="20"/>
                <w:szCs w:val="20"/>
                <w:lang w:val="mn-MN"/>
              </w:rPr>
            </w:pPr>
            <w:r w:rsidRPr="00EF2D2B">
              <w:rPr>
                <w:sz w:val="20"/>
                <w:szCs w:val="20"/>
                <w:lang w:val="mn-MN"/>
              </w:rPr>
              <w:t>Дараагийн талбар нь Обьект Тодорхойлогч гэдгийг зааж өгдөгхаяг</w:t>
            </w: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4</w:t>
            </w:r>
          </w:p>
        </w:tc>
        <w:tc>
          <w:tcPr>
            <w:tcW w:w="3115" w:type="dxa"/>
          </w:tcPr>
          <w:p w:rsidR="00B93EC0" w:rsidRPr="00731F96" w:rsidRDefault="00B93EC0" w:rsidP="00B93EC0">
            <w:pPr>
              <w:pStyle w:val="TableParagraph"/>
              <w:tabs>
                <w:tab w:val="left" w:pos="0"/>
              </w:tabs>
              <w:spacing w:line="276" w:lineRule="auto"/>
              <w:ind w:left="107"/>
              <w:rPr>
                <w:sz w:val="20"/>
                <w:szCs w:val="20"/>
                <w:lang w:val="mn-MN"/>
              </w:rPr>
            </w:pPr>
            <w:r w:rsidRPr="00731F96">
              <w:rPr>
                <w:sz w:val="20"/>
                <w:szCs w:val="20"/>
                <w:lang w:val="mn-MN"/>
              </w:rPr>
              <w:t>n</w:t>
            </w:r>
          </w:p>
        </w:tc>
        <w:tc>
          <w:tcPr>
            <w:tcW w:w="3115" w:type="dxa"/>
          </w:tcPr>
          <w:p w:rsidR="00B93EC0" w:rsidRPr="00EF2D2B" w:rsidRDefault="00B93EC0" w:rsidP="00B93EC0">
            <w:pPr>
              <w:pStyle w:val="TableParagraph"/>
              <w:tabs>
                <w:tab w:val="left" w:pos="0"/>
              </w:tabs>
              <w:spacing w:line="276" w:lineRule="auto"/>
              <w:rPr>
                <w:sz w:val="20"/>
                <w:szCs w:val="20"/>
                <w:lang w:val="mn-MN"/>
              </w:rPr>
            </w:pPr>
            <w:r w:rsidRPr="00EF2D2B">
              <w:rPr>
                <w:sz w:val="20"/>
                <w:szCs w:val="20"/>
                <w:lang w:val="mn-MN"/>
              </w:rPr>
              <w:t>Обьект Тодорхойлогчийн урт</w:t>
            </w: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5…5+n-1</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c>
          <w:tcPr>
            <w:tcW w:w="3115" w:type="dxa"/>
          </w:tcPr>
          <w:p w:rsidR="00B93EC0" w:rsidRPr="00EF2D2B" w:rsidRDefault="00B93EC0" w:rsidP="00B93EC0">
            <w:pPr>
              <w:pStyle w:val="TableParagraph"/>
              <w:tabs>
                <w:tab w:val="left" w:pos="0"/>
              </w:tabs>
              <w:spacing w:line="276" w:lineRule="auto"/>
              <w:rPr>
                <w:sz w:val="20"/>
                <w:szCs w:val="20"/>
                <w:lang w:val="mn-MN"/>
              </w:rPr>
            </w:pPr>
            <w:r w:rsidRPr="00EF2D2B">
              <w:rPr>
                <w:sz w:val="20"/>
                <w:szCs w:val="20"/>
                <w:lang w:val="mn-MN"/>
              </w:rPr>
              <w:t xml:space="preserve">ASN.1-т кодчилсон Объект тодорхойлогч утга </w:t>
            </w: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5+n</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c>
          <w:tcPr>
            <w:tcW w:w="3115" w:type="dxa"/>
            <w:vMerge w:val="restart"/>
          </w:tcPr>
          <w:p w:rsidR="00B93EC0" w:rsidRPr="00731F96" w:rsidRDefault="00B93EC0" w:rsidP="00B93EC0">
            <w:pPr>
              <w:pStyle w:val="TableParagraph"/>
              <w:tabs>
                <w:tab w:val="left" w:pos="0"/>
              </w:tabs>
              <w:spacing w:line="276" w:lineRule="auto"/>
              <w:rPr>
                <w:sz w:val="20"/>
                <w:szCs w:val="20"/>
                <w:lang w:val="mn-MN"/>
              </w:rPr>
            </w:pPr>
            <w:r w:rsidRPr="00EF2D2B">
              <w:rPr>
                <w:sz w:val="20"/>
                <w:szCs w:val="20"/>
                <w:lang w:val="mn-MN"/>
              </w:rPr>
              <w:t>Ачааллын урт</w:t>
            </w: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5+n+1</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c>
          <w:tcPr>
            <w:tcW w:w="3115" w:type="dxa"/>
            <w:vMerge/>
          </w:tcPr>
          <w:p w:rsidR="00B93EC0" w:rsidRPr="00EF2D2B" w:rsidRDefault="00B93EC0" w:rsidP="00B93EC0">
            <w:pPr>
              <w:tabs>
                <w:tab w:val="left" w:pos="0"/>
              </w:tabs>
              <w:rPr>
                <w:sz w:val="20"/>
              </w:rPr>
            </w:pPr>
          </w:p>
        </w:tc>
      </w:tr>
      <w:tr w:rsidR="00B93EC0"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5+n+2</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c>
          <w:tcPr>
            <w:tcW w:w="3115"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Ачааллын эхлэл</w:t>
            </w:r>
          </w:p>
        </w:tc>
      </w:tr>
    </w:tbl>
    <w:p w:rsidR="00B93EC0" w:rsidRDefault="00B93EC0" w:rsidP="00B93EC0">
      <w:pPr>
        <w:tabs>
          <w:tab w:val="left" w:pos="142"/>
        </w:tabs>
        <w:ind w:left="0" w:firstLine="0"/>
        <w:jc w:val="center"/>
        <w:rPr>
          <w:b/>
        </w:rPr>
      </w:pPr>
      <w:r w:rsidRPr="00731F96">
        <w:rPr>
          <w:b/>
        </w:rPr>
        <w:t>29</w:t>
      </w:r>
      <w:r>
        <w:rPr>
          <w:b/>
          <w:lang w:val="en-US"/>
        </w:rPr>
        <w:t>-</w:t>
      </w:r>
      <w:r>
        <w:rPr>
          <w:b/>
        </w:rPr>
        <w:t>р зураг</w:t>
      </w:r>
      <w:r w:rsidRPr="00731F96">
        <w:rPr>
          <w:b/>
        </w:rPr>
        <w:t xml:space="preserve"> – IEC / TR 61850-90-5 ачааллын өргөтгөлүүдийн ерөнхий формат</w:t>
      </w:r>
    </w:p>
    <w:p w:rsidR="00B93EC0" w:rsidRDefault="00B93EC0" w:rsidP="00B93EC0">
      <w:pPr>
        <w:tabs>
          <w:tab w:val="left" w:pos="142"/>
        </w:tabs>
        <w:ind w:left="0" w:firstLine="0"/>
        <w:jc w:val="center"/>
        <w:rPr>
          <w:b/>
        </w:rPr>
      </w:pPr>
    </w:p>
    <w:tbl>
      <w:tblPr>
        <w:tblStyle w:val="TableGrid"/>
        <w:tblW w:w="0" w:type="auto"/>
        <w:tblLook w:val="04A0" w:firstRow="1" w:lastRow="0" w:firstColumn="1" w:lastColumn="0" w:noHBand="0" w:noVBand="1"/>
      </w:tblPr>
      <w:tblGrid>
        <w:gridCol w:w="3114"/>
        <w:gridCol w:w="3115"/>
        <w:gridCol w:w="3115"/>
      </w:tblGrid>
      <w:tr w:rsidR="00B93EC0" w:rsidRPr="00EF2D2B" w:rsidTr="00B93EC0">
        <w:tc>
          <w:tcPr>
            <w:tcW w:w="3114" w:type="dxa"/>
          </w:tcPr>
          <w:p w:rsidR="00B93EC0" w:rsidRPr="00EF2D2B" w:rsidRDefault="00B93EC0" w:rsidP="00B93EC0">
            <w:pPr>
              <w:pStyle w:val="TableParagraph"/>
              <w:tabs>
                <w:tab w:val="left" w:pos="0"/>
              </w:tabs>
              <w:spacing w:before="53" w:line="276" w:lineRule="auto"/>
              <w:ind w:left="382" w:right="375"/>
              <w:jc w:val="center"/>
              <w:rPr>
                <w:b/>
                <w:sz w:val="20"/>
                <w:szCs w:val="20"/>
                <w:lang w:val="mn-MN"/>
              </w:rPr>
            </w:pPr>
            <w:r w:rsidRPr="00EF2D2B">
              <w:rPr>
                <w:b/>
                <w:sz w:val="20"/>
                <w:szCs w:val="20"/>
                <w:lang w:val="mn-MN"/>
              </w:rPr>
              <w:t>Octet</w:t>
            </w:r>
          </w:p>
        </w:tc>
        <w:tc>
          <w:tcPr>
            <w:tcW w:w="3115" w:type="dxa"/>
          </w:tcPr>
          <w:p w:rsidR="00B93EC0" w:rsidRPr="00EF2D2B" w:rsidRDefault="00B93EC0" w:rsidP="00B93EC0">
            <w:pPr>
              <w:pStyle w:val="TableParagraph"/>
              <w:tabs>
                <w:tab w:val="left" w:pos="0"/>
              </w:tabs>
              <w:spacing w:before="53" w:line="276" w:lineRule="auto"/>
              <w:ind w:left="472"/>
              <w:rPr>
                <w:b/>
                <w:sz w:val="20"/>
                <w:szCs w:val="20"/>
                <w:lang w:val="mn-MN"/>
              </w:rPr>
            </w:pPr>
            <w:r w:rsidRPr="00EF2D2B">
              <w:rPr>
                <w:b/>
                <w:sz w:val="20"/>
                <w:szCs w:val="20"/>
                <w:lang w:val="mn-MN"/>
              </w:rPr>
              <w:t>Definition/value</w:t>
            </w:r>
          </w:p>
        </w:tc>
        <w:tc>
          <w:tcPr>
            <w:tcW w:w="3115" w:type="dxa"/>
          </w:tcPr>
          <w:p w:rsidR="00B93EC0" w:rsidRPr="00EF2D2B" w:rsidRDefault="00B93EC0" w:rsidP="00B93EC0">
            <w:pPr>
              <w:pStyle w:val="TableParagraph"/>
              <w:tabs>
                <w:tab w:val="left" w:pos="0"/>
              </w:tabs>
              <w:spacing w:before="53" w:line="276" w:lineRule="auto"/>
              <w:ind w:left="650"/>
              <w:rPr>
                <w:b/>
                <w:sz w:val="20"/>
                <w:szCs w:val="20"/>
                <w:lang w:val="mn-MN"/>
              </w:rPr>
            </w:pPr>
            <w:r w:rsidRPr="00EF2D2B">
              <w:rPr>
                <w:b/>
                <w:sz w:val="20"/>
                <w:szCs w:val="20"/>
                <w:lang w:val="mn-MN"/>
              </w:rPr>
              <w:t>Description</w:t>
            </w:r>
          </w:p>
        </w:tc>
      </w:tr>
      <w:tr w:rsidR="00B93EC0" w:rsidRPr="00EF2D2B"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0</w:t>
            </w:r>
          </w:p>
        </w:tc>
        <w:tc>
          <w:tcPr>
            <w:tcW w:w="3115" w:type="dxa"/>
          </w:tcPr>
          <w:p w:rsidR="00B93EC0" w:rsidRPr="00731F96" w:rsidRDefault="00B93EC0" w:rsidP="00B93EC0">
            <w:pPr>
              <w:pStyle w:val="TableParagraph"/>
              <w:tabs>
                <w:tab w:val="left" w:pos="0"/>
              </w:tabs>
              <w:spacing w:line="276" w:lineRule="auto"/>
              <w:ind w:left="107"/>
              <w:rPr>
                <w:sz w:val="20"/>
                <w:szCs w:val="20"/>
                <w:lang w:val="mn-MN"/>
              </w:rPr>
            </w:pPr>
            <w:r w:rsidRPr="00731F96">
              <w:rPr>
                <w:sz w:val="20"/>
                <w:szCs w:val="20"/>
                <w:lang w:val="mn-MN"/>
              </w:rPr>
              <w:t>161 decimal</w:t>
            </w:r>
          </w:p>
          <w:p w:rsidR="00B93EC0" w:rsidRPr="00EF2D2B" w:rsidRDefault="00B93EC0" w:rsidP="00B93EC0">
            <w:pPr>
              <w:pStyle w:val="TableParagraph"/>
              <w:tabs>
                <w:tab w:val="left" w:pos="0"/>
              </w:tabs>
              <w:spacing w:before="0" w:line="276" w:lineRule="auto"/>
              <w:ind w:left="107"/>
              <w:rPr>
                <w:sz w:val="20"/>
                <w:szCs w:val="20"/>
                <w:lang w:val="mn-MN"/>
              </w:rPr>
            </w:pPr>
            <w:r w:rsidRPr="00EF2D2B">
              <w:rPr>
                <w:sz w:val="20"/>
                <w:szCs w:val="20"/>
                <w:lang w:val="mn-MN"/>
              </w:rPr>
              <w:t>A1 hexadecimal</w:t>
            </w:r>
          </w:p>
        </w:tc>
        <w:tc>
          <w:tcPr>
            <w:tcW w:w="3115"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Identifier for payload extension.</w:t>
            </w:r>
          </w:p>
        </w:tc>
      </w:tr>
      <w:tr w:rsidR="00B93EC0" w:rsidRPr="00D33687"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1</w:t>
            </w:r>
          </w:p>
        </w:tc>
        <w:tc>
          <w:tcPr>
            <w:tcW w:w="3115" w:type="dxa"/>
          </w:tcPr>
          <w:p w:rsidR="00B93EC0" w:rsidRPr="00731F96" w:rsidRDefault="00B93EC0" w:rsidP="00B93EC0">
            <w:pPr>
              <w:pStyle w:val="TableParagraph"/>
              <w:tabs>
                <w:tab w:val="left" w:pos="0"/>
              </w:tabs>
              <w:spacing w:line="276" w:lineRule="auto"/>
              <w:ind w:left="107"/>
              <w:rPr>
                <w:sz w:val="20"/>
                <w:szCs w:val="20"/>
                <w:lang w:val="mn-MN"/>
              </w:rPr>
            </w:pPr>
            <w:r w:rsidRPr="00731F96">
              <w:rPr>
                <w:sz w:val="20"/>
                <w:szCs w:val="20"/>
                <w:lang w:val="mn-MN"/>
              </w:rPr>
              <w:t>Length of payload</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r>
      <w:tr w:rsidR="00B93EC0" w:rsidRPr="00EF2D2B"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2</w:t>
            </w:r>
          </w:p>
        </w:tc>
        <w:tc>
          <w:tcPr>
            <w:tcW w:w="3115" w:type="dxa"/>
          </w:tcPr>
          <w:p w:rsidR="00B93EC0" w:rsidRPr="00731F96" w:rsidRDefault="00B93EC0" w:rsidP="00B93EC0">
            <w:pPr>
              <w:tabs>
                <w:tab w:val="left" w:pos="0"/>
              </w:tabs>
              <w:rPr>
                <w:sz w:val="20"/>
              </w:rPr>
            </w:pPr>
          </w:p>
        </w:tc>
        <w:tc>
          <w:tcPr>
            <w:tcW w:w="3115" w:type="dxa"/>
          </w:tcPr>
          <w:p w:rsidR="00B93EC0" w:rsidRPr="00EF2D2B" w:rsidRDefault="00B93EC0" w:rsidP="00B93EC0">
            <w:pPr>
              <w:tabs>
                <w:tab w:val="left" w:pos="0"/>
              </w:tabs>
              <w:rPr>
                <w:sz w:val="20"/>
              </w:rPr>
            </w:pPr>
          </w:p>
        </w:tc>
      </w:tr>
      <w:tr w:rsidR="00B93EC0" w:rsidRPr="00EF2D2B"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3</w:t>
            </w:r>
          </w:p>
        </w:tc>
        <w:tc>
          <w:tcPr>
            <w:tcW w:w="3115" w:type="dxa"/>
          </w:tcPr>
          <w:p w:rsidR="00B93EC0" w:rsidRPr="00731F96" w:rsidRDefault="00B93EC0" w:rsidP="00B93EC0">
            <w:pPr>
              <w:pStyle w:val="TableParagraph"/>
              <w:tabs>
                <w:tab w:val="left" w:pos="0"/>
              </w:tabs>
              <w:spacing w:line="276" w:lineRule="auto"/>
              <w:ind w:left="107"/>
              <w:rPr>
                <w:sz w:val="20"/>
                <w:szCs w:val="20"/>
                <w:lang w:val="mn-MN"/>
              </w:rPr>
            </w:pPr>
            <w:r w:rsidRPr="00731F96">
              <w:rPr>
                <w:sz w:val="20"/>
                <w:szCs w:val="20"/>
                <w:lang w:val="mn-MN"/>
              </w:rPr>
              <w:t>80 (hexadecimal)</w:t>
            </w:r>
          </w:p>
        </w:tc>
        <w:tc>
          <w:tcPr>
            <w:tcW w:w="3115" w:type="dxa"/>
          </w:tcPr>
          <w:p w:rsidR="00B93EC0" w:rsidRPr="00EF2D2B" w:rsidRDefault="00B93EC0" w:rsidP="00B93EC0">
            <w:pPr>
              <w:pStyle w:val="TableParagraph"/>
              <w:tabs>
                <w:tab w:val="left" w:pos="0"/>
              </w:tabs>
              <w:spacing w:line="276" w:lineRule="auto"/>
              <w:ind w:left="107" w:right="398"/>
              <w:jc w:val="both"/>
              <w:rPr>
                <w:sz w:val="20"/>
                <w:szCs w:val="20"/>
                <w:lang w:val="mn-MN"/>
              </w:rPr>
            </w:pPr>
            <w:r w:rsidRPr="00EF2D2B">
              <w:rPr>
                <w:sz w:val="20"/>
                <w:szCs w:val="20"/>
                <w:lang w:val="mn-MN"/>
              </w:rPr>
              <w:t>Tag indicating that the next field is an Object Identifier</w:t>
            </w:r>
          </w:p>
        </w:tc>
      </w:tr>
      <w:tr w:rsidR="00B93EC0" w:rsidRPr="00EF2D2B"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4</w:t>
            </w:r>
          </w:p>
        </w:tc>
        <w:tc>
          <w:tcPr>
            <w:tcW w:w="3115" w:type="dxa"/>
          </w:tcPr>
          <w:p w:rsidR="00B93EC0" w:rsidRPr="00731F96" w:rsidRDefault="00B93EC0" w:rsidP="00B93EC0">
            <w:pPr>
              <w:pStyle w:val="TableParagraph"/>
              <w:tabs>
                <w:tab w:val="left" w:pos="0"/>
              </w:tabs>
              <w:spacing w:line="276" w:lineRule="auto"/>
              <w:ind w:left="107"/>
              <w:rPr>
                <w:sz w:val="20"/>
                <w:szCs w:val="20"/>
                <w:lang w:val="mn-MN"/>
              </w:rPr>
            </w:pPr>
            <w:r w:rsidRPr="00731F96">
              <w:rPr>
                <w:sz w:val="20"/>
                <w:szCs w:val="20"/>
                <w:lang w:val="mn-MN"/>
              </w:rPr>
              <w:t>n</w:t>
            </w:r>
          </w:p>
        </w:tc>
        <w:tc>
          <w:tcPr>
            <w:tcW w:w="3115"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Length of Object Identifier</w:t>
            </w:r>
          </w:p>
        </w:tc>
      </w:tr>
      <w:tr w:rsidR="00B93EC0" w:rsidRPr="00EF2D2B"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5…5+n-1</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c>
          <w:tcPr>
            <w:tcW w:w="3115"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Object Identifier Value encoded per ASN.1</w:t>
            </w:r>
          </w:p>
        </w:tc>
      </w:tr>
      <w:tr w:rsidR="00B93EC0" w:rsidRPr="00731F96"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5+n</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c>
          <w:tcPr>
            <w:tcW w:w="3115" w:type="dxa"/>
            <w:vMerge w:val="restart"/>
          </w:tcPr>
          <w:p w:rsidR="00B93EC0" w:rsidRPr="00731F96" w:rsidRDefault="00B93EC0" w:rsidP="00B93EC0">
            <w:pPr>
              <w:pStyle w:val="TableParagraph"/>
              <w:tabs>
                <w:tab w:val="left" w:pos="0"/>
              </w:tabs>
              <w:spacing w:line="276" w:lineRule="auto"/>
              <w:rPr>
                <w:sz w:val="20"/>
                <w:szCs w:val="20"/>
                <w:lang w:val="mn-MN"/>
              </w:rPr>
            </w:pPr>
            <w:r w:rsidRPr="00B93EC0">
              <w:rPr>
                <w:sz w:val="20"/>
                <w:szCs w:val="20"/>
                <w:lang w:val="mn-MN"/>
              </w:rPr>
              <w:t>Length of payload</w:t>
            </w:r>
          </w:p>
        </w:tc>
      </w:tr>
      <w:tr w:rsidR="00B93EC0" w:rsidRPr="00EF2D2B"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5+n+1</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c>
          <w:tcPr>
            <w:tcW w:w="3115" w:type="dxa"/>
            <w:vMerge/>
          </w:tcPr>
          <w:p w:rsidR="00B93EC0" w:rsidRPr="00EF2D2B" w:rsidRDefault="00B93EC0" w:rsidP="00B93EC0">
            <w:pPr>
              <w:tabs>
                <w:tab w:val="left" w:pos="0"/>
              </w:tabs>
              <w:rPr>
                <w:sz w:val="20"/>
              </w:rPr>
            </w:pPr>
          </w:p>
        </w:tc>
      </w:tr>
      <w:tr w:rsidR="00B93EC0" w:rsidRPr="00EF2D2B" w:rsidTr="00B93EC0">
        <w:tc>
          <w:tcPr>
            <w:tcW w:w="3114" w:type="dxa"/>
          </w:tcPr>
          <w:p w:rsidR="00B93EC0" w:rsidRPr="00EF2D2B" w:rsidRDefault="00B93EC0" w:rsidP="00B93EC0">
            <w:pPr>
              <w:pStyle w:val="TableParagraph"/>
              <w:tabs>
                <w:tab w:val="left" w:pos="0"/>
              </w:tabs>
              <w:spacing w:line="276" w:lineRule="auto"/>
              <w:ind w:left="107"/>
              <w:rPr>
                <w:sz w:val="20"/>
                <w:szCs w:val="20"/>
                <w:lang w:val="mn-MN"/>
              </w:rPr>
            </w:pPr>
            <w:r w:rsidRPr="00EF2D2B">
              <w:rPr>
                <w:sz w:val="20"/>
                <w:szCs w:val="20"/>
                <w:lang w:val="mn-MN"/>
              </w:rPr>
              <w:t>5+n+2</w:t>
            </w:r>
          </w:p>
        </w:tc>
        <w:tc>
          <w:tcPr>
            <w:tcW w:w="3115" w:type="dxa"/>
          </w:tcPr>
          <w:p w:rsidR="00B93EC0" w:rsidRPr="00D33687" w:rsidRDefault="00B93EC0" w:rsidP="00B93EC0">
            <w:pPr>
              <w:pStyle w:val="TableParagraph"/>
              <w:tabs>
                <w:tab w:val="left" w:pos="0"/>
              </w:tabs>
              <w:spacing w:before="0" w:line="276" w:lineRule="auto"/>
              <w:rPr>
                <w:sz w:val="20"/>
                <w:szCs w:val="20"/>
                <w:lang w:val="mn-MN"/>
              </w:rPr>
            </w:pPr>
          </w:p>
        </w:tc>
        <w:tc>
          <w:tcPr>
            <w:tcW w:w="3115" w:type="dxa"/>
          </w:tcPr>
          <w:p w:rsidR="00B93EC0" w:rsidRPr="00EF2D2B" w:rsidRDefault="00B93EC0" w:rsidP="00B93EC0">
            <w:pPr>
              <w:pStyle w:val="TableParagraph"/>
              <w:tabs>
                <w:tab w:val="left" w:pos="0"/>
              </w:tabs>
              <w:spacing w:line="276" w:lineRule="auto"/>
              <w:ind w:left="107"/>
              <w:rPr>
                <w:sz w:val="20"/>
                <w:szCs w:val="20"/>
                <w:lang w:val="mn-MN"/>
              </w:rPr>
            </w:pPr>
            <w:r w:rsidRPr="00B93EC0">
              <w:rPr>
                <w:sz w:val="20"/>
                <w:szCs w:val="20"/>
                <w:lang w:val="mn-MN"/>
              </w:rPr>
              <w:t>Start of Payload</w:t>
            </w:r>
          </w:p>
        </w:tc>
      </w:tr>
    </w:tbl>
    <w:p w:rsidR="00B93EC0" w:rsidRPr="00731F96" w:rsidRDefault="00B93EC0" w:rsidP="00B93EC0">
      <w:pPr>
        <w:tabs>
          <w:tab w:val="left" w:pos="142"/>
        </w:tabs>
        <w:ind w:left="0" w:firstLine="0"/>
        <w:jc w:val="center"/>
        <w:rPr>
          <w:b/>
        </w:rPr>
      </w:pPr>
      <w:r w:rsidRPr="00731F96">
        <w:rPr>
          <w:b/>
        </w:rPr>
        <w:t>Figure 29 – General format for IEC/TR 61850-90-5 payload extensions</w:t>
      </w:r>
    </w:p>
    <w:p w:rsidR="00B93EC0" w:rsidRDefault="00B93EC0" w:rsidP="00B93EC0">
      <w:pPr>
        <w:ind w:left="0" w:firstLine="0"/>
      </w:pPr>
    </w:p>
    <w:tbl>
      <w:tblPr>
        <w:tblStyle w:val="TableGrid"/>
        <w:tblW w:w="0" w:type="auto"/>
        <w:tblLook w:val="04A0" w:firstRow="1" w:lastRow="0" w:firstColumn="1" w:lastColumn="0" w:noHBand="0" w:noVBand="1"/>
      </w:tblPr>
      <w:tblGrid>
        <w:gridCol w:w="4672"/>
        <w:gridCol w:w="4672"/>
      </w:tblGrid>
      <w:tr w:rsidR="00B93EC0" w:rsidTr="00B93EC0">
        <w:tc>
          <w:tcPr>
            <w:tcW w:w="4672" w:type="dxa"/>
          </w:tcPr>
          <w:p w:rsidR="00B93EC0" w:rsidRPr="00EE53EE" w:rsidRDefault="00B93EC0" w:rsidP="00B93EC0">
            <w:pPr>
              <w:tabs>
                <w:tab w:val="left" w:pos="0"/>
              </w:tabs>
              <w:ind w:left="0" w:firstLine="0"/>
              <w:rPr>
                <w:rFonts w:eastAsia="Calibri"/>
                <w:bCs/>
                <w:szCs w:val="22"/>
              </w:rPr>
            </w:pPr>
            <w:r w:rsidRPr="00EE53EE">
              <w:rPr>
                <w:rFonts w:eastAsia="Calibri"/>
                <w:bCs/>
                <w:szCs w:val="22"/>
              </w:rPr>
              <w:t>Ерөнхий форматын бүрдэл нь:</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Ачааллын өргөтгөл тодорхойлогч. Энэ нь 161 аравтын тооллын системд.</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Ачааллын өргөтгөлийн урт:Энэ нь хоёр (2) октет утга байх ёстой. Хамгийн их ач холбогдолтой байт нь октет тоо 1 байна. Утга нь баталгаажуулагдаагүй бүхэл тоо байх ёстой.</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 xml:space="preserve">Обьект Тодорхойлогч Хаяг: Энэ октет нь 80 арван зургаатын байх ёстой бөгөөд дараах октетууд нь ASN.1 </w:t>
            </w:r>
            <w:r w:rsidRPr="00EE53EE">
              <w:rPr>
                <w:rFonts w:eastAsia="Calibri"/>
                <w:bCs/>
                <w:szCs w:val="22"/>
              </w:rPr>
              <w:lastRenderedPageBreak/>
              <w:t>кодчилсон Объект Тодорхойлогчдын урт ба утгыг агуулж байгааг илэрхийлэхэд ашиглагдана.</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Обьект Тодорхойлогчийн урт: Энэ урт нь баталгаажуулагдаагүй бүхэл тоон утга байх ёстой бөгөөд уртыг дагах ASN.1 кодчилсон Объект тодорхойлогч октетуудын тоог тодорхойлно.</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Объект Тодорхойлогч: Энэ багц октет нь ASN.1 кодчилсон ObjectIdentifier-ыг төлөөлдөг. Тодорхойлогчын утга нь дараах ачааллыг тодорхойлдог. Энэ нь ObjectIdentifier ашигласнаар бусад байгууллага буюу стандартыг энэхүү ачааллын өргөтгөл процессыг тодорхойлолтын зөрчилгүйгээр ашиглах боломжийг олгодог.</w:t>
            </w:r>
          </w:p>
          <w:p w:rsidR="00B93EC0" w:rsidRPr="00EE53EE" w:rsidRDefault="00B93EC0" w:rsidP="00B93EC0">
            <w:pPr>
              <w:tabs>
                <w:tab w:val="left" w:pos="0"/>
              </w:tabs>
              <w:ind w:left="0" w:firstLine="0"/>
              <w:rPr>
                <w:rFonts w:eastAsia="Calibri"/>
                <w:bCs/>
                <w:szCs w:val="22"/>
              </w:rPr>
            </w:pPr>
            <w:r w:rsidRPr="00EE53EE">
              <w:rPr>
                <w:rFonts w:eastAsia="Calibri"/>
                <w:bCs/>
                <w:szCs w:val="22"/>
              </w:rPr>
              <w:t>IEC/TR 61850-90-5-ийн ашигладаг ObjectIdentifer утгыг Хүснэгт 12-д тодорхойлов.</w:t>
            </w:r>
          </w:p>
          <w:p w:rsidR="00B93EC0" w:rsidRDefault="00B93EC0" w:rsidP="00B93EC0">
            <w:pPr>
              <w:tabs>
                <w:tab w:val="left" w:pos="0"/>
              </w:tabs>
              <w:ind w:left="0" w:firstLine="0"/>
            </w:pPr>
            <w:r w:rsidRPr="00EE53EE">
              <w:rPr>
                <w:rFonts w:eastAsia="Calibri"/>
                <w:bCs/>
                <w:szCs w:val="22"/>
              </w:rPr>
              <w:t>Энэхүү баримт бичигт нийцсэн гэж мэдэгдсэн KDC-ууд нь заавал гэж тэмдэглэгдсэн таних тэмдгүүдийг (ж.нь м) дэмжинэ</w:t>
            </w:r>
          </w:p>
        </w:tc>
        <w:tc>
          <w:tcPr>
            <w:tcW w:w="4672" w:type="dxa"/>
          </w:tcPr>
          <w:p w:rsidR="00B93EC0" w:rsidRPr="00EE53EE" w:rsidRDefault="00B93EC0" w:rsidP="00B93EC0">
            <w:pPr>
              <w:tabs>
                <w:tab w:val="left" w:pos="0"/>
              </w:tabs>
              <w:ind w:left="0" w:firstLine="0"/>
              <w:rPr>
                <w:rFonts w:eastAsia="Calibri"/>
                <w:bCs/>
                <w:szCs w:val="22"/>
              </w:rPr>
            </w:pPr>
            <w:r w:rsidRPr="00EE53EE">
              <w:rPr>
                <w:rFonts w:eastAsia="Calibri"/>
                <w:bCs/>
                <w:szCs w:val="22"/>
              </w:rPr>
              <w:lastRenderedPageBreak/>
              <w:t>The general format consists of:</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Identifier of the payload extension. This shall be 161 decimal.</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Length of the payload extension: This shall be a two (2) octet value. The Most Significant Byte shall be octet number 1. The value shall be an unsigned integer.</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Object Identifer Tag: This octet shall be 80 hexadecimal and shall be used to indicate that the following octets contain the length and value of an ASN.1 encoded Object Identifier.</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lastRenderedPageBreak/>
              <w:t>Length of Object Identifer: This length shall be an unsigned  integer  value  and  shall specify the number of octets of the ASN.1 encoded ObjectIdentifier,  whose value follows the length.</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ObjectIdentifer: This set of octets represents an ASN.1 encoded ObjectIdentifier. The   value of the identifier defines the payload that follows. It is the use of this ObjectIdentifier that will allow other organizations or standards to utilize this payload extension process without definition collision.</w:t>
            </w:r>
          </w:p>
          <w:p w:rsidR="00B93EC0" w:rsidRPr="00EE53EE" w:rsidRDefault="00B93EC0" w:rsidP="00472036">
            <w:pPr>
              <w:pStyle w:val="ListParagraph"/>
              <w:numPr>
                <w:ilvl w:val="0"/>
                <w:numId w:val="25"/>
              </w:numPr>
              <w:tabs>
                <w:tab w:val="left" w:pos="0"/>
              </w:tabs>
              <w:spacing w:after="0"/>
              <w:ind w:left="0" w:firstLine="0"/>
              <w:rPr>
                <w:rFonts w:eastAsia="Calibri"/>
                <w:bCs/>
                <w:szCs w:val="22"/>
              </w:rPr>
            </w:pPr>
            <w:r w:rsidRPr="00EE53EE">
              <w:rPr>
                <w:rFonts w:eastAsia="Calibri"/>
                <w:bCs/>
                <w:szCs w:val="22"/>
              </w:rPr>
              <w:t xml:space="preserve">The ObjectIdentifer values used by IEC/TR 61850-90-5 are defined in </w:t>
            </w:r>
            <w:hyperlink w:anchor="_bookmark56" w:history="1">
              <w:r w:rsidRPr="00EE53EE">
                <w:rPr>
                  <w:rFonts w:eastAsia="Calibri"/>
                  <w:bCs/>
                  <w:szCs w:val="22"/>
                </w:rPr>
                <w:t>Table 12.</w:t>
              </w:r>
            </w:hyperlink>
          </w:p>
          <w:p w:rsidR="00B93EC0" w:rsidRPr="00EE53EE" w:rsidRDefault="00B93EC0" w:rsidP="00B93EC0">
            <w:pPr>
              <w:tabs>
                <w:tab w:val="left" w:pos="0"/>
              </w:tabs>
              <w:ind w:left="0" w:firstLine="0"/>
              <w:rPr>
                <w:rFonts w:eastAsia="Calibri"/>
                <w:bCs/>
                <w:szCs w:val="22"/>
              </w:rPr>
            </w:pPr>
            <w:r w:rsidRPr="00EE53EE">
              <w:rPr>
                <w:rFonts w:eastAsia="Calibri"/>
                <w:bCs/>
                <w:szCs w:val="22"/>
              </w:rPr>
              <w:t>KDCs claiming conformance to this document shall support the identifiers that are marked as mandatory (e.g. m).</w:t>
            </w:r>
          </w:p>
          <w:p w:rsidR="00B93EC0" w:rsidRDefault="00B93EC0" w:rsidP="00F11C9C">
            <w:pPr>
              <w:ind w:left="0" w:firstLine="0"/>
              <w:jc w:val="center"/>
            </w:pPr>
          </w:p>
        </w:tc>
      </w:tr>
    </w:tbl>
    <w:p w:rsidR="00B93EC0" w:rsidRDefault="00B93EC0" w:rsidP="00F11C9C">
      <w:pPr>
        <w:ind w:left="0" w:firstLine="0"/>
        <w:jc w:val="center"/>
      </w:pPr>
    </w:p>
    <w:p w:rsidR="00B93EC0" w:rsidRPr="00B93EC0" w:rsidRDefault="00B93EC0" w:rsidP="00B93EC0">
      <w:pPr>
        <w:tabs>
          <w:tab w:val="left" w:pos="142"/>
        </w:tabs>
        <w:ind w:left="142"/>
        <w:jc w:val="center"/>
        <w:rPr>
          <w:b/>
        </w:rPr>
      </w:pPr>
      <w:r w:rsidRPr="00EF2D2B">
        <w:rPr>
          <w:b/>
        </w:rPr>
        <w:t>12</w:t>
      </w:r>
      <w:r>
        <w:rPr>
          <w:b/>
        </w:rPr>
        <w:t>-р хүснэгт</w:t>
      </w:r>
      <w:r w:rsidRPr="00EF2D2B">
        <w:rPr>
          <w:b/>
        </w:rPr>
        <w:t xml:space="preserve"> – IEC/TR 61850-90-5 ачааллын тодорхойлогч</w:t>
      </w:r>
    </w:p>
    <w:tbl>
      <w:tblPr>
        <w:tblStyle w:val="TableGrid"/>
        <w:tblW w:w="0" w:type="auto"/>
        <w:tblLook w:val="04A0" w:firstRow="1" w:lastRow="0" w:firstColumn="1" w:lastColumn="0" w:noHBand="0" w:noVBand="1"/>
      </w:tblPr>
      <w:tblGrid>
        <w:gridCol w:w="2829"/>
        <w:gridCol w:w="2756"/>
        <w:gridCol w:w="2986"/>
        <w:gridCol w:w="773"/>
      </w:tblGrid>
      <w:tr w:rsidR="00B93EC0" w:rsidTr="00B93EC0">
        <w:tc>
          <w:tcPr>
            <w:tcW w:w="2829" w:type="dxa"/>
          </w:tcPr>
          <w:p w:rsidR="00B93EC0" w:rsidRPr="00EF2D2B" w:rsidRDefault="00B93EC0" w:rsidP="00B93EC0">
            <w:pPr>
              <w:pStyle w:val="TableParagraph"/>
              <w:tabs>
                <w:tab w:val="left" w:pos="0"/>
              </w:tabs>
              <w:spacing w:before="53" w:line="276" w:lineRule="auto"/>
              <w:ind w:left="9"/>
              <w:jc w:val="center"/>
              <w:rPr>
                <w:b/>
                <w:sz w:val="20"/>
                <w:szCs w:val="20"/>
                <w:lang w:val="mn-MN"/>
              </w:rPr>
            </w:pPr>
            <w:r w:rsidRPr="00EF2D2B">
              <w:rPr>
                <w:b/>
                <w:sz w:val="20"/>
                <w:szCs w:val="20"/>
                <w:lang w:val="mn-MN"/>
              </w:rPr>
              <w:t>Обьект Тодорхойлогчийн нэр</w:t>
            </w:r>
          </w:p>
        </w:tc>
        <w:tc>
          <w:tcPr>
            <w:tcW w:w="2756" w:type="dxa"/>
          </w:tcPr>
          <w:p w:rsidR="00B93EC0" w:rsidRPr="00EF2D2B" w:rsidRDefault="00B93EC0" w:rsidP="00B93EC0">
            <w:pPr>
              <w:pStyle w:val="TableParagraph"/>
              <w:tabs>
                <w:tab w:val="left" w:pos="0"/>
              </w:tabs>
              <w:spacing w:before="53" w:line="276" w:lineRule="auto"/>
              <w:ind w:left="930"/>
              <w:rPr>
                <w:b/>
                <w:sz w:val="20"/>
                <w:szCs w:val="20"/>
                <w:lang w:val="mn-MN"/>
              </w:rPr>
            </w:pPr>
            <w:r w:rsidRPr="00EF2D2B">
              <w:rPr>
                <w:b/>
                <w:sz w:val="20"/>
                <w:szCs w:val="20"/>
                <w:lang w:val="mn-MN"/>
              </w:rPr>
              <w:t>Тайлбар</w:t>
            </w:r>
          </w:p>
        </w:tc>
        <w:tc>
          <w:tcPr>
            <w:tcW w:w="2986" w:type="dxa"/>
          </w:tcPr>
          <w:p w:rsidR="00B93EC0" w:rsidRPr="00EF2D2B" w:rsidRDefault="00B93EC0" w:rsidP="00B93EC0">
            <w:pPr>
              <w:pStyle w:val="TableParagraph"/>
              <w:tabs>
                <w:tab w:val="left" w:pos="0"/>
              </w:tabs>
              <w:spacing w:before="53" w:line="276" w:lineRule="auto"/>
              <w:ind w:left="1176" w:right="1177"/>
              <w:jc w:val="center"/>
              <w:rPr>
                <w:b/>
                <w:sz w:val="20"/>
                <w:szCs w:val="20"/>
                <w:lang w:val="mn-MN"/>
              </w:rPr>
            </w:pPr>
            <w:r w:rsidRPr="00EF2D2B">
              <w:rPr>
                <w:b/>
                <w:sz w:val="20"/>
                <w:szCs w:val="20"/>
                <w:lang w:val="mn-MN"/>
              </w:rPr>
              <w:t>Утга</w:t>
            </w:r>
          </w:p>
        </w:tc>
        <w:tc>
          <w:tcPr>
            <w:tcW w:w="773" w:type="dxa"/>
          </w:tcPr>
          <w:p w:rsidR="00B93EC0" w:rsidRPr="00EF2D2B" w:rsidRDefault="00B93EC0" w:rsidP="00B93EC0">
            <w:pPr>
              <w:pStyle w:val="TableParagraph"/>
              <w:tabs>
                <w:tab w:val="left" w:pos="0"/>
              </w:tabs>
              <w:spacing w:before="53" w:line="276" w:lineRule="auto"/>
              <w:ind w:left="135"/>
              <w:rPr>
                <w:b/>
                <w:sz w:val="20"/>
                <w:szCs w:val="20"/>
                <w:lang w:val="mn-MN"/>
              </w:rPr>
            </w:pPr>
            <w:r w:rsidRPr="00EF2D2B">
              <w:rPr>
                <w:b/>
                <w:sz w:val="20"/>
                <w:szCs w:val="20"/>
                <w:lang w:val="mn-MN"/>
              </w:rPr>
              <w:t>m/o</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61850_ETHERNET_GOOSE</w:t>
            </w:r>
          </w:p>
        </w:tc>
        <w:tc>
          <w:tcPr>
            <w:tcW w:w="275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Ачаалал нь тодорхой Этернэт хаяг руу илгээгдэж буй IEC / TS 62351-6 баталгаажуулалттай IEC 61850-8-1 GOOSE APDU-ийн түлхүүрийн хүсэлтийг илэрхийлнэ.</w:t>
            </w:r>
          </w:p>
        </w:tc>
        <w:tc>
          <w:tcPr>
            <w:tcW w:w="298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1.2.840.10070.61850.8.1.1</w:t>
            </w:r>
          </w:p>
        </w:tc>
        <w:tc>
          <w:tcPr>
            <w:tcW w:w="773"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o</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61850_UDP_ADDR_GOOSE</w:t>
            </w:r>
          </w:p>
        </w:tc>
        <w:tc>
          <w:tcPr>
            <w:tcW w:w="275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Ачаалал нь тодорхой IP хаягаар илгээгдэж буй IEC / TR 61850-90-5 GOOSE APDU-ийн түлхүүрийн хүсэлтийг илэрхийлнэ.</w:t>
            </w:r>
          </w:p>
        </w:tc>
        <w:tc>
          <w:tcPr>
            <w:tcW w:w="298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1.2.840.10070.61850.8.1.2</w:t>
            </w:r>
          </w:p>
        </w:tc>
        <w:tc>
          <w:tcPr>
            <w:tcW w:w="773"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m</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61850_UDP _Tunnel</w:t>
            </w:r>
          </w:p>
        </w:tc>
        <w:tc>
          <w:tcPr>
            <w:tcW w:w="275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Ачаалал нь тодорхой IP хаягаар илгээгдэж буй IEC / TR 61850-90-5 туннель APDU-ийн түлхүүрийн хүсэлтийг илэрхийлнэ.</w:t>
            </w:r>
          </w:p>
        </w:tc>
        <w:tc>
          <w:tcPr>
            <w:tcW w:w="298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1.2.840.10070.61850.8.1.4</w:t>
            </w:r>
          </w:p>
        </w:tc>
        <w:tc>
          <w:tcPr>
            <w:tcW w:w="773"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m</w:t>
            </w:r>
          </w:p>
        </w:tc>
      </w:tr>
      <w:tr w:rsidR="00B93EC0" w:rsidTr="00B93EC0">
        <w:tc>
          <w:tcPr>
            <w:tcW w:w="2829" w:type="dxa"/>
          </w:tcPr>
          <w:p w:rsidR="00B93EC0" w:rsidRPr="00731F96" w:rsidRDefault="00B93EC0" w:rsidP="00B93EC0">
            <w:pPr>
              <w:pStyle w:val="TableParagraph"/>
              <w:tabs>
                <w:tab w:val="left" w:pos="0"/>
              </w:tabs>
              <w:spacing w:before="53" w:line="276" w:lineRule="auto"/>
              <w:ind w:left="9"/>
              <w:jc w:val="center"/>
              <w:rPr>
                <w:b/>
                <w:sz w:val="20"/>
                <w:szCs w:val="20"/>
                <w:lang w:val="mn-MN"/>
              </w:rPr>
            </w:pPr>
            <w:r w:rsidRPr="00731F96">
              <w:rPr>
                <w:b/>
                <w:sz w:val="20"/>
                <w:szCs w:val="20"/>
                <w:lang w:val="mn-MN"/>
              </w:rPr>
              <w:t xml:space="preserve">Обьект Тодорхойлогчийн </w:t>
            </w:r>
            <w:r w:rsidRPr="00731F96">
              <w:rPr>
                <w:b/>
                <w:sz w:val="20"/>
                <w:szCs w:val="20"/>
                <w:lang w:val="mn-MN"/>
              </w:rPr>
              <w:lastRenderedPageBreak/>
              <w:t>нэр</w:t>
            </w:r>
          </w:p>
        </w:tc>
        <w:tc>
          <w:tcPr>
            <w:tcW w:w="2756" w:type="dxa"/>
          </w:tcPr>
          <w:p w:rsidR="00B93EC0" w:rsidRPr="00EF2D2B" w:rsidRDefault="00B93EC0" w:rsidP="00B93EC0">
            <w:pPr>
              <w:pStyle w:val="TableParagraph"/>
              <w:tabs>
                <w:tab w:val="left" w:pos="0"/>
              </w:tabs>
              <w:spacing w:before="53" w:line="276" w:lineRule="auto"/>
              <w:ind w:left="930"/>
              <w:rPr>
                <w:b/>
                <w:sz w:val="20"/>
                <w:szCs w:val="20"/>
                <w:lang w:val="mn-MN"/>
              </w:rPr>
            </w:pPr>
            <w:r w:rsidRPr="00EF2D2B">
              <w:rPr>
                <w:b/>
                <w:sz w:val="20"/>
                <w:szCs w:val="20"/>
                <w:lang w:val="mn-MN"/>
              </w:rPr>
              <w:lastRenderedPageBreak/>
              <w:t>Тайлбар</w:t>
            </w:r>
          </w:p>
        </w:tc>
        <w:tc>
          <w:tcPr>
            <w:tcW w:w="2986" w:type="dxa"/>
          </w:tcPr>
          <w:p w:rsidR="00B93EC0" w:rsidRPr="00EF2D2B" w:rsidRDefault="00B93EC0" w:rsidP="00B93EC0">
            <w:pPr>
              <w:pStyle w:val="TableParagraph"/>
              <w:tabs>
                <w:tab w:val="left" w:pos="0"/>
              </w:tabs>
              <w:spacing w:before="53" w:line="276" w:lineRule="auto"/>
              <w:ind w:left="1176" w:right="1177"/>
              <w:jc w:val="center"/>
              <w:rPr>
                <w:b/>
                <w:sz w:val="20"/>
                <w:szCs w:val="20"/>
                <w:lang w:val="mn-MN"/>
              </w:rPr>
            </w:pPr>
            <w:r w:rsidRPr="00EF2D2B">
              <w:rPr>
                <w:b/>
                <w:sz w:val="20"/>
                <w:szCs w:val="20"/>
                <w:lang w:val="mn-MN"/>
              </w:rPr>
              <w:t>Утга</w:t>
            </w:r>
          </w:p>
        </w:tc>
        <w:tc>
          <w:tcPr>
            <w:tcW w:w="773" w:type="dxa"/>
          </w:tcPr>
          <w:p w:rsidR="00B93EC0" w:rsidRPr="00EF2D2B" w:rsidRDefault="00B93EC0" w:rsidP="00B93EC0">
            <w:pPr>
              <w:pStyle w:val="TableParagraph"/>
              <w:tabs>
                <w:tab w:val="left" w:pos="0"/>
              </w:tabs>
              <w:spacing w:before="53" w:line="276" w:lineRule="auto"/>
              <w:ind w:left="135"/>
              <w:rPr>
                <w:b/>
                <w:sz w:val="20"/>
                <w:szCs w:val="20"/>
                <w:lang w:val="mn-MN"/>
              </w:rPr>
            </w:pPr>
            <w:r w:rsidRPr="00EF2D2B">
              <w:rPr>
                <w:b/>
                <w:sz w:val="20"/>
                <w:szCs w:val="20"/>
                <w:lang w:val="mn-MN"/>
              </w:rPr>
              <w:t>m/o</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lastRenderedPageBreak/>
              <w:t>61850_ETHERNET_SV</w:t>
            </w:r>
          </w:p>
        </w:tc>
        <w:tc>
          <w:tcPr>
            <w:tcW w:w="275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Ачаалал нь тодорхой Этернэт хаягууд руу илгээгдэж буй IEC/TS 62351-6 баталгаажуулалттай  IEC 61850-9-2 SV APDU-ийн түлхүүрийн хүсэлтийг илэрхийлнэ.</w:t>
            </w:r>
          </w:p>
        </w:tc>
        <w:tc>
          <w:tcPr>
            <w:tcW w:w="298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1.2.840.10070.61850.9.2.1</w:t>
            </w:r>
          </w:p>
        </w:tc>
        <w:tc>
          <w:tcPr>
            <w:tcW w:w="773"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o</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61850_UDP_ADDR_SV</w:t>
            </w:r>
          </w:p>
        </w:tc>
        <w:tc>
          <w:tcPr>
            <w:tcW w:w="275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Ачаалал нь тодорхой IP хаягууд руу илгээгдэж буй IEC / TR 61850-90-5 SV APDU-ийн түлхүүрийн хүсэлтийг илэрхийлнэ.</w:t>
            </w:r>
          </w:p>
        </w:tc>
        <w:tc>
          <w:tcPr>
            <w:tcW w:w="298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1.2.840.10070.61850.9.2.2</w:t>
            </w:r>
          </w:p>
        </w:tc>
        <w:tc>
          <w:tcPr>
            <w:tcW w:w="773"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m</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61850_IP_ISO9506</w:t>
            </w:r>
          </w:p>
        </w:tc>
        <w:tc>
          <w:tcPr>
            <w:tcW w:w="275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Ачаалал нь IEC 61850-8-1 ISO 9506 төгсгөлийн цэгийн түлхүүрийн хүсэлтийг илтгэнэ. Энэ ачааллын тодорхойлолт нь энэхүү Техникийн тайланд тусгагдаагүй.</w:t>
            </w:r>
          </w:p>
        </w:tc>
        <w:tc>
          <w:tcPr>
            <w:tcW w:w="298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1.2.840.10070.61850.8.1.4</w:t>
            </w:r>
          </w:p>
        </w:tc>
        <w:tc>
          <w:tcPr>
            <w:tcW w:w="773"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o</w:t>
            </w:r>
          </w:p>
        </w:tc>
      </w:tr>
    </w:tbl>
    <w:p w:rsidR="00B93EC0" w:rsidRDefault="00B93EC0" w:rsidP="00B93EC0">
      <w:pPr>
        <w:ind w:left="0" w:firstLine="0"/>
        <w:jc w:val="center"/>
      </w:pPr>
    </w:p>
    <w:p w:rsidR="00B93EC0" w:rsidRPr="00B93EC0" w:rsidRDefault="00B93EC0" w:rsidP="00B93EC0">
      <w:pPr>
        <w:ind w:left="0" w:firstLine="0"/>
        <w:jc w:val="center"/>
        <w:rPr>
          <w:b/>
        </w:rPr>
      </w:pPr>
      <w:r w:rsidRPr="00B93EC0">
        <w:rPr>
          <w:b/>
        </w:rPr>
        <w:t>Table 12 – IEC/TR 61850-90-5 assigned payload identifiers</w:t>
      </w:r>
    </w:p>
    <w:tbl>
      <w:tblPr>
        <w:tblStyle w:val="TableGrid"/>
        <w:tblW w:w="0" w:type="auto"/>
        <w:tblLook w:val="04A0" w:firstRow="1" w:lastRow="0" w:firstColumn="1" w:lastColumn="0" w:noHBand="0" w:noVBand="1"/>
      </w:tblPr>
      <w:tblGrid>
        <w:gridCol w:w="2829"/>
        <w:gridCol w:w="2694"/>
        <w:gridCol w:w="3103"/>
        <w:gridCol w:w="718"/>
      </w:tblGrid>
      <w:tr w:rsidR="00B93EC0" w:rsidTr="00B93EC0">
        <w:tc>
          <w:tcPr>
            <w:tcW w:w="2829" w:type="dxa"/>
          </w:tcPr>
          <w:p w:rsidR="00B93EC0" w:rsidRPr="00EF2D2B" w:rsidRDefault="00B93EC0" w:rsidP="00B93EC0">
            <w:pPr>
              <w:pStyle w:val="TableParagraph"/>
              <w:tabs>
                <w:tab w:val="left" w:pos="0"/>
              </w:tabs>
              <w:spacing w:before="53" w:line="276" w:lineRule="auto"/>
              <w:ind w:left="482"/>
              <w:rPr>
                <w:b/>
                <w:sz w:val="20"/>
                <w:szCs w:val="20"/>
                <w:lang w:val="mn-MN"/>
              </w:rPr>
            </w:pPr>
            <w:r w:rsidRPr="00EF2D2B">
              <w:rPr>
                <w:b/>
                <w:sz w:val="20"/>
                <w:szCs w:val="20"/>
                <w:lang w:val="mn-MN"/>
              </w:rPr>
              <w:t>Object identifier name</w:t>
            </w:r>
          </w:p>
        </w:tc>
        <w:tc>
          <w:tcPr>
            <w:tcW w:w="4396" w:type="dxa"/>
          </w:tcPr>
          <w:p w:rsidR="00B93EC0" w:rsidRPr="00EF2D2B" w:rsidRDefault="00B93EC0" w:rsidP="00B93EC0">
            <w:pPr>
              <w:pStyle w:val="TableParagraph"/>
              <w:tabs>
                <w:tab w:val="left" w:pos="0"/>
              </w:tabs>
              <w:spacing w:before="53" w:line="276" w:lineRule="auto"/>
              <w:ind w:left="930"/>
              <w:rPr>
                <w:b/>
                <w:sz w:val="20"/>
                <w:szCs w:val="20"/>
                <w:lang w:val="mn-MN"/>
              </w:rPr>
            </w:pPr>
            <w:r w:rsidRPr="00EF2D2B">
              <w:rPr>
                <w:b/>
                <w:sz w:val="20"/>
                <w:szCs w:val="20"/>
                <w:lang w:val="mn-MN"/>
              </w:rPr>
              <w:t>Description</w:t>
            </w:r>
          </w:p>
        </w:tc>
        <w:tc>
          <w:tcPr>
            <w:tcW w:w="1359" w:type="dxa"/>
          </w:tcPr>
          <w:p w:rsidR="00B93EC0" w:rsidRPr="00EF2D2B" w:rsidRDefault="00B93EC0" w:rsidP="00B93EC0">
            <w:pPr>
              <w:pStyle w:val="TableParagraph"/>
              <w:tabs>
                <w:tab w:val="left" w:pos="0"/>
              </w:tabs>
              <w:spacing w:before="53" w:line="276" w:lineRule="auto"/>
              <w:ind w:left="1176" w:right="1177"/>
              <w:jc w:val="center"/>
              <w:rPr>
                <w:b/>
                <w:sz w:val="20"/>
                <w:szCs w:val="20"/>
                <w:lang w:val="mn-MN"/>
              </w:rPr>
            </w:pPr>
            <w:r w:rsidRPr="00EF2D2B">
              <w:rPr>
                <w:b/>
                <w:sz w:val="20"/>
                <w:szCs w:val="20"/>
                <w:lang w:val="mn-MN"/>
              </w:rPr>
              <w:t>Value</w:t>
            </w:r>
          </w:p>
        </w:tc>
        <w:tc>
          <w:tcPr>
            <w:tcW w:w="760" w:type="dxa"/>
          </w:tcPr>
          <w:p w:rsidR="00B93EC0" w:rsidRPr="00EF2D2B" w:rsidRDefault="00B93EC0" w:rsidP="00B93EC0">
            <w:pPr>
              <w:pStyle w:val="TableParagraph"/>
              <w:tabs>
                <w:tab w:val="left" w:pos="0"/>
              </w:tabs>
              <w:spacing w:before="53" w:line="276" w:lineRule="auto"/>
              <w:ind w:left="135"/>
              <w:rPr>
                <w:b/>
                <w:sz w:val="20"/>
                <w:szCs w:val="20"/>
                <w:lang w:val="mn-MN"/>
              </w:rPr>
            </w:pPr>
            <w:r w:rsidRPr="00EF2D2B">
              <w:rPr>
                <w:b/>
                <w:sz w:val="20"/>
                <w:szCs w:val="20"/>
                <w:lang w:val="mn-MN"/>
              </w:rPr>
              <w:t>m/o</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61850_ETHERNET_GOOSE</w:t>
            </w:r>
          </w:p>
        </w:tc>
        <w:tc>
          <w:tcPr>
            <w:tcW w:w="439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Specifies that the payload is requesting a key for an</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IEC 61850-8-1 GOOSE APDU,</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with IEC/TS 62351-6 signature, that is being sent to a particular destination Ethernet address.</w:t>
            </w:r>
          </w:p>
        </w:tc>
        <w:tc>
          <w:tcPr>
            <w:tcW w:w="135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1.2.840.10070.61850.8.1.1</w:t>
            </w:r>
          </w:p>
        </w:tc>
        <w:tc>
          <w:tcPr>
            <w:tcW w:w="760"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o</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61850_UDP_ADDR_GOOSE</w:t>
            </w:r>
          </w:p>
        </w:tc>
        <w:tc>
          <w:tcPr>
            <w:tcW w:w="439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Specifies that the payload is requesting a key for an IEC/TR 61850-90-5 GOOSE</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APDU that is  being sent to a</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particular destination IP address.</w:t>
            </w:r>
          </w:p>
        </w:tc>
        <w:tc>
          <w:tcPr>
            <w:tcW w:w="135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1.2.840.10070.61850.8.1.2</w:t>
            </w:r>
          </w:p>
        </w:tc>
        <w:tc>
          <w:tcPr>
            <w:tcW w:w="760"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m</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61850_UDP _Tunnel</w:t>
            </w:r>
          </w:p>
        </w:tc>
        <w:tc>
          <w:tcPr>
            <w:tcW w:w="439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Specifies that the payload is requesting a key for an IEC/TR 61850-90-5 Tunnel</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APDU that is being sent to a</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particular destination IP address.</w:t>
            </w:r>
          </w:p>
        </w:tc>
        <w:tc>
          <w:tcPr>
            <w:tcW w:w="135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1.2.840.10070.61850.8.1.4</w:t>
            </w:r>
          </w:p>
        </w:tc>
        <w:tc>
          <w:tcPr>
            <w:tcW w:w="760"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m</w:t>
            </w:r>
          </w:p>
        </w:tc>
      </w:tr>
      <w:tr w:rsidR="00B93EC0" w:rsidTr="00B93EC0">
        <w:tc>
          <w:tcPr>
            <w:tcW w:w="2829" w:type="dxa"/>
          </w:tcPr>
          <w:p w:rsidR="00B93EC0" w:rsidRPr="00731F96" w:rsidRDefault="00B93EC0" w:rsidP="00B93EC0">
            <w:pPr>
              <w:pStyle w:val="TableParagraph"/>
              <w:spacing w:before="53" w:line="276" w:lineRule="auto"/>
              <w:ind w:left="482"/>
              <w:rPr>
                <w:b/>
                <w:sz w:val="20"/>
                <w:szCs w:val="20"/>
                <w:lang w:val="mn-MN"/>
              </w:rPr>
            </w:pPr>
            <w:r w:rsidRPr="00731F96">
              <w:rPr>
                <w:b/>
                <w:sz w:val="20"/>
                <w:szCs w:val="20"/>
                <w:lang w:val="mn-MN"/>
              </w:rPr>
              <w:t>Object identifier name</w:t>
            </w:r>
          </w:p>
        </w:tc>
        <w:tc>
          <w:tcPr>
            <w:tcW w:w="4396" w:type="dxa"/>
          </w:tcPr>
          <w:p w:rsidR="00B93EC0" w:rsidRPr="00EF2D2B" w:rsidRDefault="00B93EC0" w:rsidP="00B93EC0">
            <w:pPr>
              <w:pStyle w:val="TableParagraph"/>
              <w:spacing w:before="53" w:line="276" w:lineRule="auto"/>
              <w:ind w:left="930"/>
              <w:rPr>
                <w:b/>
                <w:sz w:val="20"/>
                <w:szCs w:val="20"/>
                <w:lang w:val="mn-MN"/>
              </w:rPr>
            </w:pPr>
            <w:r w:rsidRPr="00EF2D2B">
              <w:rPr>
                <w:b/>
                <w:sz w:val="20"/>
                <w:szCs w:val="20"/>
                <w:lang w:val="mn-MN"/>
              </w:rPr>
              <w:t>Description</w:t>
            </w:r>
          </w:p>
        </w:tc>
        <w:tc>
          <w:tcPr>
            <w:tcW w:w="1359" w:type="dxa"/>
          </w:tcPr>
          <w:p w:rsidR="00B93EC0" w:rsidRPr="00EF2D2B" w:rsidRDefault="00B93EC0" w:rsidP="00B93EC0">
            <w:pPr>
              <w:pStyle w:val="TableParagraph"/>
              <w:spacing w:before="53" w:line="276" w:lineRule="auto"/>
              <w:ind w:left="1176" w:right="1177"/>
              <w:jc w:val="center"/>
              <w:rPr>
                <w:b/>
                <w:sz w:val="20"/>
                <w:szCs w:val="20"/>
                <w:lang w:val="mn-MN"/>
              </w:rPr>
            </w:pPr>
            <w:r w:rsidRPr="00EF2D2B">
              <w:rPr>
                <w:b/>
                <w:sz w:val="20"/>
                <w:szCs w:val="20"/>
                <w:lang w:val="mn-MN"/>
              </w:rPr>
              <w:t>Value</w:t>
            </w:r>
          </w:p>
        </w:tc>
        <w:tc>
          <w:tcPr>
            <w:tcW w:w="760" w:type="dxa"/>
          </w:tcPr>
          <w:p w:rsidR="00B93EC0" w:rsidRPr="00EF2D2B" w:rsidRDefault="00B93EC0" w:rsidP="00B93EC0">
            <w:pPr>
              <w:pStyle w:val="TableParagraph"/>
              <w:spacing w:before="53" w:line="276" w:lineRule="auto"/>
              <w:ind w:left="135"/>
              <w:rPr>
                <w:b/>
                <w:sz w:val="20"/>
                <w:szCs w:val="20"/>
                <w:lang w:val="mn-MN"/>
              </w:rPr>
            </w:pPr>
            <w:r w:rsidRPr="00EF2D2B">
              <w:rPr>
                <w:b/>
                <w:sz w:val="20"/>
                <w:szCs w:val="20"/>
                <w:lang w:val="mn-MN"/>
              </w:rPr>
              <w:t>m/o</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61850_ETHERNET_SV</w:t>
            </w:r>
          </w:p>
        </w:tc>
        <w:tc>
          <w:tcPr>
            <w:tcW w:w="439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Specifies that the payload is requesting a key for an</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IEC 61850-9-2 SV APDU, with</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lastRenderedPageBreak/>
              <w:t>IEC/TS 62351-6 signature, that is being sent to a particular</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destination Ethernet address.</w:t>
            </w:r>
          </w:p>
        </w:tc>
        <w:tc>
          <w:tcPr>
            <w:tcW w:w="135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lastRenderedPageBreak/>
              <w:t>1.2.840.10070.61850.9.2.1</w:t>
            </w:r>
          </w:p>
        </w:tc>
        <w:tc>
          <w:tcPr>
            <w:tcW w:w="760"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o</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lastRenderedPageBreak/>
              <w:t>61850_UDP_ADDR_SV</w:t>
            </w:r>
          </w:p>
        </w:tc>
        <w:tc>
          <w:tcPr>
            <w:tcW w:w="439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Specifies that the payload is requesting a key for an IEC/TR 61850-90-5 SV APDU</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that is being sent to a particular destination IP address.</w:t>
            </w:r>
          </w:p>
        </w:tc>
        <w:tc>
          <w:tcPr>
            <w:tcW w:w="135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1.2.840.10070.61850.9.2.2</w:t>
            </w:r>
          </w:p>
        </w:tc>
        <w:tc>
          <w:tcPr>
            <w:tcW w:w="760"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m</w:t>
            </w:r>
          </w:p>
        </w:tc>
      </w:tr>
      <w:tr w:rsidR="00B93EC0" w:rsidTr="00B93EC0">
        <w:tc>
          <w:tcPr>
            <w:tcW w:w="282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61850_IP_ISO9506</w:t>
            </w:r>
          </w:p>
        </w:tc>
        <w:tc>
          <w:tcPr>
            <w:tcW w:w="4396"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Specifies that the payload is requesting a key for an</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IEC 61850-8-1 ISO 9506</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endpoint. This payload definition is out of the scope of this</w:t>
            </w:r>
          </w:p>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Technical Report.</w:t>
            </w:r>
          </w:p>
        </w:tc>
        <w:tc>
          <w:tcPr>
            <w:tcW w:w="1359"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1.2.840.10070.61850.8.1.4</w:t>
            </w:r>
          </w:p>
        </w:tc>
        <w:tc>
          <w:tcPr>
            <w:tcW w:w="760" w:type="dxa"/>
          </w:tcPr>
          <w:p w:rsidR="00B93EC0" w:rsidRPr="00B93EC0" w:rsidRDefault="00B93EC0" w:rsidP="00B93EC0">
            <w:pPr>
              <w:tabs>
                <w:tab w:val="left" w:pos="0"/>
              </w:tabs>
              <w:ind w:left="0" w:firstLine="0"/>
              <w:rPr>
                <w:rFonts w:eastAsia="Calibri"/>
                <w:bCs/>
                <w:sz w:val="20"/>
                <w:szCs w:val="20"/>
              </w:rPr>
            </w:pPr>
            <w:r w:rsidRPr="00B93EC0">
              <w:rPr>
                <w:rFonts w:eastAsia="Calibri"/>
                <w:bCs/>
                <w:sz w:val="20"/>
                <w:szCs w:val="20"/>
              </w:rPr>
              <w:t>o</w:t>
            </w:r>
          </w:p>
        </w:tc>
      </w:tr>
    </w:tbl>
    <w:p w:rsidR="00B93EC0" w:rsidRDefault="00B93EC0" w:rsidP="00F11C9C">
      <w:pPr>
        <w:ind w:left="0" w:firstLine="0"/>
        <w:jc w:val="center"/>
      </w:pPr>
    </w:p>
    <w:tbl>
      <w:tblPr>
        <w:tblStyle w:val="TableGrid"/>
        <w:tblW w:w="0" w:type="auto"/>
        <w:tblLook w:val="04A0" w:firstRow="1" w:lastRow="0" w:firstColumn="1" w:lastColumn="0" w:noHBand="0" w:noVBand="1"/>
      </w:tblPr>
      <w:tblGrid>
        <w:gridCol w:w="4672"/>
        <w:gridCol w:w="4672"/>
      </w:tblGrid>
      <w:tr w:rsidR="00B93EC0" w:rsidTr="00B93EC0">
        <w:tc>
          <w:tcPr>
            <w:tcW w:w="4672" w:type="dxa"/>
          </w:tcPr>
          <w:p w:rsidR="00B93EC0" w:rsidRPr="00B93EC0" w:rsidRDefault="00B93EC0" w:rsidP="00B93EC0">
            <w:pPr>
              <w:tabs>
                <w:tab w:val="left" w:pos="0"/>
              </w:tabs>
              <w:ind w:left="0" w:firstLine="0"/>
              <w:rPr>
                <w:rFonts w:eastAsia="Calibri"/>
                <w:b/>
                <w:bCs/>
                <w:szCs w:val="22"/>
              </w:rPr>
            </w:pPr>
            <w:r w:rsidRPr="00B93EC0">
              <w:rPr>
                <w:rFonts w:eastAsia="Calibri"/>
                <w:b/>
                <w:bCs/>
                <w:szCs w:val="22"/>
              </w:rPr>
              <w:t>11.4.3 Ачаалал тодорхойлогч</w:t>
            </w:r>
          </w:p>
          <w:p w:rsidR="00B93EC0" w:rsidRPr="00B93EC0" w:rsidRDefault="00B93EC0" w:rsidP="00B93EC0">
            <w:pPr>
              <w:tabs>
                <w:tab w:val="left" w:pos="0"/>
              </w:tabs>
              <w:ind w:left="0" w:firstLine="0"/>
              <w:rPr>
                <w:rFonts w:eastAsia="Calibri"/>
                <w:bCs/>
                <w:szCs w:val="22"/>
              </w:rPr>
            </w:pPr>
            <w:r w:rsidRPr="00B93EC0">
              <w:rPr>
                <w:rFonts w:eastAsia="Calibri"/>
                <w:bCs/>
                <w:szCs w:val="22"/>
              </w:rPr>
              <w:t>Дараах дэд бүлгүүдэд IEC/TR 61850-90-5 ачаалалтодорхойлогч утгуудыг нарийвчлан тодорхойлсон.</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11.4.3.1 Ачааллын нийтлэг утгууд</w:t>
            </w:r>
          </w:p>
          <w:p w:rsidR="00B93EC0" w:rsidRPr="00B93EC0" w:rsidRDefault="00B93EC0" w:rsidP="00B93EC0">
            <w:pPr>
              <w:tabs>
                <w:tab w:val="left" w:pos="0"/>
              </w:tabs>
              <w:ind w:left="0" w:firstLine="0"/>
              <w:rPr>
                <w:rFonts w:eastAsia="Calibri"/>
                <w:bCs/>
                <w:szCs w:val="22"/>
              </w:rPr>
            </w:pPr>
            <w:r w:rsidRPr="00B93EC0">
              <w:rPr>
                <w:rFonts w:eastAsia="Calibri"/>
                <w:bCs/>
                <w:szCs w:val="22"/>
              </w:rPr>
              <w:t>Нийтлэг ба дахин ашиглах боломжтой тодорхойлолтыг авахын тулд ачаалал тус бүрийг дараахь тодорхойлолтуудаас бүрдүүлж болно.</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11.4.3.1.1 VERSION</w:t>
            </w:r>
          </w:p>
          <w:p w:rsidR="00B93EC0" w:rsidRPr="00B93EC0" w:rsidRDefault="00B93EC0" w:rsidP="00B93EC0">
            <w:pPr>
              <w:tabs>
                <w:tab w:val="left" w:pos="0"/>
              </w:tabs>
              <w:ind w:left="0" w:firstLine="0"/>
              <w:rPr>
                <w:rFonts w:eastAsia="Calibri"/>
                <w:bCs/>
                <w:szCs w:val="22"/>
              </w:rPr>
            </w:pPr>
            <w:r w:rsidRPr="00B93EC0">
              <w:rPr>
                <w:rFonts w:eastAsia="Calibri"/>
                <w:bCs/>
                <w:szCs w:val="22"/>
              </w:rPr>
              <w:t>Энэ нь тодорхой ачааллын хувилбарыг илэрхийлдэг нэг октет утга юм. Өөрөөр тодорхойлоогүй бол VERSION-ийн утга нь нэг (1) байна.</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11.4.3.1.2 DEST_MULTICAST_ ETHERNET_ADDRESS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Энэ нь зургаан (6) октетаас бүрдэх утга юм. Энэ утгыг этернэт дамжуулалтын захиалгын дагуу тодорхойлно.</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11.4.3.1.3 IP_ADDRESS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Энэ утгын бүрэлдэхүүн хэсэг нь түлхүүр шаардаж буй IPv4 ба IPv6 хүрэх хаягийг тодорхойлох боломжийг олгодог. Утгын бүрэлдэхүүн хэсэг нь дараахь зүйлийг агуулсан бүтэцтэй:</w:t>
            </w:r>
          </w:p>
          <w:p w:rsidR="00B93EC0" w:rsidRPr="00B93EC0" w:rsidRDefault="00B93EC0" w:rsidP="00B93EC0">
            <w:pPr>
              <w:tabs>
                <w:tab w:val="left" w:pos="0"/>
              </w:tabs>
              <w:ind w:left="0" w:firstLine="0"/>
              <w:rPr>
                <w:rFonts w:eastAsia="Calibri"/>
                <w:bCs/>
                <w:szCs w:val="22"/>
              </w:rPr>
            </w:pPr>
            <w:r w:rsidRPr="00B93EC0">
              <w:rPr>
                <w:rFonts w:eastAsia="Calibri"/>
                <w:bCs/>
                <w:szCs w:val="22"/>
              </w:rPr>
              <w:t>IP_ADDRESS::= {</w:t>
            </w:r>
          </w:p>
          <w:p w:rsidR="00B93EC0" w:rsidRPr="00B93EC0" w:rsidRDefault="00B93EC0" w:rsidP="00B93EC0">
            <w:pPr>
              <w:tabs>
                <w:tab w:val="left" w:pos="0"/>
              </w:tabs>
              <w:ind w:left="0" w:firstLine="0"/>
              <w:rPr>
                <w:rFonts w:eastAsia="Calibri"/>
                <w:bCs/>
                <w:szCs w:val="22"/>
              </w:rPr>
            </w:pPr>
            <w:r w:rsidRPr="00B93EC0">
              <w:rPr>
                <w:rFonts w:eastAsia="Calibri"/>
                <w:bCs/>
                <w:szCs w:val="22"/>
              </w:rPr>
              <w:lastRenderedPageBreak/>
              <w:t>type_of_address</w:t>
            </w:r>
            <w:r w:rsidRPr="00B93EC0">
              <w:rPr>
                <w:rFonts w:eastAsia="Calibri"/>
                <w:bCs/>
                <w:szCs w:val="22"/>
              </w:rPr>
              <w:tab/>
              <w:t>TYPE_OF_ADDRESS_ENUMERATION, is_DNS_address</w:t>
            </w:r>
            <w:r w:rsidRPr="00B93EC0">
              <w:rPr>
                <w:rFonts w:eastAsia="Calibri"/>
                <w:bCs/>
                <w:szCs w:val="22"/>
              </w:rPr>
              <w:tab/>
              <w:t>BOOLEAN.</w:t>
            </w:r>
          </w:p>
          <w:p w:rsidR="00B93EC0" w:rsidRPr="00B93EC0" w:rsidRDefault="00B93EC0" w:rsidP="00B93EC0">
            <w:pPr>
              <w:tabs>
                <w:tab w:val="left" w:pos="0"/>
              </w:tabs>
              <w:ind w:left="0" w:firstLine="0"/>
              <w:rPr>
                <w:rFonts w:eastAsia="Calibri"/>
                <w:bCs/>
                <w:szCs w:val="22"/>
              </w:rPr>
            </w:pPr>
            <w:r w:rsidRPr="00B93EC0">
              <w:rPr>
                <w:rFonts w:eastAsia="Calibri"/>
                <w:bCs/>
                <w:szCs w:val="22"/>
              </w:rPr>
              <w:t>length_of_address</w:t>
            </w:r>
            <w:r w:rsidRPr="00B93EC0">
              <w:rPr>
                <w:rFonts w:eastAsia="Calibri"/>
                <w:bCs/>
                <w:szCs w:val="22"/>
              </w:rPr>
              <w:tab/>
              <w:t>UNSIGNED INTEGER16, address</w:t>
            </w:r>
            <w:r w:rsidRPr="00B93EC0">
              <w:rPr>
                <w:rFonts w:eastAsia="Calibri"/>
                <w:bCs/>
                <w:szCs w:val="22"/>
              </w:rPr>
              <w:tab/>
              <w:t>octet[length_of_address]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Cs/>
                <w:szCs w:val="22"/>
              </w:rPr>
            </w:pPr>
            <w:r w:rsidRPr="00B93EC0">
              <w:rPr>
                <w:rFonts w:eastAsia="Calibri"/>
                <w:bCs/>
                <w:szCs w:val="22"/>
              </w:rPr>
              <w:t>where:</w:t>
            </w:r>
          </w:p>
          <w:p w:rsidR="00B93EC0" w:rsidRPr="00B93EC0" w:rsidRDefault="00B93EC0" w:rsidP="00B93EC0">
            <w:pPr>
              <w:tabs>
                <w:tab w:val="left" w:pos="0"/>
              </w:tabs>
              <w:ind w:left="0" w:firstLine="0"/>
              <w:rPr>
                <w:rFonts w:eastAsia="Calibri"/>
                <w:bCs/>
                <w:szCs w:val="22"/>
              </w:rPr>
            </w:pPr>
            <w:r w:rsidRPr="00B93EC0">
              <w:rPr>
                <w:rFonts w:eastAsia="Calibri"/>
                <w:bCs/>
                <w:szCs w:val="22"/>
              </w:rPr>
              <w:t>TYPE_OF_ADDRESS_ENUMERATION: IPv4 (0) болон IPv6 (1) утгуудтай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is_DNS_address: хэрэв IP хаяг тоо бол FALSEбайна. Хэрэв хаяг DNS мөрийг илэрхийлэх бол утга нь TRUE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length_of_address: хаягийн утганд агуулагдах октетуудын тоог заана. Хэрэв is_DNS_addressнь TRUE бол урт ньтөгсгөлийн NULL тэмдэгт агуулахгүй.</w:t>
            </w:r>
          </w:p>
          <w:p w:rsidR="00B93EC0" w:rsidRPr="00B93EC0" w:rsidRDefault="00B93EC0" w:rsidP="00B93EC0">
            <w:pPr>
              <w:tabs>
                <w:tab w:val="left" w:pos="0"/>
              </w:tabs>
              <w:ind w:left="0" w:firstLine="0"/>
              <w:rPr>
                <w:rFonts w:eastAsia="Calibri"/>
                <w:bCs/>
                <w:szCs w:val="22"/>
              </w:rPr>
            </w:pPr>
            <w:r w:rsidRPr="00B93EC0">
              <w:rPr>
                <w:rFonts w:eastAsia="Calibri"/>
                <w:bCs/>
                <w:szCs w:val="22"/>
              </w:rPr>
              <w:t>address: IP хаягийн утгыг агуулна.</w:t>
            </w:r>
          </w:p>
          <w:p w:rsidR="00B93EC0" w:rsidRPr="00B93EC0" w:rsidRDefault="00B93EC0" w:rsidP="00B93EC0">
            <w:pPr>
              <w:tabs>
                <w:tab w:val="left" w:pos="0"/>
              </w:tabs>
              <w:ind w:left="0" w:firstLine="0"/>
              <w:rPr>
                <w:rFonts w:eastAsia="Calibri"/>
                <w:bCs/>
                <w:szCs w:val="22"/>
              </w:rPr>
            </w:pPr>
            <w:r w:rsidRPr="00B93EC0">
              <w:rPr>
                <w:rFonts w:eastAsia="Calibri"/>
                <w:bCs/>
                <w:noProof/>
                <w:szCs w:val="22"/>
                <w:lang w:val="en-US"/>
              </w:rPr>
              <w:drawing>
                <wp:inline distT="0" distB="0" distL="0" distR="0" wp14:anchorId="39A01E43" wp14:editId="4EB5BA25">
                  <wp:extent cx="2790825" cy="2447925"/>
                  <wp:effectExtent l="0" t="0" r="9525"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90825" cy="2447925"/>
                          </a:xfrm>
                          <a:prstGeom prst="rect">
                            <a:avLst/>
                          </a:prstGeom>
                        </pic:spPr>
                      </pic:pic>
                    </a:graphicData>
                  </a:graphic>
                </wp:inline>
              </w:drawing>
            </w:r>
          </w:p>
          <w:p w:rsidR="00B93EC0" w:rsidRPr="00B93EC0" w:rsidRDefault="00B93EC0" w:rsidP="00B93EC0">
            <w:pPr>
              <w:tabs>
                <w:tab w:val="left" w:pos="0"/>
              </w:tabs>
              <w:ind w:left="0" w:firstLine="0"/>
              <w:rPr>
                <w:rFonts w:eastAsia="Calibri"/>
                <w:bCs/>
                <w:szCs w:val="22"/>
              </w:rPr>
            </w:pPr>
          </w:p>
          <w:p w:rsidR="00B93EC0" w:rsidRPr="00B93EC0" w:rsidRDefault="00B93EC0" w:rsidP="00B93EC0">
            <w:pPr>
              <w:tabs>
                <w:tab w:val="left" w:pos="0"/>
              </w:tabs>
              <w:ind w:left="0" w:firstLine="0"/>
              <w:rPr>
                <w:rFonts w:eastAsia="Calibri"/>
                <w:bCs/>
                <w:szCs w:val="22"/>
              </w:rPr>
            </w:pPr>
          </w:p>
        </w:tc>
        <w:tc>
          <w:tcPr>
            <w:tcW w:w="4672" w:type="dxa"/>
          </w:tcPr>
          <w:p w:rsidR="00B93EC0" w:rsidRPr="00B93EC0" w:rsidRDefault="00B93EC0" w:rsidP="00B93EC0">
            <w:pPr>
              <w:tabs>
                <w:tab w:val="left" w:pos="0"/>
              </w:tabs>
              <w:ind w:left="0" w:firstLine="0"/>
              <w:rPr>
                <w:rFonts w:eastAsia="Calibri"/>
                <w:b/>
                <w:bCs/>
                <w:szCs w:val="22"/>
              </w:rPr>
            </w:pPr>
            <w:bookmarkStart w:id="53" w:name="_TOC_250016"/>
            <w:r w:rsidRPr="00B93EC0">
              <w:rPr>
                <w:rFonts w:eastAsia="Calibri"/>
                <w:b/>
                <w:bCs/>
                <w:szCs w:val="22"/>
              </w:rPr>
              <w:lastRenderedPageBreak/>
              <w:t xml:space="preserve">11.4.3. Payload </w:t>
            </w:r>
            <w:bookmarkEnd w:id="53"/>
            <w:r w:rsidRPr="00B93EC0">
              <w:rPr>
                <w:rFonts w:eastAsia="Calibri"/>
                <w:b/>
                <w:bCs/>
                <w:szCs w:val="22"/>
              </w:rPr>
              <w:t>identification</w:t>
            </w:r>
          </w:p>
          <w:p w:rsidR="00B93EC0" w:rsidRPr="00B93EC0" w:rsidRDefault="00B93EC0" w:rsidP="00B93EC0">
            <w:pPr>
              <w:tabs>
                <w:tab w:val="left" w:pos="0"/>
              </w:tabs>
              <w:ind w:left="0" w:firstLine="0"/>
              <w:rPr>
                <w:rFonts w:eastAsia="Calibri"/>
                <w:bCs/>
                <w:szCs w:val="22"/>
              </w:rPr>
            </w:pPr>
            <w:r w:rsidRPr="00B93EC0">
              <w:rPr>
                <w:rFonts w:eastAsia="Calibri"/>
                <w:bCs/>
                <w:szCs w:val="22"/>
              </w:rPr>
              <w:t>The following subclauses detail the IEC/TR 61850-90-5 payload identification values,</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11.4.3.1 Common payload values</w:t>
            </w:r>
          </w:p>
          <w:p w:rsidR="00B93EC0" w:rsidRPr="00B93EC0" w:rsidRDefault="00B93EC0" w:rsidP="00B93EC0">
            <w:pPr>
              <w:tabs>
                <w:tab w:val="left" w:pos="0"/>
              </w:tabs>
              <w:ind w:left="0" w:firstLine="0"/>
              <w:rPr>
                <w:rFonts w:eastAsia="Calibri"/>
                <w:bCs/>
                <w:szCs w:val="22"/>
              </w:rPr>
            </w:pPr>
            <w:r w:rsidRPr="00B93EC0">
              <w:rPr>
                <w:rFonts w:eastAsia="Calibri"/>
                <w:bCs/>
                <w:szCs w:val="22"/>
              </w:rPr>
              <w:t>In order to achieve common and reusable definitions, each payload may be constructed from the following definitions.</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11.4.3.1.1 VERSION</w:t>
            </w:r>
          </w:p>
          <w:p w:rsidR="00B93EC0" w:rsidRPr="00B93EC0" w:rsidRDefault="00B93EC0" w:rsidP="00B93EC0">
            <w:pPr>
              <w:tabs>
                <w:tab w:val="left" w:pos="0"/>
              </w:tabs>
              <w:ind w:left="0" w:firstLine="0"/>
              <w:rPr>
                <w:rFonts w:eastAsia="Calibri"/>
                <w:bCs/>
                <w:szCs w:val="22"/>
              </w:rPr>
            </w:pPr>
            <w:r w:rsidRPr="00B93EC0">
              <w:rPr>
                <w:rFonts w:eastAsia="Calibri"/>
                <w:bCs/>
                <w:szCs w:val="22"/>
              </w:rPr>
              <w:t>This is a single octet value that represents the version of the particular payload. Unless otherwise specified, the value of the VERSION shall be one (1).</w:t>
            </w:r>
          </w:p>
          <w:p w:rsidR="00B93EC0" w:rsidRPr="00B93EC0" w:rsidRDefault="00B93EC0" w:rsidP="00B93EC0">
            <w:pPr>
              <w:tabs>
                <w:tab w:val="left" w:pos="0"/>
              </w:tabs>
              <w:ind w:left="0" w:firstLine="0"/>
              <w:rPr>
                <w:rFonts w:eastAsia="Calibri"/>
                <w:bCs/>
                <w:szCs w:val="22"/>
              </w:rPr>
            </w:pP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11.4.3.1.2 DEST_MULTICAST_ ETHERNET_ 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This is a value that consists of six (6) octets. The value shall be specified per Ethernet transmission order.</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11.4.3.1.3 IP_ADDRESS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This value component allows the specification of either an IPv4 or  IPv6  destination address  for which a key is being requested. The value component is a structure consisting of:</w:t>
            </w:r>
          </w:p>
          <w:p w:rsidR="00B93EC0" w:rsidRPr="00B93EC0" w:rsidRDefault="00B93EC0" w:rsidP="00B93EC0">
            <w:pPr>
              <w:tabs>
                <w:tab w:val="left" w:pos="0"/>
              </w:tabs>
              <w:ind w:left="0" w:firstLine="0"/>
              <w:rPr>
                <w:rFonts w:eastAsia="Calibri"/>
                <w:bCs/>
                <w:szCs w:val="22"/>
              </w:rPr>
            </w:pPr>
            <w:r w:rsidRPr="00B93EC0">
              <w:rPr>
                <w:rFonts w:eastAsia="Calibri"/>
                <w:bCs/>
                <w:szCs w:val="22"/>
              </w:rPr>
              <w:t>IP_ADDRESS::= {</w:t>
            </w:r>
          </w:p>
          <w:p w:rsidR="00B93EC0" w:rsidRPr="00B93EC0" w:rsidRDefault="00B93EC0" w:rsidP="00B93EC0">
            <w:pPr>
              <w:tabs>
                <w:tab w:val="left" w:pos="0"/>
              </w:tabs>
              <w:ind w:left="0" w:firstLine="0"/>
              <w:rPr>
                <w:rFonts w:eastAsia="Calibri"/>
                <w:bCs/>
                <w:szCs w:val="22"/>
              </w:rPr>
            </w:pPr>
            <w:r w:rsidRPr="00B93EC0">
              <w:rPr>
                <w:rFonts w:eastAsia="Calibri"/>
                <w:bCs/>
                <w:szCs w:val="22"/>
              </w:rPr>
              <w:lastRenderedPageBreak/>
              <w:t>type_of_address</w:t>
            </w:r>
            <w:r w:rsidRPr="00B93EC0">
              <w:rPr>
                <w:rFonts w:eastAsia="Calibri"/>
                <w:bCs/>
                <w:szCs w:val="22"/>
              </w:rPr>
              <w:tab/>
              <w:t>TYPE_OF_ADDRESS_ENUMERATION, is_DNS_address</w:t>
            </w:r>
            <w:r w:rsidRPr="00B93EC0">
              <w:rPr>
                <w:rFonts w:eastAsia="Calibri"/>
                <w:bCs/>
                <w:szCs w:val="22"/>
              </w:rPr>
              <w:tab/>
              <w:t>BOOLEAN.</w:t>
            </w:r>
          </w:p>
          <w:p w:rsidR="00B93EC0" w:rsidRPr="00B93EC0" w:rsidRDefault="00B93EC0" w:rsidP="00B93EC0">
            <w:pPr>
              <w:tabs>
                <w:tab w:val="left" w:pos="0"/>
              </w:tabs>
              <w:ind w:left="0" w:firstLine="0"/>
              <w:rPr>
                <w:rFonts w:eastAsia="Calibri"/>
                <w:bCs/>
                <w:szCs w:val="22"/>
              </w:rPr>
            </w:pPr>
            <w:r w:rsidRPr="00B93EC0">
              <w:rPr>
                <w:rFonts w:eastAsia="Calibri"/>
                <w:bCs/>
                <w:szCs w:val="22"/>
              </w:rPr>
              <w:t>length_of_address</w:t>
            </w:r>
            <w:r w:rsidRPr="00B93EC0">
              <w:rPr>
                <w:rFonts w:eastAsia="Calibri"/>
                <w:bCs/>
                <w:szCs w:val="22"/>
              </w:rPr>
              <w:tab/>
              <w:t>UNSIGNED INTEGER16, address</w:t>
            </w:r>
            <w:r w:rsidRPr="00B93EC0">
              <w:rPr>
                <w:rFonts w:eastAsia="Calibri"/>
                <w:bCs/>
                <w:szCs w:val="22"/>
              </w:rPr>
              <w:tab/>
              <w:t>octet[length_of_address]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Cs/>
                <w:szCs w:val="22"/>
              </w:rPr>
            </w:pPr>
            <w:r w:rsidRPr="00B93EC0">
              <w:rPr>
                <w:rFonts w:eastAsia="Calibri"/>
                <w:bCs/>
                <w:szCs w:val="22"/>
              </w:rPr>
              <w:t>where:</w:t>
            </w:r>
          </w:p>
          <w:p w:rsidR="00B93EC0" w:rsidRPr="00B93EC0" w:rsidRDefault="00B93EC0" w:rsidP="00B93EC0">
            <w:pPr>
              <w:tabs>
                <w:tab w:val="left" w:pos="0"/>
              </w:tabs>
              <w:ind w:left="0" w:firstLine="0"/>
              <w:rPr>
                <w:rFonts w:eastAsia="Calibri"/>
                <w:bCs/>
                <w:szCs w:val="22"/>
              </w:rPr>
            </w:pPr>
            <w:r w:rsidRPr="00B93EC0">
              <w:rPr>
                <w:rFonts w:eastAsia="Calibri"/>
                <w:bCs/>
                <w:szCs w:val="22"/>
              </w:rPr>
              <w:t>TYPE_OF_ADDRESS_ENUMERATION: has the values of IPv4(0) and IPv6(1).</w:t>
            </w:r>
          </w:p>
          <w:p w:rsidR="00B93EC0" w:rsidRPr="00B93EC0" w:rsidRDefault="00B93EC0" w:rsidP="00B93EC0">
            <w:pPr>
              <w:tabs>
                <w:tab w:val="left" w:pos="0"/>
              </w:tabs>
              <w:ind w:left="0" w:firstLine="0"/>
              <w:rPr>
                <w:rFonts w:eastAsia="Calibri"/>
                <w:bCs/>
                <w:szCs w:val="22"/>
              </w:rPr>
            </w:pPr>
            <w:r w:rsidRPr="00B93EC0">
              <w:rPr>
                <w:rFonts w:eastAsia="Calibri"/>
                <w:bCs/>
                <w:szCs w:val="22"/>
              </w:rPr>
              <w:t>is_DNS_address: shall be FALSE if the IP  address is  numeric. The  value shall be  TRUE if  the address represents a DNS string.</w:t>
            </w:r>
          </w:p>
          <w:p w:rsidR="00B93EC0" w:rsidRPr="00B93EC0" w:rsidRDefault="00B93EC0" w:rsidP="00B93EC0">
            <w:pPr>
              <w:tabs>
                <w:tab w:val="left" w:pos="0"/>
              </w:tabs>
              <w:ind w:left="0" w:firstLine="0"/>
              <w:rPr>
                <w:rFonts w:eastAsia="Calibri"/>
                <w:bCs/>
                <w:szCs w:val="22"/>
              </w:rPr>
            </w:pPr>
            <w:r w:rsidRPr="00B93EC0">
              <w:rPr>
                <w:rFonts w:eastAsia="Calibri"/>
                <w:bCs/>
                <w:szCs w:val="22"/>
              </w:rPr>
              <w:t>length_of_address: specifies the number of octets contained in the address value.  If is_DNS_address is TRUE, the length shall not include a terminating NULL character.</w:t>
            </w:r>
          </w:p>
          <w:p w:rsidR="00B93EC0" w:rsidRPr="00B93EC0" w:rsidRDefault="00B93EC0" w:rsidP="00B93EC0">
            <w:pPr>
              <w:tabs>
                <w:tab w:val="left" w:pos="0"/>
              </w:tabs>
              <w:ind w:left="0" w:firstLine="0"/>
              <w:rPr>
                <w:rFonts w:eastAsia="Calibri"/>
                <w:bCs/>
                <w:szCs w:val="22"/>
              </w:rPr>
            </w:pPr>
            <w:r w:rsidRPr="00B93EC0">
              <w:rPr>
                <w:rFonts w:eastAsia="Calibri"/>
                <w:bCs/>
                <w:szCs w:val="22"/>
              </w:rPr>
              <w:t>Address: contains the value of the IP address.</w:t>
            </w:r>
          </w:p>
          <w:p w:rsidR="00B93EC0" w:rsidRPr="00B93EC0" w:rsidRDefault="00B93EC0" w:rsidP="00B93EC0">
            <w:pPr>
              <w:tabs>
                <w:tab w:val="left" w:pos="0"/>
              </w:tabs>
              <w:ind w:left="0" w:firstLine="0"/>
              <w:rPr>
                <w:rFonts w:eastAsia="Calibri"/>
                <w:bCs/>
                <w:szCs w:val="22"/>
              </w:rPr>
            </w:pPr>
            <w:r w:rsidRPr="00B93EC0">
              <w:rPr>
                <w:rFonts w:eastAsia="Calibri"/>
                <w:bCs/>
                <w:noProof/>
                <w:szCs w:val="22"/>
                <w:lang w:val="en-US"/>
              </w:rPr>
              <w:drawing>
                <wp:inline distT="0" distB="0" distL="0" distR="0" wp14:anchorId="2CB2F40F" wp14:editId="6849BC63">
                  <wp:extent cx="2619375" cy="2257425"/>
                  <wp:effectExtent l="0" t="0" r="9525"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19375" cy="2257425"/>
                          </a:xfrm>
                          <a:prstGeom prst="rect">
                            <a:avLst/>
                          </a:prstGeom>
                        </pic:spPr>
                      </pic:pic>
                    </a:graphicData>
                  </a:graphic>
                </wp:inline>
              </w:drawing>
            </w:r>
          </w:p>
        </w:tc>
      </w:tr>
    </w:tbl>
    <w:p w:rsidR="00B93EC0" w:rsidRDefault="00B93EC0" w:rsidP="00F11C9C">
      <w:pPr>
        <w:ind w:left="0" w:firstLine="0"/>
        <w:jc w:val="center"/>
      </w:pPr>
    </w:p>
    <w:tbl>
      <w:tblPr>
        <w:tblStyle w:val="TableGrid"/>
        <w:tblW w:w="0" w:type="auto"/>
        <w:tblLook w:val="04A0" w:firstRow="1" w:lastRow="0" w:firstColumn="1" w:lastColumn="0" w:noHBand="0" w:noVBand="1"/>
      </w:tblPr>
      <w:tblGrid>
        <w:gridCol w:w="4672"/>
        <w:gridCol w:w="4672"/>
      </w:tblGrid>
      <w:tr w:rsidR="00B93EC0" w:rsidTr="00B93EC0">
        <w:tc>
          <w:tcPr>
            <w:tcW w:w="4672" w:type="dxa"/>
          </w:tcPr>
          <w:p w:rsidR="00B93EC0" w:rsidRPr="00B93EC0" w:rsidRDefault="00B93EC0" w:rsidP="00B93EC0">
            <w:pPr>
              <w:tabs>
                <w:tab w:val="left" w:pos="0"/>
              </w:tabs>
              <w:ind w:left="0" w:firstLine="0"/>
              <w:rPr>
                <w:rFonts w:eastAsia="Calibri"/>
                <w:b/>
                <w:bCs/>
                <w:szCs w:val="22"/>
              </w:rPr>
            </w:pPr>
            <w:r w:rsidRPr="00B93EC0">
              <w:rPr>
                <w:rFonts w:eastAsia="Calibri"/>
                <w:b/>
                <w:bCs/>
                <w:szCs w:val="22"/>
              </w:rPr>
              <w:t>11</w:t>
            </w:r>
            <w:r w:rsidRPr="00B93EC0">
              <w:rPr>
                <w:rFonts w:eastAsia="Calibri"/>
                <w:b/>
                <w:bCs/>
                <w:szCs w:val="22"/>
                <w:lang w:val="en-US"/>
              </w:rPr>
              <w:t xml:space="preserve">.4.3.1.4 </w:t>
            </w:r>
            <w:r w:rsidRPr="00B93EC0">
              <w:rPr>
                <w:rFonts w:eastAsia="Calibri"/>
                <w:b/>
                <w:bCs/>
                <w:szCs w:val="22"/>
              </w:rPr>
              <w:t>DATASET</w:t>
            </w:r>
          </w:p>
          <w:p w:rsidR="00B93EC0" w:rsidRPr="00B93EC0" w:rsidRDefault="00B93EC0" w:rsidP="00B93EC0">
            <w:pPr>
              <w:tabs>
                <w:tab w:val="left" w:pos="0"/>
              </w:tabs>
              <w:ind w:left="0" w:firstLine="0"/>
              <w:rPr>
                <w:rFonts w:eastAsia="Calibri"/>
                <w:bCs/>
                <w:szCs w:val="22"/>
              </w:rPr>
            </w:pPr>
            <w:r w:rsidRPr="00B93EC0">
              <w:rPr>
                <w:rFonts w:eastAsia="Calibri"/>
                <w:bCs/>
                <w:szCs w:val="22"/>
              </w:rPr>
              <w:t>DATASET утгын бүрэлдэхүүн хэсэг нь IEC 61850-7-2-т тодорхойлосоноор IEC 61850 DataSet Reference (DSRef) -ыг нарийвчлан тодорхойлох боломжтой.</w:t>
            </w:r>
          </w:p>
          <w:p w:rsidR="00B93EC0" w:rsidRPr="00B93EC0" w:rsidRDefault="00B93EC0" w:rsidP="00B93EC0">
            <w:pPr>
              <w:tabs>
                <w:tab w:val="left" w:pos="0"/>
              </w:tabs>
              <w:ind w:left="0" w:firstLine="0"/>
              <w:rPr>
                <w:rFonts w:eastAsia="Calibri"/>
                <w:bCs/>
                <w:szCs w:val="22"/>
              </w:rPr>
            </w:pPr>
            <w:r w:rsidRPr="00B93EC0">
              <w:rPr>
                <w:rFonts w:eastAsia="Calibri"/>
                <w:bCs/>
                <w:szCs w:val="22"/>
              </w:rPr>
              <w:t>DATASET::={</w:t>
            </w:r>
          </w:p>
          <w:p w:rsidR="00B93EC0" w:rsidRPr="00B93EC0" w:rsidRDefault="00B93EC0" w:rsidP="00B93EC0">
            <w:pPr>
              <w:tabs>
                <w:tab w:val="left" w:pos="0"/>
              </w:tabs>
              <w:ind w:left="0" w:firstLine="0"/>
              <w:rPr>
                <w:rFonts w:eastAsia="Calibri"/>
                <w:bCs/>
                <w:szCs w:val="22"/>
              </w:rPr>
            </w:pPr>
            <w:r w:rsidRPr="00B93EC0">
              <w:rPr>
                <w:rFonts w:eastAsia="Calibri"/>
                <w:bCs/>
                <w:szCs w:val="22"/>
              </w:rPr>
              <w:t>length_of_DataSet_Reference</w:t>
            </w:r>
            <w:r w:rsidRPr="00B93EC0">
              <w:rPr>
                <w:rFonts w:eastAsia="Calibri"/>
                <w:bCs/>
                <w:szCs w:val="22"/>
              </w:rPr>
              <w:tab/>
              <w:t>UNSIGNED INTEGER8,</w:t>
            </w:r>
          </w:p>
          <w:p w:rsidR="00B93EC0" w:rsidRPr="00B93EC0" w:rsidRDefault="00B93EC0" w:rsidP="00B93EC0">
            <w:pPr>
              <w:tabs>
                <w:tab w:val="left" w:pos="0"/>
              </w:tabs>
              <w:ind w:left="0" w:firstLine="0"/>
              <w:rPr>
                <w:rFonts w:eastAsia="Calibri"/>
                <w:bCs/>
                <w:szCs w:val="22"/>
              </w:rPr>
            </w:pPr>
            <w:r w:rsidRPr="00B93EC0">
              <w:rPr>
                <w:rFonts w:eastAsia="Calibri"/>
                <w:bCs/>
                <w:szCs w:val="22"/>
              </w:rPr>
              <w:lastRenderedPageBreak/>
              <w:t>dataSet_Reference</w:t>
            </w:r>
            <w:r w:rsidRPr="00B93EC0">
              <w:rPr>
                <w:rFonts w:eastAsia="Calibri"/>
                <w:bCs/>
                <w:szCs w:val="22"/>
              </w:rPr>
              <w:tab/>
              <w:t>octet[length_of_DataSet_Reference]</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11.4.3.2 61850_UDP_ADDR_GOOSE ба 61850_UDP_ADDR_SV</w:t>
            </w:r>
          </w:p>
          <w:p w:rsidR="00B93EC0" w:rsidRPr="00B93EC0" w:rsidRDefault="00B93EC0" w:rsidP="00B93EC0">
            <w:pPr>
              <w:tabs>
                <w:tab w:val="left" w:pos="0"/>
              </w:tabs>
              <w:ind w:left="0" w:firstLine="0"/>
              <w:rPr>
                <w:rFonts w:eastAsia="Calibri"/>
                <w:bCs/>
                <w:szCs w:val="22"/>
              </w:rPr>
            </w:pPr>
            <w:r w:rsidRPr="00B93EC0">
              <w:rPr>
                <w:rFonts w:eastAsia="Calibri"/>
                <w:bCs/>
                <w:szCs w:val="22"/>
              </w:rPr>
              <w:t>IP-ийн GOOSE ба SV хувилбаруудын ачаалал ижил байна. Ачаалал дараахь байдлаар тодорхойлогдоно:</w:t>
            </w:r>
          </w:p>
          <w:p w:rsidR="00B93EC0" w:rsidRPr="00B93EC0" w:rsidRDefault="00B93EC0" w:rsidP="00B93EC0">
            <w:pPr>
              <w:tabs>
                <w:tab w:val="left" w:pos="0"/>
              </w:tabs>
              <w:ind w:left="0" w:firstLine="0"/>
              <w:rPr>
                <w:rFonts w:eastAsia="Calibri"/>
                <w:bCs/>
                <w:szCs w:val="22"/>
              </w:rPr>
            </w:pPr>
            <w:r w:rsidRPr="00B93EC0">
              <w:rPr>
                <w:rFonts w:eastAsia="Calibri"/>
                <w:bCs/>
                <w:szCs w:val="22"/>
              </w:rPr>
              <w:t>Payload Identification::= {</w:t>
            </w:r>
          </w:p>
          <w:p w:rsidR="00B93EC0" w:rsidRPr="00B93EC0" w:rsidRDefault="00B93EC0" w:rsidP="00B93EC0">
            <w:pPr>
              <w:tabs>
                <w:tab w:val="left" w:pos="0"/>
              </w:tabs>
              <w:ind w:left="0" w:firstLine="0"/>
              <w:rPr>
                <w:rFonts w:eastAsia="Calibri"/>
                <w:bCs/>
                <w:szCs w:val="22"/>
              </w:rPr>
            </w:pPr>
            <w:r w:rsidRPr="00B93EC0">
              <w:rPr>
                <w:rFonts w:eastAsia="Calibri"/>
                <w:bCs/>
                <w:szCs w:val="22"/>
              </w:rPr>
              <w:t>version</w:t>
            </w:r>
            <w:r w:rsidRPr="00B93EC0">
              <w:rPr>
                <w:rFonts w:eastAsia="Calibri"/>
                <w:bCs/>
                <w:szCs w:val="22"/>
              </w:rPr>
              <w:tab/>
              <w:t>VERSION,</w:t>
            </w:r>
          </w:p>
          <w:p w:rsidR="00B93EC0" w:rsidRPr="00B93EC0" w:rsidRDefault="00B93EC0" w:rsidP="00B93EC0">
            <w:pPr>
              <w:tabs>
                <w:tab w:val="left" w:pos="0"/>
              </w:tabs>
              <w:ind w:left="0" w:firstLine="0"/>
              <w:rPr>
                <w:rFonts w:eastAsia="Calibri"/>
                <w:bCs/>
                <w:szCs w:val="22"/>
              </w:rPr>
            </w:pPr>
            <w:r w:rsidRPr="00B93EC0">
              <w:rPr>
                <w:rFonts w:eastAsia="Calibri"/>
                <w:bCs/>
                <w:szCs w:val="22"/>
              </w:rPr>
              <w:t>ip_address</w:t>
            </w:r>
            <w:r w:rsidRPr="00B93EC0">
              <w:rPr>
                <w:rFonts w:eastAsia="Calibri"/>
                <w:bCs/>
                <w:szCs w:val="22"/>
              </w:rPr>
              <w:tab/>
              <w:t>IP_ADDRESS, dsRef</w:t>
            </w:r>
            <w:r w:rsidRPr="00B93EC0">
              <w:rPr>
                <w:rFonts w:eastAsia="Calibri"/>
                <w:bCs/>
                <w:szCs w:val="22"/>
              </w:rPr>
              <w:tab/>
              <w:t>DATASET</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 xml:space="preserve">11.4.3.3 61850_UDP_Tunnel </w:t>
            </w:r>
          </w:p>
          <w:p w:rsidR="00B93EC0" w:rsidRPr="00B93EC0" w:rsidRDefault="00B93EC0" w:rsidP="00B93EC0">
            <w:pPr>
              <w:tabs>
                <w:tab w:val="left" w:pos="0"/>
              </w:tabs>
              <w:ind w:left="0" w:firstLine="0"/>
              <w:rPr>
                <w:rFonts w:eastAsia="Calibri"/>
                <w:bCs/>
                <w:szCs w:val="22"/>
              </w:rPr>
            </w:pPr>
            <w:r w:rsidRPr="00B93EC0">
              <w:rPr>
                <w:rFonts w:eastAsia="Calibri"/>
                <w:bCs/>
                <w:szCs w:val="22"/>
              </w:rPr>
              <w:t>IEC/TR 61850-90-5 туннелийн горимын протоколын ачааллыг дараахь байдлаар тодорхойлно:</w:t>
            </w:r>
          </w:p>
          <w:p w:rsidR="00B93EC0" w:rsidRPr="00B93EC0" w:rsidRDefault="00B93EC0" w:rsidP="00B93EC0">
            <w:pPr>
              <w:tabs>
                <w:tab w:val="left" w:pos="0"/>
              </w:tabs>
              <w:ind w:left="0" w:firstLine="0"/>
              <w:rPr>
                <w:rFonts w:eastAsia="Calibri"/>
                <w:bCs/>
                <w:szCs w:val="22"/>
              </w:rPr>
            </w:pPr>
            <w:r w:rsidRPr="00B93EC0">
              <w:rPr>
                <w:rFonts w:eastAsia="Calibri"/>
                <w:bCs/>
                <w:szCs w:val="22"/>
              </w:rPr>
              <w:t>Payload Identification::= {</w:t>
            </w:r>
          </w:p>
          <w:p w:rsidR="00B93EC0" w:rsidRPr="00B93EC0" w:rsidRDefault="00B93EC0" w:rsidP="00B93EC0">
            <w:pPr>
              <w:tabs>
                <w:tab w:val="left" w:pos="0"/>
              </w:tabs>
              <w:ind w:left="0" w:firstLine="0"/>
              <w:rPr>
                <w:rFonts w:eastAsia="Calibri"/>
                <w:bCs/>
                <w:szCs w:val="22"/>
              </w:rPr>
            </w:pPr>
            <w:r w:rsidRPr="00B93EC0">
              <w:rPr>
                <w:rFonts w:eastAsia="Calibri"/>
                <w:bCs/>
                <w:szCs w:val="22"/>
              </w:rPr>
              <w:t>version</w:t>
            </w:r>
            <w:r w:rsidRPr="00B93EC0">
              <w:rPr>
                <w:rFonts w:eastAsia="Calibri"/>
                <w:bCs/>
                <w:szCs w:val="22"/>
              </w:rPr>
              <w:tab/>
              <w:t>VERSION,</w:t>
            </w:r>
          </w:p>
          <w:p w:rsidR="00B93EC0" w:rsidRPr="00B93EC0" w:rsidRDefault="00B93EC0" w:rsidP="00B93EC0">
            <w:pPr>
              <w:tabs>
                <w:tab w:val="left" w:pos="0"/>
              </w:tabs>
              <w:ind w:left="0" w:firstLine="0"/>
              <w:rPr>
                <w:rFonts w:eastAsia="Calibri"/>
                <w:bCs/>
                <w:szCs w:val="22"/>
              </w:rPr>
            </w:pPr>
            <w:r w:rsidRPr="00B93EC0">
              <w:rPr>
                <w:rFonts w:eastAsia="Calibri"/>
                <w:bCs/>
                <w:szCs w:val="22"/>
              </w:rPr>
              <w:t>ip_address</w:t>
            </w:r>
            <w:r w:rsidRPr="00B93EC0">
              <w:rPr>
                <w:rFonts w:eastAsia="Calibri"/>
                <w:bCs/>
                <w:szCs w:val="22"/>
              </w:rPr>
              <w:tab/>
              <w:t>IP_ADDRESS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Cs/>
                <w:szCs w:val="22"/>
              </w:rPr>
            </w:pPr>
            <w:r w:rsidRPr="00B93EC0">
              <w:rPr>
                <w:rFonts w:eastAsia="Calibri"/>
                <w:bCs/>
                <w:szCs w:val="22"/>
              </w:rPr>
              <w:t>DsRef байхгүй байгаа шалтгаан нь олон тооны Этернэт multicast хүрээг (ж.ньGOOSE буюуSV) нэг туннель SPDU дотор илгээж болно. Тиймээс зөвхөн очих IP хаяг нь ялгах боломжийг олгодог.</w:t>
            </w:r>
          </w:p>
          <w:p w:rsidR="00B93EC0" w:rsidRPr="00B93EC0" w:rsidRDefault="00B93EC0" w:rsidP="00B93EC0">
            <w:pPr>
              <w:tabs>
                <w:tab w:val="left" w:pos="0"/>
              </w:tabs>
              <w:ind w:left="0" w:firstLine="0"/>
              <w:rPr>
                <w:rFonts w:eastAsia="Calibri"/>
                <w:b/>
                <w:bCs/>
                <w:szCs w:val="22"/>
              </w:rPr>
            </w:pPr>
            <w:r w:rsidRPr="00B93EC0">
              <w:rPr>
                <w:rFonts w:eastAsia="Calibri"/>
                <w:b/>
                <w:bCs/>
                <w:szCs w:val="22"/>
                <w:lang w:val="en-US"/>
              </w:rPr>
              <w:t xml:space="preserve">11.4.3.4 </w:t>
            </w:r>
            <w:r w:rsidRPr="00B93EC0">
              <w:rPr>
                <w:rFonts w:eastAsia="Calibri"/>
                <w:b/>
                <w:bCs/>
                <w:szCs w:val="22"/>
              </w:rPr>
              <w:t>61850_ETHERNET_GOOSE ба 61850_ETHERNET_SV</w:t>
            </w:r>
          </w:p>
          <w:p w:rsidR="00B93EC0" w:rsidRPr="00B93EC0" w:rsidRDefault="00B93EC0" w:rsidP="00B93EC0">
            <w:pPr>
              <w:tabs>
                <w:tab w:val="left" w:pos="0"/>
              </w:tabs>
              <w:ind w:left="0" w:firstLine="0"/>
              <w:rPr>
                <w:rFonts w:eastAsia="Calibri"/>
                <w:bCs/>
                <w:szCs w:val="22"/>
              </w:rPr>
            </w:pPr>
            <w:r w:rsidRPr="00B93EC0">
              <w:rPr>
                <w:rFonts w:eastAsia="Calibri"/>
                <w:bCs/>
                <w:szCs w:val="22"/>
              </w:rPr>
              <w:t>GOOSE ба SV-ийн Этернэт хувилбаруудын ачаалал ижил байна. Ачаалал тодорхойлогчийг дараахь байдлаар тодорхойлдог:</w:t>
            </w:r>
          </w:p>
          <w:p w:rsidR="00B93EC0" w:rsidRPr="00B93EC0" w:rsidRDefault="00B93EC0" w:rsidP="00B93EC0">
            <w:pPr>
              <w:tabs>
                <w:tab w:val="left" w:pos="0"/>
              </w:tabs>
              <w:ind w:left="0" w:firstLine="0"/>
              <w:rPr>
                <w:rFonts w:eastAsia="Calibri"/>
                <w:bCs/>
                <w:szCs w:val="22"/>
              </w:rPr>
            </w:pPr>
            <w:r w:rsidRPr="00B93EC0">
              <w:rPr>
                <w:rFonts w:eastAsia="Calibri"/>
                <w:bCs/>
                <w:szCs w:val="22"/>
              </w:rPr>
              <w:t>Payload Identification::={</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              Version             VERSION,</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              DstMAC            DEST_MULTICAST_ETHERNET_ADDRESS,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              DsRef               DATASET</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11.4.3.5 61850_IP_ISO9506</w:t>
            </w:r>
          </w:p>
          <w:p w:rsidR="00B93EC0" w:rsidRPr="00B93EC0" w:rsidRDefault="00B93EC0" w:rsidP="00B93EC0">
            <w:pPr>
              <w:tabs>
                <w:tab w:val="left" w:pos="0"/>
              </w:tabs>
              <w:ind w:left="0" w:firstLine="0"/>
              <w:rPr>
                <w:rFonts w:eastAsia="Calibri"/>
                <w:bCs/>
                <w:szCs w:val="22"/>
              </w:rPr>
            </w:pPr>
            <w:r w:rsidRPr="00B93EC0">
              <w:rPr>
                <w:rFonts w:eastAsia="Calibri"/>
                <w:bCs/>
                <w:szCs w:val="22"/>
              </w:rPr>
              <w:lastRenderedPageBreak/>
              <w:t>Энэхүү ачаалал тодорхойлогч нь энэ Техникийн тайланд тусгагдаагүй.</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11.4.3.6 Нийтлэг IEC/TR 61850-90-5 ачааллын хариу талбарын тодорхойлолтууд</w:t>
            </w:r>
          </w:p>
          <w:p w:rsidR="00B93EC0" w:rsidRPr="00B93EC0" w:rsidRDefault="00B93EC0" w:rsidP="00B93EC0">
            <w:pPr>
              <w:tabs>
                <w:tab w:val="left" w:pos="0"/>
              </w:tabs>
              <w:ind w:left="0" w:firstLine="0"/>
              <w:rPr>
                <w:rFonts w:eastAsia="Calibri"/>
                <w:bCs/>
                <w:szCs w:val="22"/>
              </w:rPr>
            </w:pPr>
            <w:r w:rsidRPr="00B93EC0">
              <w:rPr>
                <w:rFonts w:eastAsia="Calibri"/>
                <w:bCs/>
                <w:szCs w:val="22"/>
              </w:rPr>
              <w:t>Ачааллын хариуг тодорхойлсон IEC/TR 61850-90-5 талбарууд нь:</w:t>
            </w:r>
          </w:p>
          <w:p w:rsidR="00B93EC0" w:rsidRPr="00B93EC0" w:rsidRDefault="00B93EC0" w:rsidP="00B93EC0">
            <w:pPr>
              <w:tabs>
                <w:tab w:val="left" w:pos="0"/>
              </w:tabs>
              <w:ind w:left="0" w:firstLine="0"/>
              <w:rPr>
                <w:rFonts w:eastAsia="Calibri"/>
                <w:bCs/>
                <w:szCs w:val="22"/>
              </w:rPr>
            </w:pPr>
            <w:r w:rsidRPr="00B93EC0">
              <w:rPr>
                <w:rFonts w:eastAsia="Calibri"/>
                <w:bCs/>
                <w:szCs w:val="22"/>
              </w:rPr>
              <w:t>ProtocolID (Prot-ID):  IEC/TR 61850-90-5 хэрэглээг заахын тулд 161 гэсэн аравтын утга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Tag: Клиентээс хүссэн Objective Identifier –ийг илэрхийлэх зорилгоор IEC / TR 61850-90-5-р тодорхойлсон ASN.1 хаяг.</w:t>
            </w:r>
          </w:p>
          <w:p w:rsidR="00B93EC0" w:rsidRPr="00B93EC0" w:rsidRDefault="00B93EC0" w:rsidP="00B93EC0">
            <w:pPr>
              <w:tabs>
                <w:tab w:val="left" w:pos="0"/>
              </w:tabs>
              <w:ind w:left="0" w:firstLine="0"/>
              <w:rPr>
                <w:rFonts w:eastAsia="Calibri"/>
                <w:bCs/>
                <w:szCs w:val="22"/>
              </w:rPr>
            </w:pPr>
            <w:r w:rsidRPr="00B93EC0">
              <w:rPr>
                <w:rFonts w:eastAsia="Calibri"/>
                <w:bCs/>
                <w:szCs w:val="22"/>
              </w:rPr>
              <w:t>LengthofOID:Objective Identifier утгын ASN.1 урт.</w:t>
            </w:r>
          </w:p>
          <w:p w:rsidR="00B93EC0" w:rsidRPr="00B93EC0" w:rsidRDefault="00B93EC0" w:rsidP="00B93EC0">
            <w:pPr>
              <w:tabs>
                <w:tab w:val="left" w:pos="0"/>
              </w:tabs>
              <w:ind w:left="0" w:firstLine="0"/>
              <w:rPr>
                <w:rFonts w:eastAsia="Calibri"/>
                <w:bCs/>
                <w:szCs w:val="22"/>
              </w:rPr>
            </w:pPr>
            <w:r w:rsidRPr="00B93EC0">
              <w:rPr>
                <w:rFonts w:eastAsia="Calibri"/>
                <w:bCs/>
                <w:szCs w:val="22"/>
              </w:rPr>
              <w:t>ASN.1forOID:Object Identifier-т ASN.1 кодчилсон утга.</w:t>
            </w:r>
          </w:p>
          <w:p w:rsidR="00B93EC0" w:rsidRPr="00B93EC0" w:rsidRDefault="00B93EC0" w:rsidP="00B93EC0">
            <w:pPr>
              <w:tabs>
                <w:tab w:val="left" w:pos="0"/>
              </w:tabs>
              <w:ind w:left="0" w:firstLine="0"/>
              <w:rPr>
                <w:rFonts w:eastAsia="Calibri"/>
                <w:bCs/>
                <w:szCs w:val="22"/>
              </w:rPr>
            </w:pPr>
            <w:r w:rsidRPr="00B93EC0">
              <w:rPr>
                <w:rFonts w:eastAsia="Calibri"/>
                <w:bCs/>
                <w:szCs w:val="22"/>
              </w:rPr>
              <w:t>Current Key ID (Cur KeyID): Нэг (1)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SA Life Type ID (RFC 2407): Нэгдсэн аюулгүй байдлын холбоондажиллах хугацаа дуусахыг тодорхойлно.SA хугацаа нь дуусах үед холбоонд (AH ба ESP) тохиролцсон бүх түлхүүрүүдийг дахин хэлэлцэх ёстой. SA Life Type ID талбар нь нэг (1) байх ёстой..</w:t>
            </w:r>
          </w:p>
          <w:p w:rsidR="00B93EC0" w:rsidRPr="00B93EC0" w:rsidRDefault="00B93EC0" w:rsidP="00B93EC0">
            <w:pPr>
              <w:tabs>
                <w:tab w:val="left" w:pos="0"/>
              </w:tabs>
              <w:ind w:left="0" w:firstLine="0"/>
              <w:rPr>
                <w:rFonts w:eastAsia="Calibri"/>
                <w:bCs/>
                <w:szCs w:val="22"/>
              </w:rPr>
            </w:pPr>
            <w:r w:rsidRPr="00B93EC0">
              <w:rPr>
                <w:rFonts w:eastAsia="Calibri"/>
                <w:bCs/>
                <w:szCs w:val="22"/>
              </w:rPr>
              <w:t>SA Life Type Value: Ажиллах хугацааны утга нь:</w:t>
            </w:r>
          </w:p>
          <w:p w:rsidR="00B93EC0" w:rsidRPr="00B93EC0" w:rsidRDefault="00B93EC0" w:rsidP="00B93EC0">
            <w:pPr>
              <w:tabs>
                <w:tab w:val="left" w:pos="0"/>
              </w:tabs>
              <w:ind w:left="0" w:firstLine="0"/>
              <w:rPr>
                <w:rFonts w:eastAsia="Calibri"/>
                <w:bCs/>
                <w:szCs w:val="22"/>
              </w:rPr>
            </w:pPr>
            <w:r w:rsidRPr="00B93EC0">
              <w:rPr>
                <w:rFonts w:eastAsia="Calibri"/>
                <w:bCs/>
                <w:szCs w:val="22"/>
              </w:rPr>
              <w:t>RESERVED</w:t>
            </w:r>
            <w:r w:rsidRPr="00B93EC0">
              <w:rPr>
                <w:rFonts w:eastAsia="Calibri"/>
                <w:bCs/>
                <w:szCs w:val="22"/>
              </w:rPr>
              <w:tab/>
              <w:t>0</w:t>
            </w:r>
          </w:p>
          <w:p w:rsidR="00B93EC0" w:rsidRPr="00B93EC0" w:rsidRDefault="00B93EC0" w:rsidP="00B93EC0">
            <w:pPr>
              <w:tabs>
                <w:tab w:val="left" w:pos="0"/>
              </w:tabs>
              <w:ind w:left="0" w:firstLine="0"/>
              <w:rPr>
                <w:rFonts w:eastAsia="Calibri"/>
                <w:bCs/>
                <w:szCs w:val="22"/>
              </w:rPr>
            </w:pPr>
            <w:r w:rsidRPr="00B93EC0">
              <w:rPr>
                <w:rFonts w:eastAsia="Calibri"/>
                <w:bCs/>
                <w:szCs w:val="22"/>
              </w:rPr>
              <w:t>seconds</w:t>
            </w:r>
            <w:r w:rsidRPr="00B93EC0">
              <w:rPr>
                <w:rFonts w:eastAsia="Calibri"/>
                <w:bCs/>
                <w:szCs w:val="22"/>
              </w:rPr>
              <w:tab/>
              <w:t>1</w:t>
            </w:r>
          </w:p>
          <w:p w:rsidR="00B93EC0" w:rsidRPr="00B93EC0" w:rsidRDefault="00B93EC0" w:rsidP="00B93EC0">
            <w:pPr>
              <w:tabs>
                <w:tab w:val="left" w:pos="0"/>
              </w:tabs>
              <w:ind w:left="0" w:firstLine="0"/>
              <w:rPr>
                <w:rFonts w:eastAsia="Calibri"/>
                <w:bCs/>
                <w:szCs w:val="22"/>
              </w:rPr>
            </w:pPr>
            <w:r w:rsidRPr="00B93EC0">
              <w:rPr>
                <w:rFonts w:eastAsia="Calibri"/>
                <w:bCs/>
                <w:szCs w:val="22"/>
              </w:rPr>
              <w:t>kilobytes</w:t>
            </w:r>
            <w:r w:rsidRPr="00B93EC0">
              <w:rPr>
                <w:rFonts w:eastAsia="Calibri"/>
                <w:bCs/>
                <w:szCs w:val="22"/>
              </w:rPr>
              <w:tab/>
              <w:t>2</w:t>
            </w:r>
          </w:p>
          <w:p w:rsidR="00B93EC0" w:rsidRPr="00B93EC0" w:rsidRDefault="00B93EC0" w:rsidP="00B93EC0">
            <w:pPr>
              <w:tabs>
                <w:tab w:val="left" w:pos="0"/>
              </w:tabs>
              <w:ind w:left="0" w:firstLine="0"/>
              <w:rPr>
                <w:rFonts w:eastAsia="Calibri"/>
                <w:bCs/>
                <w:szCs w:val="22"/>
              </w:rPr>
            </w:pPr>
            <w:r w:rsidRPr="00B93EC0">
              <w:rPr>
                <w:rFonts w:eastAsia="Calibri"/>
                <w:bCs/>
                <w:szCs w:val="22"/>
              </w:rPr>
              <w:t>Утга нь секундын дотор ашиглалтын хугацааг илэрхийлэх нэг (1)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Remaining LifeTime Value: дараагийн төлөвлөгдсөнтүлхүүр өөрчлөгдөхөөс өмнөх секундын тоог зааж өгнө. Тэг (0) утга нь ямар ч түлхүүр өөрчлөлт хийгдээгүй байгааг илтгэнэ.</w:t>
            </w:r>
          </w:p>
          <w:p w:rsidR="00B93EC0" w:rsidRPr="00B93EC0" w:rsidRDefault="00B93EC0" w:rsidP="00B93EC0">
            <w:pPr>
              <w:tabs>
                <w:tab w:val="left" w:pos="0"/>
              </w:tabs>
              <w:ind w:left="0" w:firstLine="0"/>
              <w:rPr>
                <w:rFonts w:eastAsia="Calibri"/>
                <w:bCs/>
                <w:szCs w:val="22"/>
              </w:rPr>
            </w:pPr>
            <w:r w:rsidRPr="00B93EC0">
              <w:rPr>
                <w:rFonts w:eastAsia="Calibri"/>
                <w:bCs/>
                <w:szCs w:val="22"/>
              </w:rPr>
              <w:t>Authentication Algorithm ID (RFC 2407): Тав(5)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Authentication Algorithm Value: Дараахь утгуудын багцын нэг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HMAC-SHA256 value of61440</w:t>
            </w:r>
          </w:p>
          <w:p w:rsidR="00B93EC0" w:rsidRPr="00B93EC0" w:rsidRDefault="00B93EC0" w:rsidP="00B93EC0">
            <w:pPr>
              <w:tabs>
                <w:tab w:val="left" w:pos="0"/>
              </w:tabs>
              <w:ind w:left="0" w:firstLine="0"/>
              <w:rPr>
                <w:rFonts w:eastAsia="Calibri"/>
                <w:bCs/>
                <w:szCs w:val="22"/>
              </w:rPr>
            </w:pPr>
            <w:r w:rsidRPr="00B93EC0">
              <w:rPr>
                <w:rFonts w:eastAsia="Calibri"/>
                <w:bCs/>
                <w:szCs w:val="22"/>
              </w:rPr>
              <w:lastRenderedPageBreak/>
              <w:t>AES-GMAC-128</w:t>
            </w:r>
            <w:r w:rsidRPr="00B93EC0">
              <w:rPr>
                <w:rFonts w:eastAsia="Calibri"/>
                <w:bCs/>
                <w:szCs w:val="22"/>
              </w:rPr>
              <w:tab/>
              <w:t>value of61441</w:t>
            </w:r>
          </w:p>
          <w:p w:rsidR="00B93EC0" w:rsidRPr="00B93EC0" w:rsidRDefault="00B93EC0" w:rsidP="00B93EC0">
            <w:pPr>
              <w:tabs>
                <w:tab w:val="left" w:pos="0"/>
              </w:tabs>
              <w:ind w:left="0" w:firstLine="0"/>
              <w:rPr>
                <w:rFonts w:eastAsia="Calibri"/>
                <w:bCs/>
                <w:szCs w:val="22"/>
              </w:rPr>
            </w:pPr>
            <w:r w:rsidRPr="00B93EC0">
              <w:rPr>
                <w:rFonts w:eastAsia="Calibri"/>
                <w:bCs/>
                <w:szCs w:val="22"/>
              </w:rPr>
              <w:t>Key Algorithm: 20 (аравтын) байх ба дараагийн октет нь одоо ашиглаж байгаа түлхүүрийн Key Algorithm-ын тодорхойлолтыг агуулна.</w:t>
            </w:r>
          </w:p>
          <w:p w:rsidR="00B93EC0" w:rsidRPr="00B93EC0" w:rsidRDefault="00B93EC0" w:rsidP="00B93EC0">
            <w:pPr>
              <w:tabs>
                <w:tab w:val="left" w:pos="0"/>
              </w:tabs>
              <w:ind w:left="0" w:firstLine="0"/>
              <w:rPr>
                <w:rFonts w:eastAsia="Calibri"/>
                <w:bCs/>
                <w:szCs w:val="22"/>
              </w:rPr>
            </w:pPr>
            <w:r w:rsidRPr="00B93EC0">
              <w:rPr>
                <w:rFonts w:eastAsia="Calibri"/>
                <w:bCs/>
                <w:szCs w:val="22"/>
              </w:rPr>
              <w:t>KeyLengthID:RFC 2407-д тодорхойлсоноор одоогийн түлхүүрийн уртын хэмжээг илрэхийлнэ.</w:t>
            </w:r>
          </w:p>
          <w:p w:rsidR="00B93EC0" w:rsidRPr="00B93EC0" w:rsidRDefault="00B93EC0" w:rsidP="00B93EC0">
            <w:pPr>
              <w:tabs>
                <w:tab w:val="left" w:pos="0"/>
              </w:tabs>
              <w:ind w:left="0" w:firstLine="0"/>
              <w:rPr>
                <w:rFonts w:eastAsia="Calibri"/>
                <w:bCs/>
                <w:szCs w:val="22"/>
              </w:rPr>
            </w:pPr>
            <w:r w:rsidRPr="00B93EC0">
              <w:rPr>
                <w:rFonts w:eastAsia="Calibri"/>
                <w:bCs/>
                <w:szCs w:val="22"/>
              </w:rPr>
              <w:t>Next Key Length: түлхүүр утгын октетын тоо.</w:t>
            </w:r>
          </w:p>
          <w:p w:rsidR="00B93EC0" w:rsidRPr="00B93EC0" w:rsidRDefault="00B93EC0" w:rsidP="00B93EC0">
            <w:pPr>
              <w:tabs>
                <w:tab w:val="left" w:pos="0"/>
              </w:tabs>
              <w:ind w:left="0" w:firstLine="0"/>
              <w:rPr>
                <w:rFonts w:eastAsia="Calibri"/>
                <w:bCs/>
                <w:szCs w:val="22"/>
              </w:rPr>
            </w:pPr>
            <w:r w:rsidRPr="00B93EC0">
              <w:rPr>
                <w:rFonts w:eastAsia="Calibri"/>
                <w:bCs/>
                <w:szCs w:val="22"/>
              </w:rPr>
              <w:t>Current Key Key: Одоогийн ашиглаж байгаа бодит түлхүүр. Октетийн тоог тодорхойлсон Key Length зохицуулна.</w:t>
            </w:r>
          </w:p>
          <w:p w:rsidR="00B93EC0" w:rsidRPr="00B93EC0" w:rsidRDefault="00B93EC0" w:rsidP="00B93EC0">
            <w:pPr>
              <w:tabs>
                <w:tab w:val="left" w:pos="0"/>
              </w:tabs>
              <w:ind w:left="0" w:firstLine="0"/>
              <w:rPr>
                <w:rFonts w:eastAsia="Calibri"/>
                <w:bCs/>
                <w:szCs w:val="22"/>
              </w:rPr>
            </w:pPr>
            <w:r w:rsidRPr="00B93EC0">
              <w:rPr>
                <w:rFonts w:eastAsia="Calibri"/>
                <w:bCs/>
                <w:szCs w:val="22"/>
              </w:rPr>
              <w:t>Next Key ID: 21 (аравтын) байх ба ачаалал нь одоогийн түлхүүрийн хугацаа дуусах үед ашиглагдах өөр түлхүүр агуулж байгааг илтгэнэ.</w:t>
            </w:r>
          </w:p>
          <w:p w:rsidR="00B93EC0" w:rsidRPr="00B93EC0" w:rsidRDefault="00B93EC0" w:rsidP="00B93EC0">
            <w:pPr>
              <w:tabs>
                <w:tab w:val="left" w:pos="0"/>
              </w:tabs>
              <w:ind w:left="0" w:firstLine="0"/>
              <w:rPr>
                <w:rFonts w:eastAsia="Calibri"/>
                <w:bCs/>
                <w:szCs w:val="22"/>
              </w:rPr>
            </w:pPr>
            <w:r w:rsidRPr="00B93EC0">
              <w:rPr>
                <w:rFonts w:eastAsia="Calibri"/>
                <w:bCs/>
                <w:szCs w:val="22"/>
              </w:rPr>
              <w:t>Key LifeTime Value:дараагийн төлөвлөгдсөнтүлхүүр өөрчлөгдөхөөс өмнөх секундын тоог зааж өгнө.Тэг (0) утга нь ямар ч түлхүүр өөрчлөлт хийгдээгүй байгааг илтгэнэ.</w:t>
            </w:r>
          </w:p>
          <w:p w:rsidR="00B93EC0" w:rsidRPr="00B93EC0" w:rsidRDefault="00B93EC0" w:rsidP="00B93EC0">
            <w:pPr>
              <w:tabs>
                <w:tab w:val="left" w:pos="0"/>
              </w:tabs>
              <w:ind w:left="0" w:firstLine="0"/>
              <w:rPr>
                <w:rFonts w:eastAsia="Calibri"/>
                <w:bCs/>
                <w:szCs w:val="22"/>
              </w:rPr>
            </w:pPr>
            <w:r w:rsidRPr="00B93EC0">
              <w:rPr>
                <w:rFonts w:eastAsia="Calibri"/>
                <w:bCs/>
                <w:szCs w:val="22"/>
              </w:rPr>
              <w:t>Next Key Key: Ашиглах дараагийн түлхүүр.Октетийн тоог тодорхойлсон Next Key Lengthзохицуулна.</w:t>
            </w:r>
          </w:p>
          <w:p w:rsidR="00B93EC0" w:rsidRPr="00095C1D" w:rsidRDefault="00B93EC0" w:rsidP="00B93EC0">
            <w:pPr>
              <w:tabs>
                <w:tab w:val="left" w:pos="0"/>
              </w:tabs>
              <w:ind w:left="0" w:firstLine="0"/>
              <w:rPr>
                <w:rFonts w:eastAsia="Calibri"/>
                <w:b/>
                <w:bCs/>
                <w:szCs w:val="22"/>
              </w:rPr>
            </w:pPr>
            <w:r w:rsidRPr="00095C1D">
              <w:rPr>
                <w:rFonts w:eastAsia="Calibri"/>
                <w:b/>
                <w:bCs/>
                <w:szCs w:val="22"/>
              </w:rPr>
              <w:t>11.4.4 Удирдамжийн хариу</w:t>
            </w:r>
          </w:p>
          <w:p w:rsidR="00B93EC0" w:rsidRPr="00B93EC0" w:rsidRDefault="00B93EC0" w:rsidP="00B93EC0">
            <w:pPr>
              <w:tabs>
                <w:tab w:val="left" w:pos="0"/>
              </w:tabs>
              <w:ind w:left="0" w:firstLine="0"/>
              <w:rPr>
                <w:rFonts w:eastAsia="Calibri"/>
                <w:bCs/>
                <w:szCs w:val="22"/>
              </w:rPr>
            </w:pPr>
            <w:r w:rsidRPr="00B93EC0">
              <w:rPr>
                <w:rFonts w:eastAsia="Calibri"/>
                <w:bCs/>
                <w:szCs w:val="22"/>
              </w:rPr>
              <w:t>Удирдамжийн хариу нь дараахь загвартай:</w:t>
            </w:r>
          </w:p>
          <w:p w:rsidR="00B93EC0" w:rsidRPr="00B93EC0" w:rsidRDefault="00B93EC0" w:rsidP="00B93EC0">
            <w:pPr>
              <w:tabs>
                <w:tab w:val="left" w:pos="0"/>
              </w:tabs>
              <w:ind w:left="0" w:firstLine="0"/>
              <w:rPr>
                <w:rFonts w:eastAsia="Calibri"/>
                <w:bCs/>
                <w:szCs w:val="22"/>
              </w:rPr>
            </w:pPr>
            <w:r w:rsidRPr="00B93EC0">
              <w:rPr>
                <w:rFonts w:eastAsia="Calibri"/>
                <w:bCs/>
                <w:szCs w:val="22"/>
              </w:rPr>
              <w:t>Зураг 30-д удирдамжийн хариу хүрээний талбарын тодорхойлолт ба  жишээ утгыг харуулав.</w:t>
            </w:r>
          </w:p>
          <w:p w:rsidR="00B93EC0" w:rsidRPr="00B93EC0" w:rsidRDefault="00B93EC0" w:rsidP="00B93EC0">
            <w:pPr>
              <w:tabs>
                <w:tab w:val="left" w:pos="0"/>
              </w:tabs>
              <w:ind w:left="0" w:firstLine="0"/>
              <w:rPr>
                <w:rFonts w:eastAsia="Calibri"/>
                <w:bCs/>
                <w:szCs w:val="22"/>
              </w:rPr>
            </w:pPr>
            <w:r w:rsidRPr="00B93EC0">
              <w:rPr>
                <w:rFonts w:eastAsia="Calibri"/>
                <w:bCs/>
                <w:szCs w:val="22"/>
              </w:rPr>
              <w:t>RFC 3547 талбарын тодорхойлолтууд нь:</w:t>
            </w:r>
          </w:p>
          <w:p w:rsidR="00B93EC0" w:rsidRPr="00B93EC0" w:rsidRDefault="00B93EC0" w:rsidP="00B93EC0">
            <w:pPr>
              <w:tabs>
                <w:tab w:val="left" w:pos="0"/>
              </w:tabs>
              <w:ind w:left="0" w:firstLine="0"/>
              <w:rPr>
                <w:rFonts w:eastAsia="Calibri"/>
                <w:bCs/>
                <w:szCs w:val="22"/>
              </w:rPr>
            </w:pPr>
            <w:r w:rsidRPr="00B93EC0">
              <w:rPr>
                <w:rFonts w:eastAsia="Calibri"/>
                <w:bCs/>
                <w:szCs w:val="22"/>
              </w:rPr>
              <w:t>NextPayload(NP):RFC 3547-д тодорхойлсоноор тэг (0)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PayloadLength:RFC 3547-р тодорхойлсон мессежийн урт</w:t>
            </w:r>
          </w:p>
          <w:p w:rsidR="00B93EC0" w:rsidRPr="00B93EC0" w:rsidRDefault="00B93EC0" w:rsidP="00B93EC0">
            <w:pPr>
              <w:tabs>
                <w:tab w:val="left" w:pos="0"/>
              </w:tabs>
              <w:ind w:left="0" w:firstLine="0"/>
              <w:rPr>
                <w:rFonts w:eastAsia="Calibri"/>
                <w:bCs/>
                <w:szCs w:val="22"/>
              </w:rPr>
            </w:pPr>
            <w:r w:rsidRPr="00B93EC0">
              <w:rPr>
                <w:rFonts w:eastAsia="Calibri"/>
                <w:bCs/>
                <w:szCs w:val="22"/>
              </w:rPr>
              <w:t>Domain of Information (DOI): RFC 3547-д тодорхойлсоноор хоёр (2) GDOI протоколыг тодорхой заах ёстой.</w:t>
            </w:r>
          </w:p>
          <w:p w:rsidR="00B93EC0" w:rsidRPr="00B93EC0" w:rsidRDefault="00B93EC0" w:rsidP="00B93EC0">
            <w:pPr>
              <w:tabs>
                <w:tab w:val="left" w:pos="0"/>
              </w:tabs>
              <w:ind w:left="0" w:firstLine="0"/>
              <w:rPr>
                <w:rFonts w:eastAsia="Calibri"/>
                <w:bCs/>
                <w:szCs w:val="22"/>
              </w:rPr>
            </w:pPr>
            <w:r w:rsidRPr="00B93EC0">
              <w:rPr>
                <w:rFonts w:eastAsia="Calibri"/>
                <w:bCs/>
                <w:szCs w:val="22"/>
              </w:rPr>
              <w:t>Situation: RFC 3547-д тодорхойлсоноор тэг (0)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lastRenderedPageBreak/>
              <w:t>SAAttributeNextPayload:RFC 3547-ийн тодорхойлолт нь аравтын утгатай байна:</w:t>
            </w:r>
          </w:p>
          <w:p w:rsidR="00B93EC0" w:rsidRPr="00B93EC0" w:rsidRDefault="00B93EC0" w:rsidP="00B93EC0">
            <w:pPr>
              <w:tabs>
                <w:tab w:val="left" w:pos="0"/>
              </w:tabs>
              <w:ind w:left="0" w:firstLine="0"/>
              <w:rPr>
                <w:rFonts w:eastAsia="Calibri"/>
                <w:bCs/>
                <w:szCs w:val="22"/>
              </w:rPr>
            </w:pPr>
            <w:r w:rsidRPr="00B93EC0">
              <w:rPr>
                <w:rFonts w:eastAsia="Calibri"/>
                <w:bCs/>
                <w:szCs w:val="22"/>
              </w:rPr>
              <w:t>15 – SAKPayload,</w:t>
            </w:r>
          </w:p>
          <w:p w:rsidR="00B93EC0" w:rsidRPr="00B93EC0" w:rsidRDefault="00B93EC0" w:rsidP="00B93EC0">
            <w:pPr>
              <w:tabs>
                <w:tab w:val="left" w:pos="0"/>
              </w:tabs>
              <w:ind w:left="0" w:firstLine="0"/>
              <w:rPr>
                <w:rFonts w:eastAsia="Calibri"/>
                <w:bCs/>
                <w:szCs w:val="22"/>
              </w:rPr>
            </w:pPr>
            <w:r w:rsidRPr="00B93EC0">
              <w:rPr>
                <w:rFonts w:eastAsia="Calibri"/>
                <w:bCs/>
                <w:szCs w:val="22"/>
              </w:rPr>
              <w:t>16 – SATPayload.</w:t>
            </w:r>
          </w:p>
          <w:p w:rsidR="00B93EC0" w:rsidRPr="00B93EC0" w:rsidRDefault="00B93EC0" w:rsidP="00B93EC0">
            <w:pPr>
              <w:tabs>
                <w:tab w:val="left" w:pos="0"/>
              </w:tabs>
              <w:ind w:left="0" w:firstLine="0"/>
              <w:rPr>
                <w:rFonts w:eastAsia="Calibri"/>
                <w:bCs/>
                <w:szCs w:val="22"/>
              </w:rPr>
            </w:pPr>
            <w:r w:rsidRPr="00B93EC0">
              <w:rPr>
                <w:rFonts w:eastAsia="Calibri"/>
                <w:bCs/>
                <w:szCs w:val="22"/>
              </w:rPr>
              <w:t>IEC/TR 61850-90-5 тодорхой утгын тодорхойлолтыг 11.4.3.6-д тодорхойлсон болно.</w:t>
            </w:r>
          </w:p>
          <w:p w:rsidR="00B93EC0" w:rsidRPr="00B93EC0" w:rsidRDefault="00B93EC0" w:rsidP="00B93EC0">
            <w:pPr>
              <w:tabs>
                <w:tab w:val="left" w:pos="0"/>
              </w:tabs>
              <w:ind w:left="0" w:firstLine="0"/>
              <w:rPr>
                <w:rFonts w:eastAsia="Calibri"/>
                <w:bCs/>
                <w:szCs w:val="22"/>
              </w:rPr>
            </w:pPr>
            <w:r w:rsidRPr="00B93EC0">
              <w:rPr>
                <w:rFonts w:eastAsia="Calibri"/>
                <w:bCs/>
                <w:szCs w:val="22"/>
              </w:rPr>
              <w:t>Дараахь октетууд, түүний дотор NextKey октет дараахь нөхцөлд KeyPayload-д орох ёсгүй:</w:t>
            </w:r>
          </w:p>
          <w:p w:rsidR="00B93EC0" w:rsidRPr="00B93EC0" w:rsidRDefault="00B93EC0" w:rsidP="00B93EC0">
            <w:pPr>
              <w:tabs>
                <w:tab w:val="left" w:pos="0"/>
              </w:tabs>
              <w:ind w:left="0" w:firstLine="0"/>
              <w:rPr>
                <w:rFonts w:eastAsia="Calibri"/>
                <w:bCs/>
                <w:szCs w:val="22"/>
              </w:rPr>
            </w:pPr>
            <w:r w:rsidRPr="00B93EC0">
              <w:rPr>
                <w:rFonts w:eastAsia="Calibri"/>
                <w:bCs/>
                <w:szCs w:val="22"/>
              </w:rPr>
              <w:t>Хэрэв Ачаалал нь бүлгийн гишүүдэд шахагдаж байгаа бол.</w:t>
            </w:r>
          </w:p>
          <w:p w:rsidR="00B93EC0" w:rsidRPr="00B93EC0" w:rsidRDefault="00B93EC0" w:rsidP="00B93EC0">
            <w:pPr>
              <w:tabs>
                <w:tab w:val="left" w:pos="0"/>
              </w:tabs>
              <w:ind w:left="0" w:firstLine="0"/>
              <w:rPr>
                <w:rFonts w:eastAsia="Calibri"/>
                <w:bCs/>
                <w:szCs w:val="22"/>
              </w:rPr>
            </w:pPr>
            <w:r w:rsidRPr="00B93EC0">
              <w:rPr>
                <w:rFonts w:eastAsia="Calibri"/>
                <w:bCs/>
                <w:szCs w:val="22"/>
              </w:rPr>
              <w:t>Хэрэв клиентийн баталгаажуулалтын итгэмжлэл нь одоогийн түлхүүрийн хугацаа дуусахаас өмнө хугацаа нь дуусах бол.</w:t>
            </w:r>
          </w:p>
          <w:p w:rsidR="00B93EC0" w:rsidRPr="00B93EC0" w:rsidRDefault="00B93EC0" w:rsidP="00B93EC0">
            <w:pPr>
              <w:tabs>
                <w:tab w:val="left" w:pos="0"/>
              </w:tabs>
              <w:ind w:left="0" w:firstLine="0"/>
              <w:rPr>
                <w:rFonts w:eastAsia="Calibri"/>
                <w:bCs/>
                <w:szCs w:val="22"/>
              </w:rPr>
            </w:pPr>
            <w:r w:rsidRPr="00B93EC0">
              <w:rPr>
                <w:rFonts w:eastAsia="Calibri"/>
                <w:bCs/>
                <w:szCs w:val="22"/>
              </w:rPr>
              <w:t>Хэрэв дараагийн түлхүүрийг томилоогүй эсвэл тооцоолоогүй бол.</w:t>
            </w:r>
          </w:p>
        </w:tc>
        <w:tc>
          <w:tcPr>
            <w:tcW w:w="4672" w:type="dxa"/>
          </w:tcPr>
          <w:p w:rsidR="00B93EC0" w:rsidRPr="00B93EC0" w:rsidRDefault="00B93EC0" w:rsidP="00B93EC0">
            <w:pPr>
              <w:tabs>
                <w:tab w:val="left" w:pos="0"/>
              </w:tabs>
              <w:ind w:left="0" w:firstLine="0"/>
              <w:rPr>
                <w:rFonts w:eastAsia="Calibri"/>
                <w:b/>
                <w:bCs/>
                <w:szCs w:val="22"/>
              </w:rPr>
            </w:pPr>
            <w:r w:rsidRPr="00B93EC0">
              <w:rPr>
                <w:rFonts w:eastAsia="Calibri"/>
                <w:b/>
                <w:bCs/>
                <w:szCs w:val="22"/>
              </w:rPr>
              <w:lastRenderedPageBreak/>
              <w:t>11.4.3.1.4 DATASET</w:t>
            </w:r>
          </w:p>
          <w:p w:rsidR="00B93EC0" w:rsidRPr="00B93EC0" w:rsidRDefault="00B93EC0" w:rsidP="00B93EC0">
            <w:pPr>
              <w:tabs>
                <w:tab w:val="left" w:pos="0"/>
              </w:tabs>
              <w:ind w:left="0" w:firstLine="0"/>
              <w:rPr>
                <w:rFonts w:eastAsia="Calibri"/>
                <w:bCs/>
                <w:szCs w:val="22"/>
              </w:rPr>
            </w:pPr>
            <w:r w:rsidRPr="00B93EC0">
              <w:rPr>
                <w:rFonts w:eastAsia="Calibri"/>
                <w:bCs/>
                <w:szCs w:val="22"/>
              </w:rPr>
              <w:t>The DATASET value component allows the specification of an IEC 61850 DataSet Reference (DSRef), as specified in IEC 61850-7-2.</w:t>
            </w:r>
          </w:p>
          <w:p w:rsidR="00B93EC0" w:rsidRPr="00B93EC0" w:rsidRDefault="00B93EC0" w:rsidP="00B93EC0">
            <w:pPr>
              <w:tabs>
                <w:tab w:val="left" w:pos="0"/>
              </w:tabs>
              <w:ind w:left="0" w:firstLine="0"/>
              <w:rPr>
                <w:rFonts w:eastAsia="Calibri"/>
                <w:bCs/>
                <w:szCs w:val="22"/>
              </w:rPr>
            </w:pPr>
            <w:r w:rsidRPr="00B93EC0">
              <w:rPr>
                <w:rFonts w:eastAsia="Calibri"/>
                <w:bCs/>
                <w:szCs w:val="22"/>
              </w:rPr>
              <w:t>DATASET::={</w:t>
            </w:r>
          </w:p>
          <w:p w:rsidR="00B93EC0" w:rsidRPr="00B93EC0" w:rsidRDefault="00B93EC0" w:rsidP="00B93EC0">
            <w:pPr>
              <w:tabs>
                <w:tab w:val="left" w:pos="0"/>
              </w:tabs>
              <w:ind w:left="0" w:firstLine="0"/>
              <w:rPr>
                <w:rFonts w:eastAsia="Calibri"/>
                <w:bCs/>
                <w:szCs w:val="22"/>
              </w:rPr>
            </w:pPr>
            <w:r w:rsidRPr="00B93EC0">
              <w:rPr>
                <w:rFonts w:eastAsia="Calibri"/>
                <w:bCs/>
                <w:szCs w:val="22"/>
              </w:rPr>
              <w:t>length_of_DataSet_Reference</w:t>
            </w:r>
            <w:r w:rsidRPr="00B93EC0">
              <w:rPr>
                <w:rFonts w:eastAsia="Calibri"/>
                <w:bCs/>
                <w:szCs w:val="22"/>
              </w:rPr>
              <w:tab/>
              <w:t>UNSIGNED INTEGER8,</w:t>
            </w:r>
          </w:p>
          <w:p w:rsidR="00B93EC0" w:rsidRPr="00B93EC0" w:rsidRDefault="00B93EC0" w:rsidP="00B93EC0">
            <w:pPr>
              <w:tabs>
                <w:tab w:val="left" w:pos="0"/>
              </w:tabs>
              <w:ind w:left="0" w:firstLine="0"/>
              <w:rPr>
                <w:rFonts w:eastAsia="Calibri"/>
                <w:bCs/>
                <w:szCs w:val="22"/>
              </w:rPr>
            </w:pPr>
            <w:r w:rsidRPr="00B93EC0">
              <w:rPr>
                <w:rFonts w:eastAsia="Calibri"/>
                <w:bCs/>
                <w:szCs w:val="22"/>
              </w:rPr>
              <w:lastRenderedPageBreak/>
              <w:t>dataSet_Reference</w:t>
            </w:r>
            <w:r w:rsidRPr="00B93EC0">
              <w:rPr>
                <w:rFonts w:eastAsia="Calibri"/>
                <w:bCs/>
                <w:szCs w:val="22"/>
              </w:rPr>
              <w:tab/>
              <w:t>octet[length_of_DataSet_Reference]</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11.4.3.2 61850_UDP_ADDR_GOOSE and 61850_UDP_ADDR_SV</w:t>
            </w:r>
          </w:p>
          <w:p w:rsidR="00B93EC0" w:rsidRPr="00B93EC0" w:rsidRDefault="00B93EC0" w:rsidP="00B93EC0">
            <w:pPr>
              <w:tabs>
                <w:tab w:val="left" w:pos="0"/>
              </w:tabs>
              <w:ind w:left="0" w:firstLine="0"/>
              <w:rPr>
                <w:rFonts w:eastAsia="Calibri"/>
                <w:bCs/>
                <w:szCs w:val="22"/>
              </w:rPr>
            </w:pPr>
            <w:r w:rsidRPr="00B93EC0">
              <w:rPr>
                <w:rFonts w:eastAsia="Calibri"/>
                <w:bCs/>
                <w:szCs w:val="22"/>
              </w:rPr>
              <w:t>The payload for the IP versions of GOOSE and SV are the same. The payload is defined as:</w:t>
            </w:r>
          </w:p>
          <w:p w:rsidR="00B93EC0" w:rsidRPr="00B93EC0" w:rsidRDefault="00B93EC0" w:rsidP="00B93EC0">
            <w:pPr>
              <w:tabs>
                <w:tab w:val="left" w:pos="0"/>
              </w:tabs>
              <w:ind w:left="0" w:firstLine="0"/>
              <w:rPr>
                <w:rFonts w:eastAsia="Calibri"/>
                <w:bCs/>
                <w:szCs w:val="22"/>
              </w:rPr>
            </w:pPr>
            <w:r w:rsidRPr="00B93EC0">
              <w:rPr>
                <w:rFonts w:eastAsia="Calibri"/>
                <w:bCs/>
                <w:szCs w:val="22"/>
              </w:rPr>
              <w:t>Payload Identification::= {</w:t>
            </w:r>
          </w:p>
          <w:p w:rsidR="00B93EC0" w:rsidRPr="00B93EC0" w:rsidRDefault="00B93EC0" w:rsidP="00B93EC0">
            <w:pPr>
              <w:tabs>
                <w:tab w:val="left" w:pos="0"/>
              </w:tabs>
              <w:ind w:left="0" w:firstLine="0"/>
              <w:rPr>
                <w:rFonts w:eastAsia="Calibri"/>
                <w:bCs/>
                <w:szCs w:val="22"/>
              </w:rPr>
            </w:pPr>
            <w:r w:rsidRPr="00B93EC0">
              <w:rPr>
                <w:rFonts w:eastAsia="Calibri"/>
                <w:bCs/>
                <w:szCs w:val="22"/>
              </w:rPr>
              <w:t>version</w:t>
            </w:r>
            <w:r w:rsidRPr="00B93EC0">
              <w:rPr>
                <w:rFonts w:eastAsia="Calibri"/>
                <w:bCs/>
                <w:szCs w:val="22"/>
              </w:rPr>
              <w:tab/>
              <w:t>VERSION,</w:t>
            </w:r>
          </w:p>
          <w:p w:rsidR="00B93EC0" w:rsidRPr="00B93EC0" w:rsidRDefault="00B93EC0" w:rsidP="00B93EC0">
            <w:pPr>
              <w:tabs>
                <w:tab w:val="left" w:pos="0"/>
              </w:tabs>
              <w:ind w:left="0" w:firstLine="0"/>
              <w:rPr>
                <w:rFonts w:eastAsia="Calibri"/>
                <w:bCs/>
                <w:szCs w:val="22"/>
              </w:rPr>
            </w:pPr>
            <w:r w:rsidRPr="00B93EC0">
              <w:rPr>
                <w:rFonts w:eastAsia="Calibri"/>
                <w:bCs/>
                <w:szCs w:val="22"/>
              </w:rPr>
              <w:t>ip_address</w:t>
            </w:r>
            <w:r w:rsidRPr="00B93EC0">
              <w:rPr>
                <w:rFonts w:eastAsia="Calibri"/>
                <w:bCs/>
                <w:szCs w:val="22"/>
              </w:rPr>
              <w:tab/>
              <w:t>IP_ADDRESS, dsRef</w:t>
            </w:r>
            <w:r w:rsidRPr="00B93EC0">
              <w:rPr>
                <w:rFonts w:eastAsia="Calibri"/>
                <w:bCs/>
                <w:szCs w:val="22"/>
              </w:rPr>
              <w:tab/>
              <w:t>DATASET</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11.4.3.3 61850_UDP_Tunnel</w:t>
            </w:r>
          </w:p>
          <w:p w:rsidR="00B93EC0" w:rsidRPr="00B93EC0" w:rsidRDefault="00B93EC0" w:rsidP="00B93EC0">
            <w:pPr>
              <w:tabs>
                <w:tab w:val="left" w:pos="0"/>
              </w:tabs>
              <w:ind w:left="0" w:firstLine="0"/>
              <w:rPr>
                <w:rFonts w:eastAsia="Calibri"/>
                <w:bCs/>
                <w:szCs w:val="22"/>
              </w:rPr>
            </w:pPr>
            <w:r w:rsidRPr="00B93EC0">
              <w:rPr>
                <w:rFonts w:eastAsia="Calibri"/>
                <w:bCs/>
                <w:szCs w:val="22"/>
              </w:rPr>
              <w:t>The payload for the IEC/TR 61850-90-5 Tunnel session protocol is defined as:</w:t>
            </w:r>
          </w:p>
          <w:p w:rsidR="00B93EC0" w:rsidRPr="00B93EC0" w:rsidRDefault="00B93EC0" w:rsidP="00B93EC0">
            <w:pPr>
              <w:tabs>
                <w:tab w:val="left" w:pos="0"/>
              </w:tabs>
              <w:ind w:left="0" w:firstLine="0"/>
              <w:rPr>
                <w:rFonts w:eastAsia="Calibri"/>
                <w:bCs/>
                <w:szCs w:val="22"/>
              </w:rPr>
            </w:pPr>
            <w:r w:rsidRPr="00B93EC0">
              <w:rPr>
                <w:rFonts w:eastAsia="Calibri"/>
                <w:bCs/>
                <w:szCs w:val="22"/>
              </w:rPr>
              <w:t>Payload Identification::= {</w:t>
            </w:r>
          </w:p>
          <w:p w:rsidR="00B93EC0" w:rsidRPr="00B93EC0" w:rsidRDefault="00B93EC0" w:rsidP="00B93EC0">
            <w:pPr>
              <w:tabs>
                <w:tab w:val="left" w:pos="0"/>
              </w:tabs>
              <w:ind w:left="0" w:firstLine="0"/>
              <w:rPr>
                <w:rFonts w:eastAsia="Calibri"/>
                <w:bCs/>
                <w:szCs w:val="22"/>
              </w:rPr>
            </w:pPr>
            <w:r w:rsidRPr="00B93EC0">
              <w:rPr>
                <w:rFonts w:eastAsia="Calibri"/>
                <w:bCs/>
                <w:szCs w:val="22"/>
              </w:rPr>
              <w:t>version</w:t>
            </w:r>
            <w:r w:rsidRPr="00B93EC0">
              <w:rPr>
                <w:rFonts w:eastAsia="Calibri"/>
                <w:bCs/>
                <w:szCs w:val="22"/>
              </w:rPr>
              <w:tab/>
              <w:t>VERSION,</w:t>
            </w:r>
          </w:p>
          <w:p w:rsidR="00B93EC0" w:rsidRPr="00B93EC0" w:rsidRDefault="00B93EC0" w:rsidP="00B93EC0">
            <w:pPr>
              <w:tabs>
                <w:tab w:val="left" w:pos="0"/>
              </w:tabs>
              <w:ind w:left="0" w:firstLine="0"/>
              <w:rPr>
                <w:rFonts w:eastAsia="Calibri"/>
                <w:bCs/>
                <w:szCs w:val="22"/>
              </w:rPr>
            </w:pPr>
            <w:r w:rsidRPr="00B93EC0">
              <w:rPr>
                <w:rFonts w:eastAsia="Calibri"/>
                <w:bCs/>
                <w:szCs w:val="22"/>
              </w:rPr>
              <w:t>ip_address</w:t>
            </w:r>
            <w:r w:rsidRPr="00B93EC0">
              <w:rPr>
                <w:rFonts w:eastAsia="Calibri"/>
                <w:bCs/>
                <w:szCs w:val="22"/>
              </w:rPr>
              <w:tab/>
              <w:t>IP_ADDRESS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Cs/>
                <w:szCs w:val="22"/>
              </w:rPr>
            </w:pPr>
            <w:r w:rsidRPr="00B93EC0">
              <w:rPr>
                <w:rFonts w:eastAsia="Calibri"/>
                <w:bCs/>
                <w:szCs w:val="22"/>
              </w:rPr>
              <w:t>The reason that the dsRef is not present is that multiple Ethernet multicast frames (e.g. GOOSE or SV) may be sent in one Tunnel SPDU. Therefore, only the destination IP address allows for differentiation.</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11.4.3.4 61850_ETHERNET_GOOSE and 61850_ETHERNET_SV</w:t>
            </w:r>
          </w:p>
          <w:p w:rsidR="00B93EC0" w:rsidRPr="00B93EC0" w:rsidRDefault="00B93EC0" w:rsidP="00B93EC0">
            <w:pPr>
              <w:tabs>
                <w:tab w:val="left" w:pos="0"/>
              </w:tabs>
              <w:ind w:left="0" w:firstLine="0"/>
              <w:rPr>
                <w:rFonts w:eastAsia="Calibri"/>
                <w:bCs/>
                <w:szCs w:val="22"/>
              </w:rPr>
            </w:pPr>
            <w:r w:rsidRPr="00B93EC0">
              <w:rPr>
                <w:rFonts w:eastAsia="Calibri"/>
                <w:bCs/>
                <w:szCs w:val="22"/>
              </w:rPr>
              <w:t>The payload for the Ethernet versions of GOOSE and SV are the same. The payload identification is defined as:</w:t>
            </w:r>
          </w:p>
          <w:p w:rsidR="00B93EC0" w:rsidRPr="00B93EC0" w:rsidRDefault="00B93EC0" w:rsidP="00B93EC0">
            <w:pPr>
              <w:tabs>
                <w:tab w:val="left" w:pos="0"/>
              </w:tabs>
              <w:ind w:left="0" w:firstLine="0"/>
              <w:rPr>
                <w:rFonts w:eastAsia="Calibri"/>
                <w:bCs/>
                <w:szCs w:val="22"/>
              </w:rPr>
            </w:pPr>
            <w:r w:rsidRPr="00B93EC0">
              <w:rPr>
                <w:rFonts w:eastAsia="Calibri"/>
                <w:bCs/>
                <w:szCs w:val="22"/>
              </w:rPr>
              <w:t>Payload Identification::={</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              Version             VERSION,</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              DstMAC            DEST_MULTICAST_ETHERNET_ADDRESS,</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              DsRef               DATASET</w:t>
            </w:r>
          </w:p>
          <w:p w:rsidR="00B93EC0" w:rsidRPr="00B93EC0" w:rsidRDefault="00B93EC0" w:rsidP="00B93EC0">
            <w:pPr>
              <w:tabs>
                <w:tab w:val="left" w:pos="0"/>
              </w:tabs>
              <w:ind w:left="0" w:firstLine="0"/>
              <w:rPr>
                <w:rFonts w:eastAsia="Calibri"/>
                <w:bCs/>
                <w:szCs w:val="22"/>
              </w:rPr>
            </w:pPr>
            <w:r w:rsidRPr="00B93EC0">
              <w:rPr>
                <w:rFonts w:eastAsia="Calibri"/>
                <w:bCs/>
                <w:szCs w:val="22"/>
              </w:rPr>
              <w:t>}</w:t>
            </w:r>
          </w:p>
          <w:p w:rsidR="00B93EC0" w:rsidRPr="00B93EC0" w:rsidRDefault="00B93EC0" w:rsidP="00B93EC0">
            <w:pPr>
              <w:tabs>
                <w:tab w:val="left" w:pos="0"/>
              </w:tabs>
              <w:ind w:left="0" w:firstLine="0"/>
              <w:rPr>
                <w:rFonts w:eastAsia="Calibri"/>
                <w:b/>
                <w:bCs/>
                <w:szCs w:val="22"/>
              </w:rPr>
            </w:pPr>
            <w:r w:rsidRPr="00B93EC0">
              <w:rPr>
                <w:rFonts w:eastAsia="Calibri"/>
                <w:b/>
                <w:bCs/>
                <w:szCs w:val="22"/>
              </w:rPr>
              <w:t>11.4.3.5 61850_IP_ISO9506</w:t>
            </w:r>
          </w:p>
          <w:p w:rsidR="00B93EC0" w:rsidRPr="00B93EC0" w:rsidRDefault="00B93EC0" w:rsidP="00B93EC0">
            <w:pPr>
              <w:tabs>
                <w:tab w:val="left" w:pos="0"/>
              </w:tabs>
              <w:ind w:left="0" w:firstLine="0"/>
              <w:rPr>
                <w:rFonts w:eastAsia="Calibri"/>
                <w:bCs/>
                <w:szCs w:val="22"/>
              </w:rPr>
            </w:pPr>
            <w:r w:rsidRPr="00B93EC0">
              <w:rPr>
                <w:rFonts w:eastAsia="Calibri"/>
                <w:bCs/>
                <w:szCs w:val="22"/>
              </w:rPr>
              <w:t>This payload identification is out of the scope of this Technical Report.</w:t>
            </w:r>
          </w:p>
          <w:p w:rsidR="00B93EC0" w:rsidRPr="00B93EC0" w:rsidRDefault="00B93EC0" w:rsidP="00B93EC0">
            <w:pPr>
              <w:tabs>
                <w:tab w:val="left" w:pos="0"/>
              </w:tabs>
              <w:ind w:left="0" w:firstLine="0"/>
              <w:rPr>
                <w:rFonts w:eastAsia="Calibri"/>
                <w:b/>
                <w:bCs/>
                <w:szCs w:val="22"/>
              </w:rPr>
            </w:pPr>
            <w:bookmarkStart w:id="54" w:name="_bookmark57"/>
            <w:bookmarkEnd w:id="54"/>
            <w:r w:rsidRPr="00B93EC0">
              <w:rPr>
                <w:rFonts w:eastAsia="Calibri"/>
                <w:b/>
                <w:bCs/>
                <w:szCs w:val="22"/>
              </w:rPr>
              <w:lastRenderedPageBreak/>
              <w:t>11.4.3.6</w:t>
            </w:r>
            <w:r w:rsidRPr="00B93EC0">
              <w:rPr>
                <w:rFonts w:eastAsia="Calibri"/>
                <w:b/>
                <w:bCs/>
                <w:szCs w:val="22"/>
              </w:rPr>
              <w:tab/>
              <w:t>Common IEC/TR 61850-90-5 payload response field definitions</w:t>
            </w:r>
          </w:p>
          <w:p w:rsidR="00B93EC0" w:rsidRPr="00B93EC0" w:rsidRDefault="00B93EC0" w:rsidP="00B93EC0">
            <w:pPr>
              <w:tabs>
                <w:tab w:val="left" w:pos="0"/>
              </w:tabs>
              <w:ind w:left="0" w:firstLine="0"/>
              <w:rPr>
                <w:rFonts w:eastAsia="Calibri"/>
                <w:bCs/>
                <w:szCs w:val="22"/>
              </w:rPr>
            </w:pPr>
            <w:r w:rsidRPr="00B93EC0">
              <w:rPr>
                <w:rFonts w:eastAsia="Calibri"/>
                <w:bCs/>
                <w:szCs w:val="22"/>
              </w:rPr>
              <w:t>The IEC/TR 61850-90-5 fields defined, for payload responses, are:</w:t>
            </w:r>
          </w:p>
          <w:p w:rsidR="00B93EC0" w:rsidRPr="00B93EC0" w:rsidRDefault="00B93EC0" w:rsidP="00B93EC0">
            <w:pPr>
              <w:tabs>
                <w:tab w:val="left" w:pos="0"/>
              </w:tabs>
              <w:ind w:left="0" w:firstLine="0"/>
              <w:rPr>
                <w:rFonts w:eastAsia="Calibri"/>
                <w:bCs/>
                <w:szCs w:val="22"/>
              </w:rPr>
            </w:pPr>
            <w:r w:rsidRPr="00B93EC0">
              <w:rPr>
                <w:rFonts w:eastAsia="Calibri"/>
                <w:bCs/>
                <w:szCs w:val="22"/>
              </w:rPr>
              <w:t>Protocol ID (Prot-ID):  Shall  be the  value   of  161  decimal  to  indicate  the  use  of IEC/TR 61850-90-5.</w:t>
            </w:r>
          </w:p>
          <w:p w:rsidR="00B93EC0" w:rsidRPr="00B93EC0" w:rsidRDefault="00B93EC0" w:rsidP="00B93EC0">
            <w:pPr>
              <w:tabs>
                <w:tab w:val="left" w:pos="0"/>
              </w:tabs>
              <w:ind w:left="0" w:firstLine="0"/>
              <w:rPr>
                <w:rFonts w:eastAsia="Calibri"/>
                <w:bCs/>
                <w:szCs w:val="22"/>
              </w:rPr>
            </w:pPr>
            <w:r w:rsidRPr="00B93EC0">
              <w:rPr>
                <w:rFonts w:eastAsia="Calibri"/>
                <w:bCs/>
                <w:szCs w:val="22"/>
              </w:rPr>
              <w:t>Tag: Is the ASN.1 Tag, specified by IEC/TR 61850-90-5 to represent the Object Identifier that was requested by the client.</w:t>
            </w:r>
          </w:p>
          <w:p w:rsidR="00B93EC0" w:rsidRPr="00B93EC0" w:rsidRDefault="00B93EC0" w:rsidP="00B93EC0">
            <w:pPr>
              <w:tabs>
                <w:tab w:val="left" w:pos="0"/>
              </w:tabs>
              <w:ind w:left="0" w:firstLine="0"/>
              <w:rPr>
                <w:rFonts w:eastAsia="Calibri"/>
                <w:bCs/>
                <w:szCs w:val="22"/>
              </w:rPr>
            </w:pPr>
            <w:r w:rsidRPr="00B93EC0">
              <w:rPr>
                <w:rFonts w:eastAsia="Calibri"/>
                <w:bCs/>
                <w:szCs w:val="22"/>
              </w:rPr>
              <w:t>Length of OID: ASN.1 length of the Objective Identifier value.</w:t>
            </w:r>
          </w:p>
          <w:p w:rsidR="00B93EC0" w:rsidRPr="00B93EC0" w:rsidRDefault="00B93EC0" w:rsidP="00B93EC0">
            <w:pPr>
              <w:tabs>
                <w:tab w:val="left" w:pos="0"/>
              </w:tabs>
              <w:ind w:left="0" w:firstLine="0"/>
              <w:rPr>
                <w:rFonts w:eastAsia="Calibri"/>
                <w:bCs/>
                <w:szCs w:val="22"/>
              </w:rPr>
            </w:pPr>
            <w:r w:rsidRPr="00B93EC0">
              <w:rPr>
                <w:rFonts w:eastAsia="Calibri"/>
                <w:bCs/>
                <w:szCs w:val="22"/>
              </w:rPr>
              <w:t>ASN.1 for OID: The ASN.1 encoded value for the Object Identifier.</w:t>
            </w:r>
          </w:p>
          <w:p w:rsidR="00B93EC0" w:rsidRPr="00B93EC0" w:rsidRDefault="00B93EC0" w:rsidP="00B93EC0">
            <w:pPr>
              <w:tabs>
                <w:tab w:val="left" w:pos="0"/>
              </w:tabs>
              <w:ind w:left="0" w:firstLine="0"/>
              <w:rPr>
                <w:rFonts w:eastAsia="Calibri"/>
                <w:bCs/>
                <w:szCs w:val="22"/>
              </w:rPr>
            </w:pPr>
            <w:r w:rsidRPr="00B93EC0">
              <w:rPr>
                <w:rFonts w:eastAsia="Calibri"/>
                <w:bCs/>
                <w:szCs w:val="22"/>
              </w:rPr>
              <w:t>Current Key ID (Cur KeyID): Shall be one (1).</w:t>
            </w:r>
          </w:p>
          <w:p w:rsidR="00B93EC0" w:rsidRPr="00B93EC0" w:rsidRDefault="00B93EC0" w:rsidP="00B93EC0">
            <w:pPr>
              <w:tabs>
                <w:tab w:val="left" w:pos="0"/>
              </w:tabs>
              <w:ind w:left="0" w:firstLine="0"/>
              <w:rPr>
                <w:rFonts w:eastAsia="Calibri"/>
                <w:bCs/>
                <w:szCs w:val="22"/>
              </w:rPr>
            </w:pPr>
            <w:r w:rsidRPr="00B93EC0">
              <w:rPr>
                <w:rFonts w:eastAsia="Calibri"/>
                <w:bCs/>
                <w:szCs w:val="22"/>
              </w:rPr>
              <w:t>SA Life Type ID (RFC 2407): Specifies the time-to-live for the overall security association. When the SA expires, all keys negotiated under the association (AH or ESP) must be renegotiated. The SA Life Type ID field shall be one (1).</w:t>
            </w:r>
          </w:p>
          <w:p w:rsidR="00B93EC0" w:rsidRPr="00B93EC0" w:rsidRDefault="00B93EC0" w:rsidP="00B93EC0">
            <w:pPr>
              <w:tabs>
                <w:tab w:val="left" w:pos="0"/>
              </w:tabs>
              <w:ind w:left="0" w:firstLine="0"/>
              <w:rPr>
                <w:rFonts w:eastAsia="Calibri"/>
                <w:bCs/>
                <w:szCs w:val="22"/>
              </w:rPr>
            </w:pPr>
            <w:r w:rsidRPr="00B93EC0">
              <w:rPr>
                <w:rFonts w:eastAsia="Calibri"/>
                <w:bCs/>
                <w:szCs w:val="22"/>
              </w:rPr>
              <w:t>SA Life Type V</w:t>
            </w:r>
            <w:r w:rsidR="00095C1D">
              <w:rPr>
                <w:rFonts w:eastAsia="Calibri"/>
                <w:bCs/>
                <w:szCs w:val="22"/>
              </w:rPr>
              <w:t>alue: The life type values are:</w:t>
            </w:r>
          </w:p>
          <w:p w:rsidR="00B93EC0" w:rsidRPr="00B93EC0" w:rsidRDefault="00B93EC0" w:rsidP="00B93EC0">
            <w:pPr>
              <w:tabs>
                <w:tab w:val="left" w:pos="0"/>
              </w:tabs>
              <w:ind w:left="0" w:firstLine="0"/>
              <w:rPr>
                <w:rFonts w:eastAsia="Calibri"/>
                <w:bCs/>
                <w:szCs w:val="22"/>
              </w:rPr>
            </w:pPr>
            <w:r w:rsidRPr="00B93EC0">
              <w:rPr>
                <w:rFonts w:eastAsia="Calibri"/>
                <w:bCs/>
                <w:szCs w:val="22"/>
              </w:rPr>
              <w:t>RESERVED</w:t>
            </w:r>
            <w:r w:rsidRPr="00B93EC0">
              <w:rPr>
                <w:rFonts w:eastAsia="Calibri"/>
                <w:bCs/>
                <w:szCs w:val="22"/>
              </w:rPr>
              <w:tab/>
              <w:t>0</w:t>
            </w:r>
          </w:p>
          <w:p w:rsidR="00B93EC0" w:rsidRPr="00B93EC0" w:rsidRDefault="00B93EC0" w:rsidP="00B93EC0">
            <w:pPr>
              <w:tabs>
                <w:tab w:val="left" w:pos="0"/>
              </w:tabs>
              <w:ind w:left="0" w:firstLine="0"/>
              <w:rPr>
                <w:rFonts w:eastAsia="Calibri"/>
                <w:bCs/>
                <w:szCs w:val="22"/>
              </w:rPr>
            </w:pPr>
            <w:r w:rsidRPr="00B93EC0">
              <w:rPr>
                <w:rFonts w:eastAsia="Calibri"/>
                <w:bCs/>
                <w:szCs w:val="22"/>
              </w:rPr>
              <w:t>seconds</w:t>
            </w:r>
            <w:r w:rsidRPr="00B93EC0">
              <w:rPr>
                <w:rFonts w:eastAsia="Calibri"/>
                <w:bCs/>
                <w:szCs w:val="22"/>
              </w:rPr>
              <w:tab/>
              <w:t>1</w:t>
            </w:r>
          </w:p>
          <w:p w:rsidR="00B93EC0" w:rsidRPr="00B93EC0" w:rsidRDefault="00095C1D" w:rsidP="00B93EC0">
            <w:pPr>
              <w:tabs>
                <w:tab w:val="left" w:pos="0"/>
              </w:tabs>
              <w:ind w:left="0" w:firstLine="0"/>
              <w:rPr>
                <w:rFonts w:eastAsia="Calibri"/>
                <w:bCs/>
                <w:szCs w:val="22"/>
              </w:rPr>
            </w:pPr>
            <w:r>
              <w:rPr>
                <w:rFonts w:eastAsia="Calibri"/>
                <w:bCs/>
                <w:szCs w:val="22"/>
              </w:rPr>
              <w:t>kilobytes</w:t>
            </w:r>
            <w:r>
              <w:rPr>
                <w:rFonts w:eastAsia="Calibri"/>
                <w:bCs/>
                <w:szCs w:val="22"/>
              </w:rPr>
              <w:tab/>
              <w:t>2</w:t>
            </w:r>
          </w:p>
          <w:p w:rsidR="00B93EC0" w:rsidRPr="00B93EC0" w:rsidRDefault="00B93EC0" w:rsidP="00B93EC0">
            <w:pPr>
              <w:tabs>
                <w:tab w:val="left" w:pos="0"/>
              </w:tabs>
              <w:ind w:left="0" w:firstLine="0"/>
              <w:rPr>
                <w:rFonts w:eastAsia="Calibri"/>
                <w:bCs/>
                <w:szCs w:val="22"/>
              </w:rPr>
            </w:pPr>
            <w:r w:rsidRPr="00B93EC0">
              <w:rPr>
                <w:rFonts w:eastAsia="Calibri"/>
                <w:bCs/>
                <w:szCs w:val="22"/>
              </w:rPr>
              <w:t>The value shall be one (1) indicating the lifetime is specified in seconds.</w:t>
            </w:r>
          </w:p>
          <w:p w:rsidR="00B93EC0" w:rsidRPr="00B93EC0" w:rsidRDefault="00B93EC0" w:rsidP="00B93EC0">
            <w:pPr>
              <w:tabs>
                <w:tab w:val="left" w:pos="0"/>
              </w:tabs>
              <w:ind w:left="0" w:firstLine="0"/>
              <w:rPr>
                <w:rFonts w:eastAsia="Calibri"/>
                <w:bCs/>
                <w:szCs w:val="22"/>
              </w:rPr>
            </w:pPr>
            <w:r w:rsidRPr="00B93EC0">
              <w:rPr>
                <w:rFonts w:eastAsia="Calibri"/>
                <w:bCs/>
                <w:szCs w:val="22"/>
              </w:rPr>
              <w:t>Remaining LifeTime Value: shall specify the number of seconds prior to the  next  scheduled key change. A value of zero (0) shall indicate that no key change has been scheduled.</w:t>
            </w:r>
          </w:p>
          <w:p w:rsidR="00B93EC0" w:rsidRPr="00B93EC0" w:rsidRDefault="00B93EC0" w:rsidP="00B93EC0">
            <w:pPr>
              <w:tabs>
                <w:tab w:val="left" w:pos="0"/>
              </w:tabs>
              <w:ind w:left="0" w:firstLine="0"/>
              <w:rPr>
                <w:rFonts w:eastAsia="Calibri"/>
                <w:bCs/>
                <w:szCs w:val="22"/>
              </w:rPr>
            </w:pPr>
            <w:r w:rsidRPr="00B93EC0">
              <w:rPr>
                <w:rFonts w:eastAsia="Calibri"/>
                <w:bCs/>
                <w:szCs w:val="22"/>
              </w:rPr>
              <w:t>Authentication Algorithm ID (RFC 2407): Shall be five (5).</w:t>
            </w:r>
          </w:p>
          <w:p w:rsidR="00B93EC0" w:rsidRPr="00B93EC0" w:rsidRDefault="00B93EC0" w:rsidP="00B93EC0">
            <w:pPr>
              <w:tabs>
                <w:tab w:val="left" w:pos="0"/>
              </w:tabs>
              <w:ind w:left="0" w:firstLine="0"/>
              <w:rPr>
                <w:rFonts w:eastAsia="Calibri"/>
                <w:bCs/>
                <w:szCs w:val="22"/>
              </w:rPr>
            </w:pPr>
            <w:r w:rsidRPr="00B93EC0">
              <w:rPr>
                <w:rFonts w:eastAsia="Calibri"/>
                <w:bCs/>
                <w:szCs w:val="22"/>
              </w:rPr>
              <w:t>Authentication Algorithm Value: Shall be one of the following set of values: HMAC-SHA256</w:t>
            </w:r>
            <w:r w:rsidRPr="00B93EC0">
              <w:rPr>
                <w:rFonts w:eastAsia="Calibri"/>
                <w:bCs/>
                <w:szCs w:val="22"/>
              </w:rPr>
              <w:tab/>
              <w:t>value of 61440</w:t>
            </w:r>
          </w:p>
          <w:p w:rsidR="00B93EC0" w:rsidRPr="00B93EC0" w:rsidRDefault="00B93EC0" w:rsidP="00B93EC0">
            <w:pPr>
              <w:tabs>
                <w:tab w:val="left" w:pos="0"/>
              </w:tabs>
              <w:ind w:left="0" w:firstLine="0"/>
              <w:rPr>
                <w:rFonts w:eastAsia="Calibri"/>
                <w:bCs/>
                <w:szCs w:val="22"/>
              </w:rPr>
            </w:pPr>
            <w:r w:rsidRPr="00B93EC0">
              <w:rPr>
                <w:rFonts w:eastAsia="Calibri"/>
                <w:bCs/>
                <w:szCs w:val="22"/>
              </w:rPr>
              <w:t>AES-GMAC-128</w:t>
            </w:r>
            <w:r w:rsidRPr="00B93EC0">
              <w:rPr>
                <w:rFonts w:eastAsia="Calibri"/>
                <w:bCs/>
                <w:szCs w:val="22"/>
              </w:rPr>
              <w:tab/>
              <w:t>value of 61441</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Key Algorithm: Shall be 20 (decimal)  and shall be  used to  indicate that the next  octet  shall contain the Key Algorithm </w:t>
            </w:r>
            <w:r w:rsidRPr="00B93EC0">
              <w:rPr>
                <w:rFonts w:eastAsia="Calibri"/>
                <w:bCs/>
                <w:szCs w:val="22"/>
              </w:rPr>
              <w:lastRenderedPageBreak/>
              <w:t>identification for the current key that is in use.</w:t>
            </w:r>
          </w:p>
          <w:p w:rsidR="00B93EC0" w:rsidRPr="00B93EC0" w:rsidRDefault="00B93EC0" w:rsidP="00B93EC0">
            <w:pPr>
              <w:tabs>
                <w:tab w:val="left" w:pos="0"/>
              </w:tabs>
              <w:ind w:left="0" w:firstLine="0"/>
              <w:rPr>
                <w:rFonts w:eastAsia="Calibri"/>
                <w:bCs/>
                <w:szCs w:val="22"/>
              </w:rPr>
            </w:pPr>
            <w:r w:rsidRPr="00B93EC0">
              <w:rPr>
                <w:rFonts w:eastAsia="Calibri"/>
                <w:bCs/>
                <w:szCs w:val="22"/>
              </w:rPr>
              <w:t>Key Type ID: Shall be one of the following values: 0 – AES 128</w:t>
            </w:r>
            <w:r w:rsidRPr="00B93EC0">
              <w:rPr>
                <w:rFonts w:eastAsia="Calibri"/>
                <w:bCs/>
                <w:szCs w:val="22"/>
              </w:rPr>
              <w:tab/>
              <w:t>1 – AES 256</w:t>
            </w:r>
          </w:p>
          <w:p w:rsidR="00B93EC0" w:rsidRPr="00B93EC0" w:rsidRDefault="00B93EC0" w:rsidP="00B93EC0">
            <w:pPr>
              <w:tabs>
                <w:tab w:val="left" w:pos="0"/>
              </w:tabs>
              <w:ind w:left="0" w:firstLine="0"/>
              <w:rPr>
                <w:rFonts w:eastAsia="Calibri"/>
                <w:bCs/>
                <w:szCs w:val="22"/>
              </w:rPr>
            </w:pPr>
            <w:r w:rsidRPr="00B93EC0">
              <w:rPr>
                <w:rFonts w:eastAsia="Calibri"/>
                <w:bCs/>
                <w:szCs w:val="22"/>
              </w:rPr>
              <w:t>Key Length ID: As defined in RFC 2407. Used to indicate the current key length size.</w:t>
            </w:r>
          </w:p>
          <w:p w:rsidR="00B93EC0" w:rsidRPr="00B93EC0" w:rsidRDefault="00B93EC0" w:rsidP="00B93EC0">
            <w:pPr>
              <w:tabs>
                <w:tab w:val="left" w:pos="0"/>
              </w:tabs>
              <w:ind w:left="0" w:firstLine="0"/>
              <w:rPr>
                <w:rFonts w:eastAsia="Calibri"/>
                <w:bCs/>
                <w:szCs w:val="22"/>
              </w:rPr>
            </w:pPr>
            <w:r w:rsidRPr="00B93EC0">
              <w:rPr>
                <w:rFonts w:eastAsia="Calibri"/>
                <w:bCs/>
                <w:szCs w:val="22"/>
              </w:rPr>
              <w:t>Next Key Length: number of octets of the key value.</w:t>
            </w:r>
          </w:p>
          <w:p w:rsidR="00B93EC0" w:rsidRPr="00B93EC0" w:rsidRDefault="00B93EC0" w:rsidP="00B93EC0">
            <w:pPr>
              <w:tabs>
                <w:tab w:val="left" w:pos="0"/>
              </w:tabs>
              <w:ind w:left="0" w:firstLine="0"/>
              <w:rPr>
                <w:rFonts w:eastAsia="Calibri"/>
                <w:bCs/>
                <w:szCs w:val="22"/>
              </w:rPr>
            </w:pPr>
            <w:r w:rsidRPr="00B93EC0">
              <w:rPr>
                <w:rFonts w:eastAsia="Calibri"/>
                <w:bCs/>
                <w:szCs w:val="22"/>
              </w:rPr>
              <w:t>Current Key Key: The actual key being used currently. The number of octets is governed by the Key Length that was specified.</w:t>
            </w:r>
          </w:p>
          <w:p w:rsidR="00B93EC0" w:rsidRPr="00B93EC0" w:rsidRDefault="00B93EC0" w:rsidP="00B93EC0">
            <w:pPr>
              <w:tabs>
                <w:tab w:val="left" w:pos="0"/>
              </w:tabs>
              <w:ind w:left="0" w:firstLine="0"/>
              <w:rPr>
                <w:rFonts w:eastAsia="Calibri"/>
                <w:bCs/>
                <w:szCs w:val="22"/>
              </w:rPr>
            </w:pPr>
            <w:r w:rsidRPr="00B93EC0">
              <w:rPr>
                <w:rFonts w:eastAsia="Calibri"/>
                <w:bCs/>
                <w:szCs w:val="22"/>
              </w:rPr>
              <w:t>Next Key ID: shall be 21 (decimal) and shall indicate  that  the  payload contains another  key that should be used when the current key expires.</w:t>
            </w:r>
          </w:p>
          <w:p w:rsidR="00B93EC0" w:rsidRPr="00B93EC0" w:rsidRDefault="00B93EC0" w:rsidP="00B93EC0">
            <w:pPr>
              <w:tabs>
                <w:tab w:val="left" w:pos="0"/>
              </w:tabs>
              <w:ind w:left="0" w:firstLine="0"/>
              <w:rPr>
                <w:rFonts w:eastAsia="Calibri"/>
                <w:bCs/>
                <w:szCs w:val="22"/>
              </w:rPr>
            </w:pPr>
            <w:r w:rsidRPr="00B93EC0">
              <w:rPr>
                <w:rFonts w:eastAsia="Calibri"/>
                <w:bCs/>
                <w:szCs w:val="22"/>
              </w:rPr>
              <w:t>Key LifeTime Value: shall specify the number of seconds prior to the next scheduled key  change. A value of zero (0) shall indicate that no key change has been scheduled.</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Next Key Key: The next key to  be  used. The number of  octets is  governed by the Next </w:t>
            </w:r>
            <w:r w:rsidR="00095C1D">
              <w:rPr>
                <w:rFonts w:eastAsia="Calibri"/>
                <w:bCs/>
                <w:szCs w:val="22"/>
              </w:rPr>
              <w:t xml:space="preserve"> Key Length that was specified.</w:t>
            </w:r>
          </w:p>
          <w:p w:rsidR="00B93EC0" w:rsidRPr="00095C1D" w:rsidRDefault="00B93EC0" w:rsidP="00B93EC0">
            <w:pPr>
              <w:tabs>
                <w:tab w:val="left" w:pos="0"/>
              </w:tabs>
              <w:ind w:left="0" w:firstLine="0"/>
              <w:rPr>
                <w:rFonts w:eastAsia="Calibri"/>
                <w:b/>
                <w:bCs/>
                <w:szCs w:val="22"/>
              </w:rPr>
            </w:pPr>
            <w:r w:rsidRPr="00095C1D">
              <w:rPr>
                <w:rFonts w:eastAsia="Calibri"/>
                <w:b/>
                <w:bCs/>
                <w:szCs w:val="22"/>
              </w:rPr>
              <w:t>11.4.4 Policy response</w:t>
            </w:r>
          </w:p>
          <w:p w:rsidR="00B93EC0" w:rsidRPr="00B93EC0" w:rsidRDefault="00B93EC0" w:rsidP="00B93EC0">
            <w:pPr>
              <w:tabs>
                <w:tab w:val="left" w:pos="0"/>
              </w:tabs>
              <w:ind w:left="0" w:firstLine="0"/>
              <w:rPr>
                <w:rFonts w:eastAsia="Calibri"/>
                <w:bCs/>
                <w:szCs w:val="22"/>
              </w:rPr>
            </w:pPr>
            <w:r w:rsidRPr="00B93EC0">
              <w:rPr>
                <w:rFonts w:eastAsia="Calibri"/>
                <w:bCs/>
                <w:szCs w:val="22"/>
              </w:rPr>
              <w:t>The policy response shall be of the template:</w:t>
            </w:r>
          </w:p>
          <w:p w:rsidR="00B93EC0" w:rsidRPr="00B93EC0" w:rsidRDefault="00D80958" w:rsidP="00B93EC0">
            <w:pPr>
              <w:tabs>
                <w:tab w:val="left" w:pos="0"/>
              </w:tabs>
              <w:ind w:left="0" w:firstLine="0"/>
              <w:rPr>
                <w:rFonts w:eastAsia="Calibri"/>
                <w:bCs/>
                <w:szCs w:val="22"/>
              </w:rPr>
            </w:pPr>
            <w:hyperlink w:anchor="_bookmark58" w:history="1">
              <w:r w:rsidR="00B93EC0" w:rsidRPr="00B93EC0">
                <w:rPr>
                  <w:rFonts w:eastAsia="Calibri"/>
                  <w:bCs/>
                  <w:szCs w:val="22"/>
                </w:rPr>
                <w:t xml:space="preserve">Figure 30 </w:t>
              </w:r>
            </w:hyperlink>
            <w:r w:rsidR="00B93EC0" w:rsidRPr="00B93EC0">
              <w:rPr>
                <w:rFonts w:eastAsia="Calibri"/>
                <w:bCs/>
                <w:szCs w:val="22"/>
              </w:rPr>
              <w:t>shows the field definitions and example values for a policy response frame. The RFC 3547 field definitions are as follows:</w:t>
            </w:r>
          </w:p>
          <w:p w:rsidR="00B93EC0" w:rsidRPr="00B93EC0" w:rsidRDefault="00B93EC0" w:rsidP="00B93EC0">
            <w:pPr>
              <w:tabs>
                <w:tab w:val="left" w:pos="0"/>
              </w:tabs>
              <w:ind w:left="0" w:firstLine="0"/>
              <w:rPr>
                <w:rFonts w:eastAsia="Calibri"/>
                <w:bCs/>
                <w:szCs w:val="22"/>
              </w:rPr>
            </w:pPr>
            <w:r w:rsidRPr="00B93EC0">
              <w:rPr>
                <w:rFonts w:eastAsia="Calibri"/>
                <w:bCs/>
                <w:szCs w:val="22"/>
              </w:rPr>
              <w:t>Next Payload (NP): Shall be zero (0) as specified as RFC 3547.</w:t>
            </w:r>
          </w:p>
          <w:p w:rsidR="00B93EC0" w:rsidRPr="00B93EC0" w:rsidRDefault="00B93EC0" w:rsidP="00B93EC0">
            <w:pPr>
              <w:tabs>
                <w:tab w:val="left" w:pos="0"/>
              </w:tabs>
              <w:ind w:left="0" w:firstLine="0"/>
              <w:rPr>
                <w:rFonts w:eastAsia="Calibri"/>
                <w:bCs/>
                <w:szCs w:val="22"/>
              </w:rPr>
            </w:pPr>
            <w:r w:rsidRPr="00B93EC0">
              <w:rPr>
                <w:rFonts w:eastAsia="Calibri"/>
                <w:bCs/>
                <w:szCs w:val="22"/>
              </w:rPr>
              <w:t>Payload Length: Length of the message as defined in RFC 3547.</w:t>
            </w:r>
          </w:p>
          <w:p w:rsidR="00B93EC0" w:rsidRPr="00B93EC0" w:rsidRDefault="00B93EC0" w:rsidP="00B93EC0">
            <w:pPr>
              <w:tabs>
                <w:tab w:val="left" w:pos="0"/>
              </w:tabs>
              <w:ind w:left="0" w:firstLine="0"/>
              <w:rPr>
                <w:rFonts w:eastAsia="Calibri"/>
                <w:bCs/>
                <w:szCs w:val="22"/>
              </w:rPr>
            </w:pPr>
            <w:r w:rsidRPr="00B93EC0">
              <w:rPr>
                <w:rFonts w:eastAsia="Calibri"/>
                <w:bCs/>
                <w:szCs w:val="22"/>
              </w:rPr>
              <w:t>Domain of Information (DOI): Shall be two (2) to specify the GDOI protocol as specified in RFC 3547.</w:t>
            </w:r>
          </w:p>
          <w:p w:rsidR="00B93EC0" w:rsidRPr="00B93EC0" w:rsidRDefault="00B93EC0" w:rsidP="00B93EC0">
            <w:pPr>
              <w:tabs>
                <w:tab w:val="left" w:pos="0"/>
              </w:tabs>
              <w:ind w:left="0" w:firstLine="0"/>
              <w:rPr>
                <w:rFonts w:eastAsia="Calibri"/>
                <w:bCs/>
                <w:szCs w:val="22"/>
              </w:rPr>
            </w:pPr>
            <w:r w:rsidRPr="00B93EC0">
              <w:rPr>
                <w:rFonts w:eastAsia="Calibri"/>
                <w:bCs/>
                <w:szCs w:val="22"/>
              </w:rPr>
              <w:t>Situation: Shall be zero (0) as specified in RFC 3547.</w:t>
            </w:r>
          </w:p>
          <w:p w:rsidR="00B93EC0" w:rsidRPr="00B93EC0" w:rsidRDefault="00B93EC0" w:rsidP="00B93EC0">
            <w:pPr>
              <w:tabs>
                <w:tab w:val="left" w:pos="0"/>
              </w:tabs>
              <w:ind w:left="0" w:firstLine="0"/>
              <w:rPr>
                <w:rFonts w:eastAsia="Calibri"/>
                <w:bCs/>
                <w:szCs w:val="22"/>
              </w:rPr>
            </w:pPr>
            <w:r w:rsidRPr="00B93EC0">
              <w:rPr>
                <w:rFonts w:eastAsia="Calibri"/>
                <w:bCs/>
                <w:szCs w:val="22"/>
              </w:rPr>
              <w:t>SA Attribute Next Payload: The definition, per RFC 3547, are decimal values:</w:t>
            </w:r>
          </w:p>
          <w:p w:rsidR="00B93EC0" w:rsidRPr="00B93EC0" w:rsidRDefault="00B93EC0" w:rsidP="00B93EC0">
            <w:pPr>
              <w:tabs>
                <w:tab w:val="left" w:pos="0"/>
              </w:tabs>
              <w:ind w:left="0" w:firstLine="0"/>
              <w:rPr>
                <w:rFonts w:eastAsia="Calibri"/>
                <w:bCs/>
                <w:szCs w:val="22"/>
              </w:rPr>
            </w:pPr>
            <w:r w:rsidRPr="00B93EC0">
              <w:rPr>
                <w:rFonts w:eastAsia="Calibri"/>
                <w:bCs/>
                <w:szCs w:val="22"/>
              </w:rPr>
              <w:t>15 – SAK Payload,</w:t>
            </w:r>
          </w:p>
          <w:p w:rsidR="00B93EC0" w:rsidRPr="00B93EC0" w:rsidRDefault="00B93EC0" w:rsidP="00B93EC0">
            <w:pPr>
              <w:tabs>
                <w:tab w:val="left" w:pos="0"/>
              </w:tabs>
              <w:ind w:left="0" w:firstLine="0"/>
              <w:rPr>
                <w:rFonts w:eastAsia="Calibri"/>
                <w:bCs/>
                <w:szCs w:val="22"/>
              </w:rPr>
            </w:pPr>
            <w:r w:rsidRPr="00B93EC0">
              <w:rPr>
                <w:rFonts w:eastAsia="Calibri"/>
                <w:bCs/>
                <w:szCs w:val="22"/>
              </w:rPr>
              <w:lastRenderedPageBreak/>
              <w:t>16 – SAT Payload.</w:t>
            </w:r>
          </w:p>
          <w:p w:rsidR="00B93EC0" w:rsidRPr="00B93EC0" w:rsidRDefault="00B93EC0" w:rsidP="00B93EC0">
            <w:pPr>
              <w:tabs>
                <w:tab w:val="left" w:pos="0"/>
              </w:tabs>
              <w:ind w:left="0" w:firstLine="0"/>
              <w:rPr>
                <w:rFonts w:eastAsia="Calibri"/>
                <w:bCs/>
                <w:szCs w:val="22"/>
              </w:rPr>
            </w:pPr>
            <w:r w:rsidRPr="00B93EC0">
              <w:rPr>
                <w:rFonts w:eastAsia="Calibri"/>
                <w:bCs/>
                <w:szCs w:val="22"/>
              </w:rPr>
              <w:t xml:space="preserve">The definitions of the IEC/TR 61850-90-5 specific values are defined in </w:t>
            </w:r>
            <w:hyperlink w:anchor="_bookmark57" w:history="1">
              <w:r w:rsidRPr="00B93EC0">
                <w:rPr>
                  <w:rFonts w:eastAsia="Calibri"/>
                  <w:bCs/>
                  <w:szCs w:val="22"/>
                </w:rPr>
                <w:t>11.4.3.6.</w:t>
              </w:r>
            </w:hyperlink>
          </w:p>
          <w:p w:rsidR="00B93EC0" w:rsidRPr="00B93EC0" w:rsidRDefault="00B93EC0" w:rsidP="00B93EC0">
            <w:pPr>
              <w:tabs>
                <w:tab w:val="left" w:pos="0"/>
              </w:tabs>
              <w:ind w:left="0" w:firstLine="0"/>
              <w:rPr>
                <w:rFonts w:eastAsia="Calibri"/>
                <w:bCs/>
                <w:szCs w:val="22"/>
              </w:rPr>
            </w:pPr>
            <w:r w:rsidRPr="00B93EC0">
              <w:rPr>
                <w:rFonts w:eastAsia="Calibri"/>
                <w:bCs/>
                <w:szCs w:val="22"/>
              </w:rPr>
              <w:t>The octets following, and including the Next Key octet, shall not be present  in  the  Key  Payload under the following conditions:</w:t>
            </w:r>
          </w:p>
          <w:p w:rsidR="00B93EC0" w:rsidRPr="00B93EC0" w:rsidRDefault="00B93EC0" w:rsidP="00B93EC0">
            <w:pPr>
              <w:tabs>
                <w:tab w:val="left" w:pos="0"/>
              </w:tabs>
              <w:ind w:left="0" w:firstLine="0"/>
              <w:rPr>
                <w:rFonts w:eastAsia="Calibri"/>
                <w:bCs/>
                <w:szCs w:val="22"/>
              </w:rPr>
            </w:pPr>
            <w:r w:rsidRPr="00B93EC0">
              <w:rPr>
                <w:rFonts w:eastAsia="Calibri"/>
                <w:bCs/>
                <w:szCs w:val="22"/>
              </w:rPr>
              <w:t>If the Payload is being pushed to group members.</w:t>
            </w:r>
          </w:p>
          <w:p w:rsidR="00B93EC0" w:rsidRPr="00B93EC0" w:rsidRDefault="00B93EC0" w:rsidP="00B93EC0">
            <w:pPr>
              <w:tabs>
                <w:tab w:val="left" w:pos="0"/>
              </w:tabs>
              <w:ind w:left="0" w:firstLine="0"/>
              <w:rPr>
                <w:rFonts w:eastAsia="Calibri"/>
                <w:bCs/>
                <w:szCs w:val="22"/>
              </w:rPr>
            </w:pPr>
            <w:r w:rsidRPr="00B93EC0">
              <w:rPr>
                <w:rFonts w:eastAsia="Calibri"/>
                <w:bCs/>
                <w:szCs w:val="22"/>
              </w:rPr>
              <w:t>If the authentication credential of the client expires prior to the  expiration of  the current key.</w:t>
            </w:r>
          </w:p>
          <w:p w:rsidR="00B93EC0" w:rsidRPr="00B93EC0" w:rsidRDefault="00B93EC0" w:rsidP="00B93EC0">
            <w:pPr>
              <w:tabs>
                <w:tab w:val="left" w:pos="0"/>
              </w:tabs>
              <w:ind w:left="0" w:firstLine="0"/>
              <w:rPr>
                <w:rFonts w:eastAsia="Calibri"/>
                <w:bCs/>
                <w:szCs w:val="22"/>
              </w:rPr>
            </w:pPr>
            <w:r w:rsidRPr="00B93EC0">
              <w:rPr>
                <w:rFonts w:eastAsia="Calibri"/>
                <w:bCs/>
                <w:szCs w:val="22"/>
              </w:rPr>
              <w:t>If the next key has not been assigned or computed.</w:t>
            </w:r>
          </w:p>
          <w:p w:rsidR="00B93EC0" w:rsidRPr="00B93EC0" w:rsidRDefault="00B93EC0" w:rsidP="00B93EC0">
            <w:pPr>
              <w:tabs>
                <w:tab w:val="left" w:pos="0"/>
              </w:tabs>
              <w:ind w:left="0" w:firstLine="0"/>
              <w:rPr>
                <w:rFonts w:eastAsia="Calibri"/>
                <w:bCs/>
                <w:szCs w:val="22"/>
              </w:rPr>
            </w:pPr>
          </w:p>
          <w:p w:rsidR="00B93EC0" w:rsidRPr="00B93EC0" w:rsidRDefault="00B93EC0" w:rsidP="00B93EC0">
            <w:pPr>
              <w:tabs>
                <w:tab w:val="left" w:pos="0"/>
              </w:tabs>
              <w:ind w:left="0" w:firstLine="0"/>
              <w:rPr>
                <w:rFonts w:eastAsia="Calibri"/>
                <w:bCs/>
                <w:szCs w:val="22"/>
              </w:rPr>
            </w:pPr>
          </w:p>
        </w:tc>
      </w:tr>
    </w:tbl>
    <w:p w:rsidR="00095C1D" w:rsidRDefault="00095C1D" w:rsidP="00F11C9C">
      <w:pPr>
        <w:ind w:left="0" w:firstLine="0"/>
        <w:jc w:val="center"/>
        <w:rPr>
          <w:noProof/>
          <w:lang w:val="en-US"/>
        </w:rPr>
      </w:pPr>
      <w:r>
        <w:lastRenderedPageBreak/>
        <w:br/>
      </w:r>
    </w:p>
    <w:p w:rsidR="00B93EC0" w:rsidRPr="00095C1D" w:rsidRDefault="00095C1D" w:rsidP="00F11C9C">
      <w:pPr>
        <w:ind w:left="0" w:firstLine="0"/>
        <w:jc w:val="center"/>
        <w:rPr>
          <w:b/>
        </w:rPr>
      </w:pPr>
      <w:r>
        <w:rPr>
          <w:noProof/>
          <w:lang w:val="en-US"/>
        </w:rPr>
        <w:lastRenderedPageBreak/>
        <w:drawing>
          <wp:inline distT="0" distB="0" distL="0" distR="0" wp14:anchorId="781324FD" wp14:editId="5DA26AD9">
            <wp:extent cx="5724525" cy="507682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24525" cy="5076825"/>
                    </a:xfrm>
                    <a:prstGeom prst="rect">
                      <a:avLst/>
                    </a:prstGeom>
                  </pic:spPr>
                </pic:pic>
              </a:graphicData>
            </a:graphic>
          </wp:inline>
        </w:drawing>
      </w:r>
    </w:p>
    <w:p w:rsidR="00EE53EE" w:rsidRDefault="00EE53EE" w:rsidP="00F11C9C">
      <w:pPr>
        <w:ind w:left="0" w:firstLine="0"/>
        <w:jc w:val="center"/>
      </w:pPr>
    </w:p>
    <w:p w:rsidR="00095C1D" w:rsidRDefault="00095C1D" w:rsidP="00095C1D">
      <w:pPr>
        <w:tabs>
          <w:tab w:val="left" w:pos="142"/>
        </w:tabs>
        <w:ind w:left="142"/>
        <w:jc w:val="center"/>
        <w:rPr>
          <w:b/>
        </w:rPr>
      </w:pPr>
      <w:r w:rsidRPr="00731F96">
        <w:rPr>
          <w:b/>
        </w:rPr>
        <w:t>30</w:t>
      </w:r>
      <w:r>
        <w:rPr>
          <w:b/>
          <w:lang w:val="en-US"/>
        </w:rPr>
        <w:t>-</w:t>
      </w:r>
      <w:r>
        <w:rPr>
          <w:b/>
        </w:rPr>
        <w:t>р зураг</w:t>
      </w:r>
      <w:r w:rsidRPr="00731F96">
        <w:rPr>
          <w:b/>
        </w:rPr>
        <w:t xml:space="preserve"> – Удирдамжийн хариу хүрээ</w:t>
      </w:r>
    </w:p>
    <w:p w:rsidR="00095C1D" w:rsidRDefault="00095C1D" w:rsidP="00095C1D">
      <w:pPr>
        <w:tabs>
          <w:tab w:val="left" w:pos="142"/>
        </w:tabs>
        <w:ind w:left="142"/>
        <w:jc w:val="center"/>
        <w:rPr>
          <w:b/>
        </w:rPr>
      </w:pPr>
      <w:r w:rsidRPr="00731F96">
        <w:rPr>
          <w:b/>
        </w:rPr>
        <w:t>Figure 30 – Pol</w:t>
      </w:r>
      <w:r>
        <w:rPr>
          <w:b/>
        </w:rPr>
        <w:t>icy response frame</w:t>
      </w:r>
    </w:p>
    <w:p w:rsidR="00095C1D" w:rsidRDefault="00095C1D"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095C1D" w:rsidTr="00095C1D">
        <w:tc>
          <w:tcPr>
            <w:tcW w:w="4601" w:type="dxa"/>
          </w:tcPr>
          <w:p w:rsidR="00095C1D" w:rsidRPr="00095C1D" w:rsidRDefault="00095C1D" w:rsidP="00095C1D">
            <w:pPr>
              <w:tabs>
                <w:tab w:val="left" w:pos="0"/>
              </w:tabs>
              <w:ind w:left="0" w:firstLine="0"/>
              <w:rPr>
                <w:rFonts w:eastAsia="Calibri"/>
                <w:b/>
                <w:bCs/>
                <w:szCs w:val="22"/>
              </w:rPr>
            </w:pPr>
            <w:r w:rsidRPr="00095C1D">
              <w:rPr>
                <w:rFonts w:eastAsia="Calibri"/>
                <w:b/>
                <w:bCs/>
                <w:szCs w:val="22"/>
              </w:rPr>
              <w:t>11.4.5 Түлхүүр татах ачаалал</w:t>
            </w:r>
          </w:p>
          <w:p w:rsidR="00095C1D" w:rsidRPr="00095C1D" w:rsidRDefault="00095C1D" w:rsidP="00095C1D">
            <w:pPr>
              <w:tabs>
                <w:tab w:val="left" w:pos="0"/>
              </w:tabs>
              <w:ind w:left="0" w:firstLine="0"/>
              <w:rPr>
                <w:rFonts w:eastAsia="Calibri"/>
                <w:bCs/>
                <w:szCs w:val="22"/>
              </w:rPr>
            </w:pPr>
            <w:r w:rsidRPr="00095C1D">
              <w:rPr>
                <w:rFonts w:eastAsia="Calibri"/>
                <w:bCs/>
                <w:szCs w:val="22"/>
              </w:rPr>
              <w:t>RFC 3547-ийн 5.5-д бүлгийн гишүүдэд өгөх бүлгийн түлхүүрүүдийн ерөнхий форматыгтодорхой заасан. Түлхүүр татах (KD) Төрөл нь хувийн түлхүүр татах форматыг тодорхойлох боломжийг олгодог ба зөвшөөрөгдсөн утгуудын хүрээг Хүснэгт 13-т харуулав.Энд өргөтгөл IEC/TR 61850-90-5 ашиглах болно.</w:t>
            </w:r>
          </w:p>
          <w:p w:rsidR="00095C1D" w:rsidRPr="00095C1D" w:rsidRDefault="00095C1D" w:rsidP="00095C1D">
            <w:pPr>
              <w:tabs>
                <w:tab w:val="left" w:pos="0"/>
              </w:tabs>
              <w:ind w:left="0" w:firstLine="0"/>
              <w:rPr>
                <w:rFonts w:eastAsia="Calibri"/>
                <w:bCs/>
                <w:szCs w:val="22"/>
              </w:rPr>
            </w:pPr>
          </w:p>
        </w:tc>
        <w:tc>
          <w:tcPr>
            <w:tcW w:w="4601" w:type="dxa"/>
          </w:tcPr>
          <w:p w:rsidR="00095C1D" w:rsidRPr="00095C1D" w:rsidRDefault="00095C1D" w:rsidP="00095C1D">
            <w:pPr>
              <w:tabs>
                <w:tab w:val="left" w:pos="0"/>
              </w:tabs>
              <w:ind w:left="0" w:firstLine="0"/>
              <w:rPr>
                <w:rFonts w:eastAsia="Calibri"/>
                <w:b/>
                <w:bCs/>
                <w:szCs w:val="22"/>
              </w:rPr>
            </w:pPr>
            <w:bookmarkStart w:id="55" w:name="_TOC_250014"/>
            <w:r w:rsidRPr="00095C1D">
              <w:rPr>
                <w:rFonts w:eastAsia="Calibri"/>
                <w:b/>
                <w:bCs/>
                <w:szCs w:val="22"/>
              </w:rPr>
              <w:t xml:space="preserve">11.4.5 Key download </w:t>
            </w:r>
            <w:bookmarkEnd w:id="55"/>
            <w:r w:rsidRPr="00095C1D">
              <w:rPr>
                <w:rFonts w:eastAsia="Calibri"/>
                <w:b/>
                <w:bCs/>
                <w:szCs w:val="22"/>
              </w:rPr>
              <w:t>payload</w:t>
            </w:r>
          </w:p>
          <w:p w:rsidR="00095C1D" w:rsidRPr="00095C1D" w:rsidRDefault="00095C1D" w:rsidP="00095C1D">
            <w:pPr>
              <w:tabs>
                <w:tab w:val="left" w:pos="0"/>
              </w:tabs>
              <w:ind w:left="0" w:firstLine="0"/>
              <w:rPr>
                <w:rFonts w:eastAsia="Calibri"/>
                <w:bCs/>
                <w:szCs w:val="22"/>
              </w:rPr>
            </w:pPr>
            <w:r w:rsidRPr="00095C1D">
              <w:rPr>
                <w:rFonts w:eastAsia="Calibri"/>
                <w:bCs/>
                <w:szCs w:val="22"/>
              </w:rPr>
              <w:t xml:space="preserve">Clause 5.5 of RFC 3547 specifies the general format for the group keys  that  are  to  be provided to group members. The key download (KD) Type allows for the definition of private key download formats, the range of allowed values is shown in </w:t>
            </w:r>
            <w:hyperlink w:anchor="_bookmark59" w:history="1">
              <w:r w:rsidRPr="00095C1D">
                <w:rPr>
                  <w:rFonts w:eastAsia="Calibri"/>
                  <w:bCs/>
                  <w:szCs w:val="22"/>
                </w:rPr>
                <w:t xml:space="preserve">Table 13. </w:t>
              </w:r>
            </w:hyperlink>
            <w:r w:rsidRPr="00095C1D">
              <w:rPr>
                <w:rFonts w:eastAsia="Calibri"/>
                <w:bCs/>
                <w:szCs w:val="22"/>
              </w:rPr>
              <w:t>It is this extensibility that IEC/TR 61850-90-5 will utilize.</w:t>
            </w:r>
          </w:p>
          <w:p w:rsidR="00095C1D" w:rsidRPr="00095C1D" w:rsidRDefault="00095C1D" w:rsidP="00095C1D">
            <w:pPr>
              <w:tabs>
                <w:tab w:val="left" w:pos="0"/>
              </w:tabs>
              <w:ind w:left="0" w:firstLine="0"/>
              <w:rPr>
                <w:rFonts w:eastAsia="Calibri"/>
                <w:bCs/>
                <w:szCs w:val="22"/>
              </w:rPr>
            </w:pPr>
          </w:p>
        </w:tc>
      </w:tr>
    </w:tbl>
    <w:p w:rsidR="00095C1D" w:rsidRDefault="00095C1D" w:rsidP="00095C1D">
      <w:pPr>
        <w:tabs>
          <w:tab w:val="left" w:pos="142"/>
        </w:tabs>
        <w:ind w:left="142"/>
        <w:jc w:val="center"/>
        <w:rPr>
          <w:b/>
        </w:rPr>
      </w:pPr>
    </w:p>
    <w:p w:rsidR="00095C1D" w:rsidRDefault="00095C1D" w:rsidP="00095C1D">
      <w:pPr>
        <w:tabs>
          <w:tab w:val="left" w:pos="142"/>
        </w:tabs>
        <w:ind w:left="142"/>
        <w:jc w:val="center"/>
        <w:rPr>
          <w:b/>
        </w:rPr>
      </w:pPr>
      <w:r w:rsidRPr="00095C1D">
        <w:rPr>
          <w:b/>
        </w:rPr>
        <w:t>13</w:t>
      </w:r>
      <w:r>
        <w:rPr>
          <w:b/>
        </w:rPr>
        <w:t>-р хүснэгт</w:t>
      </w:r>
      <w:r w:rsidRPr="00095C1D">
        <w:rPr>
          <w:b/>
        </w:rPr>
        <w:t xml:space="preserve"> – RFC-3547 түлхүүр татах төрөл тодорхойлогч</w:t>
      </w:r>
    </w:p>
    <w:tbl>
      <w:tblPr>
        <w:tblStyle w:val="TableGrid"/>
        <w:tblW w:w="0" w:type="auto"/>
        <w:tblInd w:w="142" w:type="dxa"/>
        <w:tblLook w:val="04A0" w:firstRow="1" w:lastRow="0" w:firstColumn="1" w:lastColumn="0" w:noHBand="0" w:noVBand="1"/>
      </w:tblPr>
      <w:tblGrid>
        <w:gridCol w:w="4601"/>
        <w:gridCol w:w="4601"/>
      </w:tblGrid>
      <w:tr w:rsidR="00095C1D" w:rsidTr="00095C1D">
        <w:tc>
          <w:tcPr>
            <w:tcW w:w="4601" w:type="dxa"/>
          </w:tcPr>
          <w:p w:rsidR="00095C1D" w:rsidRPr="00EF2D2B" w:rsidRDefault="00095C1D" w:rsidP="00095C1D">
            <w:pPr>
              <w:pStyle w:val="TableParagraph"/>
              <w:tabs>
                <w:tab w:val="left" w:pos="0"/>
              </w:tabs>
              <w:spacing w:before="53" w:line="276" w:lineRule="auto"/>
              <w:ind w:left="105"/>
              <w:rPr>
                <w:b/>
                <w:sz w:val="20"/>
                <w:szCs w:val="20"/>
                <w:lang w:val="mn-MN"/>
              </w:rPr>
            </w:pPr>
            <w:r w:rsidRPr="00EF2D2B">
              <w:rPr>
                <w:b/>
                <w:sz w:val="20"/>
                <w:szCs w:val="20"/>
                <w:lang w:val="mn-MN"/>
              </w:rPr>
              <w:t>Тодорхойлогч нэр</w:t>
            </w:r>
          </w:p>
        </w:tc>
        <w:tc>
          <w:tcPr>
            <w:tcW w:w="4601" w:type="dxa"/>
          </w:tcPr>
          <w:p w:rsidR="00095C1D" w:rsidRPr="00EF2D2B" w:rsidRDefault="00095C1D" w:rsidP="00095C1D">
            <w:pPr>
              <w:pStyle w:val="TableParagraph"/>
              <w:tabs>
                <w:tab w:val="left" w:pos="0"/>
              </w:tabs>
              <w:spacing w:before="53" w:line="276" w:lineRule="auto"/>
              <w:ind w:left="105"/>
              <w:rPr>
                <w:b/>
                <w:sz w:val="20"/>
                <w:szCs w:val="20"/>
                <w:lang w:val="mn-MN"/>
              </w:rPr>
            </w:pPr>
            <w:r w:rsidRPr="00EF2D2B">
              <w:rPr>
                <w:b/>
                <w:sz w:val="20"/>
                <w:szCs w:val="20"/>
                <w:lang w:val="mn-MN"/>
              </w:rPr>
              <w:t>Утга</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Reserved</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0</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lastRenderedPageBreak/>
              <w:t>TEK</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w:t>
            </w:r>
          </w:p>
        </w:tc>
      </w:tr>
      <w:tr w:rsidR="00095C1D" w:rsidTr="00095C1D">
        <w:tc>
          <w:tcPr>
            <w:tcW w:w="4601" w:type="dxa"/>
          </w:tcPr>
          <w:p w:rsidR="00095C1D" w:rsidRPr="00731F96" w:rsidRDefault="00095C1D" w:rsidP="00095C1D">
            <w:pPr>
              <w:pStyle w:val="TableParagraph"/>
              <w:tabs>
                <w:tab w:val="left" w:pos="0"/>
              </w:tabs>
              <w:spacing w:before="58" w:line="276" w:lineRule="auto"/>
              <w:ind w:left="105"/>
              <w:rPr>
                <w:sz w:val="20"/>
                <w:szCs w:val="20"/>
                <w:lang w:val="mn-MN"/>
              </w:rPr>
            </w:pPr>
            <w:r w:rsidRPr="00EF2D2B">
              <w:rPr>
                <w:sz w:val="20"/>
                <w:szCs w:val="20"/>
                <w:lang w:val="mn-MN"/>
              </w:rPr>
              <w:t>KEK</w:t>
            </w:r>
          </w:p>
        </w:tc>
        <w:tc>
          <w:tcPr>
            <w:tcW w:w="4601" w:type="dxa"/>
          </w:tcPr>
          <w:p w:rsidR="00095C1D" w:rsidRPr="00EF2D2B" w:rsidRDefault="00095C1D" w:rsidP="00095C1D">
            <w:pPr>
              <w:pStyle w:val="TableParagraph"/>
              <w:tabs>
                <w:tab w:val="left" w:pos="0"/>
              </w:tabs>
              <w:spacing w:before="58" w:line="276" w:lineRule="auto"/>
              <w:ind w:left="105"/>
              <w:rPr>
                <w:sz w:val="20"/>
                <w:szCs w:val="20"/>
                <w:lang w:val="mn-MN"/>
              </w:rPr>
            </w:pPr>
            <w:r w:rsidRPr="00EF2D2B">
              <w:rPr>
                <w:sz w:val="20"/>
                <w:szCs w:val="20"/>
                <w:lang w:val="mn-MN"/>
              </w:rPr>
              <w:t>2</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LKH</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3</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RESERVED</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4-127</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Private</w:t>
            </w:r>
            <w:r w:rsidRPr="00731F96">
              <w:rPr>
                <w:sz w:val="20"/>
                <w:szCs w:val="20"/>
                <w:lang w:val="mn-MN"/>
              </w:rPr>
              <w:t xml:space="preserve"> Use</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128-255</w:t>
            </w:r>
          </w:p>
        </w:tc>
      </w:tr>
    </w:tbl>
    <w:p w:rsidR="00095C1D" w:rsidRDefault="00095C1D" w:rsidP="00095C1D">
      <w:pPr>
        <w:tabs>
          <w:tab w:val="left" w:pos="142"/>
        </w:tabs>
        <w:ind w:left="142"/>
        <w:jc w:val="center"/>
        <w:rPr>
          <w:b/>
        </w:rPr>
      </w:pPr>
    </w:p>
    <w:p w:rsidR="00095C1D" w:rsidRDefault="00095C1D" w:rsidP="00095C1D">
      <w:pPr>
        <w:tabs>
          <w:tab w:val="left" w:pos="142"/>
        </w:tabs>
        <w:ind w:left="142"/>
        <w:jc w:val="center"/>
        <w:rPr>
          <w:b/>
        </w:rPr>
      </w:pPr>
      <w:r w:rsidRPr="00095C1D">
        <w:rPr>
          <w:b/>
        </w:rPr>
        <w:t>Table 13 – RFC-3547 key download type identifiers</w:t>
      </w:r>
    </w:p>
    <w:tbl>
      <w:tblPr>
        <w:tblStyle w:val="TableGrid"/>
        <w:tblW w:w="0" w:type="auto"/>
        <w:tblInd w:w="142" w:type="dxa"/>
        <w:tblLook w:val="04A0" w:firstRow="1" w:lastRow="0" w:firstColumn="1" w:lastColumn="0" w:noHBand="0" w:noVBand="1"/>
      </w:tblPr>
      <w:tblGrid>
        <w:gridCol w:w="4601"/>
        <w:gridCol w:w="4601"/>
      </w:tblGrid>
      <w:tr w:rsidR="00095C1D" w:rsidTr="00095C1D">
        <w:tc>
          <w:tcPr>
            <w:tcW w:w="4601" w:type="dxa"/>
          </w:tcPr>
          <w:p w:rsidR="00095C1D" w:rsidRPr="00EF2D2B" w:rsidRDefault="00095C1D" w:rsidP="00095C1D">
            <w:pPr>
              <w:pStyle w:val="TableParagraph"/>
              <w:tabs>
                <w:tab w:val="left" w:pos="0"/>
              </w:tabs>
              <w:spacing w:before="53" w:line="276" w:lineRule="auto"/>
              <w:ind w:left="105"/>
              <w:jc w:val="center"/>
              <w:rPr>
                <w:b/>
                <w:sz w:val="20"/>
                <w:szCs w:val="20"/>
                <w:lang w:val="mn-MN"/>
              </w:rPr>
            </w:pPr>
            <w:r w:rsidRPr="00EF2D2B">
              <w:rPr>
                <w:b/>
                <w:sz w:val="20"/>
                <w:szCs w:val="20"/>
                <w:lang w:val="mn-MN"/>
              </w:rPr>
              <w:t>Identifer name</w:t>
            </w:r>
          </w:p>
        </w:tc>
        <w:tc>
          <w:tcPr>
            <w:tcW w:w="4601" w:type="dxa"/>
          </w:tcPr>
          <w:p w:rsidR="00095C1D" w:rsidRPr="00EF2D2B" w:rsidRDefault="00095C1D" w:rsidP="00095C1D">
            <w:pPr>
              <w:pStyle w:val="TableParagraph"/>
              <w:tabs>
                <w:tab w:val="left" w:pos="0"/>
              </w:tabs>
              <w:spacing w:before="53" w:line="276" w:lineRule="auto"/>
              <w:ind w:left="105"/>
              <w:jc w:val="center"/>
              <w:rPr>
                <w:b/>
                <w:sz w:val="20"/>
                <w:szCs w:val="20"/>
                <w:lang w:val="mn-MN"/>
              </w:rPr>
            </w:pPr>
            <w:r w:rsidRPr="00EF2D2B">
              <w:rPr>
                <w:b/>
                <w:sz w:val="20"/>
                <w:szCs w:val="20"/>
                <w:lang w:val="mn-MN"/>
              </w:rPr>
              <w:t>Value</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Reserved</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0</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TEK</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w:t>
            </w:r>
          </w:p>
        </w:tc>
      </w:tr>
      <w:tr w:rsidR="00095C1D" w:rsidTr="00095C1D">
        <w:tc>
          <w:tcPr>
            <w:tcW w:w="4601" w:type="dxa"/>
          </w:tcPr>
          <w:p w:rsidR="00095C1D" w:rsidRPr="00731F96" w:rsidRDefault="00095C1D" w:rsidP="00095C1D">
            <w:pPr>
              <w:pStyle w:val="TableParagraph"/>
              <w:tabs>
                <w:tab w:val="left" w:pos="0"/>
              </w:tabs>
              <w:spacing w:before="58" w:line="276" w:lineRule="auto"/>
              <w:ind w:left="105"/>
              <w:rPr>
                <w:sz w:val="20"/>
                <w:szCs w:val="20"/>
                <w:lang w:val="mn-MN"/>
              </w:rPr>
            </w:pPr>
            <w:r w:rsidRPr="00EF2D2B">
              <w:rPr>
                <w:sz w:val="20"/>
                <w:szCs w:val="20"/>
                <w:lang w:val="mn-MN"/>
              </w:rPr>
              <w:t>KEK</w:t>
            </w:r>
          </w:p>
        </w:tc>
        <w:tc>
          <w:tcPr>
            <w:tcW w:w="4601" w:type="dxa"/>
          </w:tcPr>
          <w:p w:rsidR="00095C1D" w:rsidRPr="00EF2D2B" w:rsidRDefault="00095C1D" w:rsidP="00095C1D">
            <w:pPr>
              <w:pStyle w:val="TableParagraph"/>
              <w:tabs>
                <w:tab w:val="left" w:pos="0"/>
              </w:tabs>
              <w:spacing w:before="58" w:line="276" w:lineRule="auto"/>
              <w:ind w:left="105"/>
              <w:rPr>
                <w:sz w:val="20"/>
                <w:szCs w:val="20"/>
                <w:lang w:val="mn-MN"/>
              </w:rPr>
            </w:pPr>
            <w:r w:rsidRPr="00EF2D2B">
              <w:rPr>
                <w:sz w:val="20"/>
                <w:szCs w:val="20"/>
                <w:lang w:val="mn-MN"/>
              </w:rPr>
              <w:t>2</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LKH</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3</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RESERVED</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4-127</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Private Use</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128-255</w:t>
            </w:r>
          </w:p>
        </w:tc>
      </w:tr>
    </w:tbl>
    <w:p w:rsidR="00095C1D" w:rsidRDefault="00095C1D" w:rsidP="00095C1D">
      <w:pPr>
        <w:tabs>
          <w:tab w:val="left" w:pos="142"/>
        </w:tabs>
        <w:ind w:left="142"/>
        <w:jc w:val="center"/>
        <w:rPr>
          <w:b/>
        </w:rPr>
      </w:pPr>
    </w:p>
    <w:p w:rsidR="00095C1D" w:rsidRDefault="00095C1D"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11"/>
        <w:gridCol w:w="4591"/>
      </w:tblGrid>
      <w:tr w:rsidR="00095C1D" w:rsidTr="00095C1D">
        <w:tc>
          <w:tcPr>
            <w:tcW w:w="4611" w:type="dxa"/>
          </w:tcPr>
          <w:p w:rsidR="00095C1D" w:rsidRPr="00095C1D" w:rsidRDefault="00095C1D" w:rsidP="00095C1D">
            <w:pPr>
              <w:tabs>
                <w:tab w:val="left" w:pos="0"/>
              </w:tabs>
              <w:ind w:left="0" w:firstLine="0"/>
              <w:rPr>
                <w:rFonts w:eastAsia="Calibri"/>
                <w:bCs/>
                <w:szCs w:val="22"/>
              </w:rPr>
            </w:pPr>
            <w:r w:rsidRPr="00095C1D">
              <w:rPr>
                <w:rFonts w:eastAsia="Calibri"/>
                <w:bCs/>
                <w:szCs w:val="22"/>
              </w:rPr>
              <w:t>IEC/TR 61850-90-5-д Түлхүүр Татах (KD) тодорхойлогч нь хэд хэдэн тодорхойлогчийг тодорхой зааж өгөх ёстой.Эдгээр тодорхойлогчийг, тодорхойлогчийн Хувийн Ашиглалтын хүрээнээс (128-255) томилно.Хувийн ашиглалтын хүрээг IEC/TR 61850-90-5-ийн домайн дотор стандартчилагдсан тодорхойлогч болгон ашиглана.Хүснэгт 14-т заагдсан тоонуудыг ашиглана.</w:t>
            </w:r>
          </w:p>
          <w:p w:rsidR="00095C1D" w:rsidRDefault="00095C1D" w:rsidP="00095C1D">
            <w:pPr>
              <w:tabs>
                <w:tab w:val="left" w:pos="142"/>
              </w:tabs>
              <w:ind w:left="0" w:firstLine="0"/>
              <w:jc w:val="center"/>
              <w:rPr>
                <w:b/>
              </w:rPr>
            </w:pPr>
          </w:p>
        </w:tc>
        <w:tc>
          <w:tcPr>
            <w:tcW w:w="4591" w:type="dxa"/>
          </w:tcPr>
          <w:p w:rsidR="00095C1D" w:rsidRPr="00095C1D" w:rsidRDefault="00095C1D" w:rsidP="00095C1D">
            <w:pPr>
              <w:tabs>
                <w:tab w:val="left" w:pos="0"/>
              </w:tabs>
              <w:ind w:left="0" w:firstLine="0"/>
              <w:rPr>
                <w:rFonts w:eastAsia="Calibri"/>
                <w:bCs/>
                <w:szCs w:val="22"/>
              </w:rPr>
            </w:pPr>
            <w:r w:rsidRPr="00095C1D">
              <w:rPr>
                <w:rFonts w:eastAsia="Calibri"/>
                <w:bCs/>
                <w:szCs w:val="22"/>
              </w:rPr>
              <w:t xml:space="preserve">The Key Download (KD) Payload identifiers, for IEC/TR 61850-90-5, shall specify several identifiers. These identifiers will be assigned from the Private Use range of identifiers (128- 255). The private use range shall be used as standardized identifiers within the domain of IEC/TR 61850-90-5. The following numbers shall be used, as defined in </w:t>
            </w:r>
            <w:hyperlink w:anchor="_bookmark60" w:history="1">
              <w:r w:rsidRPr="00095C1D">
                <w:rPr>
                  <w:rFonts w:eastAsia="Calibri"/>
                  <w:bCs/>
                  <w:szCs w:val="22"/>
                </w:rPr>
                <w:t>Table 14:</w:t>
              </w:r>
            </w:hyperlink>
          </w:p>
          <w:p w:rsidR="00095C1D" w:rsidRPr="00095C1D" w:rsidRDefault="00095C1D" w:rsidP="00095C1D">
            <w:pPr>
              <w:tabs>
                <w:tab w:val="left" w:pos="0"/>
              </w:tabs>
              <w:ind w:left="0" w:firstLine="0"/>
              <w:rPr>
                <w:rFonts w:eastAsia="Calibri"/>
                <w:bCs/>
                <w:szCs w:val="22"/>
              </w:rPr>
            </w:pPr>
          </w:p>
          <w:p w:rsidR="00095C1D" w:rsidRDefault="00095C1D" w:rsidP="00095C1D">
            <w:pPr>
              <w:tabs>
                <w:tab w:val="left" w:pos="142"/>
              </w:tabs>
              <w:ind w:left="0" w:firstLine="0"/>
              <w:jc w:val="center"/>
              <w:rPr>
                <w:b/>
              </w:rPr>
            </w:pPr>
          </w:p>
        </w:tc>
      </w:tr>
    </w:tbl>
    <w:p w:rsidR="00095C1D" w:rsidRDefault="00095C1D" w:rsidP="00095C1D">
      <w:pPr>
        <w:tabs>
          <w:tab w:val="left" w:pos="142"/>
        </w:tabs>
        <w:ind w:left="142"/>
        <w:jc w:val="center"/>
        <w:rPr>
          <w:b/>
        </w:rPr>
      </w:pPr>
    </w:p>
    <w:p w:rsidR="00095C1D" w:rsidRDefault="00095C1D" w:rsidP="00095C1D">
      <w:pPr>
        <w:tabs>
          <w:tab w:val="left" w:pos="142"/>
        </w:tabs>
        <w:ind w:left="142"/>
        <w:jc w:val="center"/>
        <w:rPr>
          <w:b/>
        </w:rPr>
      </w:pPr>
      <w:r w:rsidRPr="00095C1D">
        <w:rPr>
          <w:b/>
        </w:rPr>
        <w:t>14</w:t>
      </w:r>
      <w:r>
        <w:rPr>
          <w:b/>
        </w:rPr>
        <w:t>-р хүснэгт</w:t>
      </w:r>
      <w:r w:rsidRPr="00095C1D">
        <w:rPr>
          <w:b/>
        </w:rPr>
        <w:t xml:space="preserve"> ‒IE C/TR 61850-90-5 түлхүүр татах төрөл тодорхойлогч</w:t>
      </w:r>
    </w:p>
    <w:tbl>
      <w:tblPr>
        <w:tblStyle w:val="TableGrid"/>
        <w:tblW w:w="0" w:type="auto"/>
        <w:tblInd w:w="142" w:type="dxa"/>
        <w:tblLook w:val="04A0" w:firstRow="1" w:lastRow="0" w:firstColumn="1" w:lastColumn="0" w:noHBand="0" w:noVBand="1"/>
      </w:tblPr>
      <w:tblGrid>
        <w:gridCol w:w="4647"/>
        <w:gridCol w:w="4555"/>
      </w:tblGrid>
      <w:tr w:rsidR="00095C1D" w:rsidTr="00095C1D">
        <w:tc>
          <w:tcPr>
            <w:tcW w:w="4647" w:type="dxa"/>
          </w:tcPr>
          <w:p w:rsidR="00095C1D" w:rsidRPr="00EF2D2B" w:rsidRDefault="00095C1D" w:rsidP="00095C1D">
            <w:pPr>
              <w:pStyle w:val="TableParagraph"/>
              <w:tabs>
                <w:tab w:val="left" w:pos="0"/>
              </w:tabs>
              <w:spacing w:before="53" w:line="276" w:lineRule="auto"/>
              <w:ind w:left="734"/>
              <w:rPr>
                <w:b/>
                <w:sz w:val="20"/>
                <w:szCs w:val="20"/>
                <w:lang w:val="mn-MN"/>
              </w:rPr>
            </w:pPr>
            <w:r w:rsidRPr="00EF2D2B">
              <w:rPr>
                <w:b/>
                <w:sz w:val="20"/>
                <w:szCs w:val="20"/>
                <w:lang w:val="mn-MN"/>
              </w:rPr>
              <w:t>KD төрөл тодорхойлогч нэр</w:t>
            </w:r>
          </w:p>
        </w:tc>
        <w:tc>
          <w:tcPr>
            <w:tcW w:w="4555" w:type="dxa"/>
          </w:tcPr>
          <w:p w:rsidR="00095C1D" w:rsidRPr="00EF2D2B" w:rsidRDefault="00095C1D" w:rsidP="00095C1D">
            <w:pPr>
              <w:pStyle w:val="TableParagraph"/>
              <w:tabs>
                <w:tab w:val="left" w:pos="0"/>
              </w:tabs>
              <w:spacing w:before="53" w:line="276" w:lineRule="auto"/>
              <w:ind w:left="309"/>
              <w:rPr>
                <w:b/>
                <w:sz w:val="20"/>
                <w:szCs w:val="20"/>
                <w:lang w:val="mn-MN"/>
              </w:rPr>
            </w:pPr>
            <w:r w:rsidRPr="00EF2D2B">
              <w:rPr>
                <w:b/>
                <w:sz w:val="20"/>
                <w:szCs w:val="20"/>
                <w:lang w:val="mn-MN"/>
              </w:rPr>
              <w:t>Утга</w:t>
            </w:r>
          </w:p>
        </w:tc>
      </w:tr>
      <w:tr w:rsidR="00095C1D" w:rsidTr="00095C1D">
        <w:tc>
          <w:tcPr>
            <w:tcW w:w="4647"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61850_ETHERENT_GOOSE_OR_SV</w:t>
            </w:r>
          </w:p>
        </w:tc>
        <w:tc>
          <w:tcPr>
            <w:tcW w:w="4555"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192</w:t>
            </w:r>
          </w:p>
        </w:tc>
      </w:tr>
      <w:tr w:rsidR="00095C1D" w:rsidTr="00095C1D">
        <w:tc>
          <w:tcPr>
            <w:tcW w:w="4647"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61850_90_5_SESSION</w:t>
            </w:r>
          </w:p>
        </w:tc>
        <w:tc>
          <w:tcPr>
            <w:tcW w:w="4555"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193</w:t>
            </w:r>
          </w:p>
        </w:tc>
      </w:tr>
      <w:tr w:rsidR="00095C1D" w:rsidTr="00095C1D">
        <w:tc>
          <w:tcPr>
            <w:tcW w:w="4647" w:type="dxa"/>
          </w:tcPr>
          <w:p w:rsidR="00095C1D" w:rsidRPr="00731F96" w:rsidRDefault="00095C1D" w:rsidP="00095C1D">
            <w:pPr>
              <w:pStyle w:val="TableParagraph"/>
              <w:tabs>
                <w:tab w:val="left" w:pos="0"/>
              </w:tabs>
              <w:spacing w:before="58" w:line="276" w:lineRule="auto"/>
              <w:ind w:left="105"/>
              <w:rPr>
                <w:sz w:val="20"/>
                <w:szCs w:val="20"/>
                <w:lang w:val="mn-MN"/>
              </w:rPr>
            </w:pPr>
            <w:r w:rsidRPr="00EF2D2B">
              <w:rPr>
                <w:sz w:val="20"/>
                <w:szCs w:val="20"/>
                <w:lang w:val="mn-MN"/>
              </w:rPr>
              <w:t>61850_8_1_ISO9506</w:t>
            </w:r>
          </w:p>
        </w:tc>
        <w:tc>
          <w:tcPr>
            <w:tcW w:w="4555" w:type="dxa"/>
          </w:tcPr>
          <w:p w:rsidR="00095C1D" w:rsidRPr="00EF2D2B" w:rsidRDefault="00095C1D" w:rsidP="00095C1D">
            <w:pPr>
              <w:pStyle w:val="TableParagraph"/>
              <w:tabs>
                <w:tab w:val="left" w:pos="0"/>
              </w:tabs>
              <w:spacing w:before="58" w:line="276" w:lineRule="auto"/>
              <w:ind w:left="105"/>
              <w:rPr>
                <w:sz w:val="20"/>
                <w:szCs w:val="20"/>
                <w:lang w:val="mn-MN"/>
              </w:rPr>
            </w:pPr>
            <w:r w:rsidRPr="00EF2D2B">
              <w:rPr>
                <w:sz w:val="20"/>
                <w:szCs w:val="20"/>
                <w:lang w:val="mn-MN"/>
              </w:rPr>
              <w:t>194</w:t>
            </w:r>
          </w:p>
        </w:tc>
      </w:tr>
      <w:tr w:rsidR="00095C1D" w:rsidTr="00095C1D">
        <w:tc>
          <w:tcPr>
            <w:tcW w:w="4647"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61850_UDP_IP_AGGR</w:t>
            </w:r>
          </w:p>
        </w:tc>
        <w:tc>
          <w:tcPr>
            <w:tcW w:w="4555"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195</w:t>
            </w:r>
          </w:p>
        </w:tc>
      </w:tr>
      <w:tr w:rsidR="00095C1D" w:rsidTr="00095C1D">
        <w:tc>
          <w:tcPr>
            <w:tcW w:w="4647"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61850_UDP_MNGT</w:t>
            </w:r>
          </w:p>
        </w:tc>
        <w:tc>
          <w:tcPr>
            <w:tcW w:w="4555"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196</w:t>
            </w:r>
          </w:p>
        </w:tc>
      </w:tr>
    </w:tbl>
    <w:p w:rsidR="00095C1D" w:rsidRDefault="00095C1D" w:rsidP="00095C1D">
      <w:pPr>
        <w:tabs>
          <w:tab w:val="left" w:pos="142"/>
        </w:tabs>
        <w:ind w:left="142"/>
        <w:jc w:val="center"/>
        <w:rPr>
          <w:b/>
        </w:rPr>
      </w:pPr>
    </w:p>
    <w:p w:rsidR="00095C1D" w:rsidRDefault="00095C1D" w:rsidP="00095C1D">
      <w:pPr>
        <w:tabs>
          <w:tab w:val="left" w:pos="142"/>
        </w:tabs>
        <w:ind w:left="142"/>
        <w:jc w:val="center"/>
        <w:rPr>
          <w:b/>
        </w:rPr>
      </w:pPr>
      <w:r w:rsidRPr="00095C1D">
        <w:rPr>
          <w:b/>
        </w:rPr>
        <w:t>Table 14 ‒ IE C/TR 61850-90-5 key download type identifiers</w:t>
      </w:r>
    </w:p>
    <w:tbl>
      <w:tblPr>
        <w:tblStyle w:val="TableGrid"/>
        <w:tblW w:w="0" w:type="auto"/>
        <w:tblInd w:w="142" w:type="dxa"/>
        <w:tblLook w:val="04A0" w:firstRow="1" w:lastRow="0" w:firstColumn="1" w:lastColumn="0" w:noHBand="0" w:noVBand="1"/>
      </w:tblPr>
      <w:tblGrid>
        <w:gridCol w:w="4601"/>
        <w:gridCol w:w="4601"/>
      </w:tblGrid>
      <w:tr w:rsidR="00095C1D" w:rsidTr="00095C1D">
        <w:tc>
          <w:tcPr>
            <w:tcW w:w="4601" w:type="dxa"/>
          </w:tcPr>
          <w:p w:rsidR="00095C1D" w:rsidRPr="00EF2D2B" w:rsidRDefault="00095C1D" w:rsidP="00095C1D">
            <w:pPr>
              <w:pStyle w:val="TableParagraph"/>
              <w:tabs>
                <w:tab w:val="left" w:pos="0"/>
              </w:tabs>
              <w:spacing w:before="53" w:line="276" w:lineRule="auto"/>
              <w:ind w:left="734"/>
              <w:rPr>
                <w:b/>
                <w:sz w:val="20"/>
                <w:szCs w:val="20"/>
                <w:lang w:val="mn-MN"/>
              </w:rPr>
            </w:pPr>
            <w:r w:rsidRPr="00EF2D2B">
              <w:rPr>
                <w:b/>
                <w:sz w:val="20"/>
                <w:szCs w:val="20"/>
                <w:lang w:val="mn-MN"/>
              </w:rPr>
              <w:t>KD type identifier name</w:t>
            </w:r>
          </w:p>
        </w:tc>
        <w:tc>
          <w:tcPr>
            <w:tcW w:w="4601" w:type="dxa"/>
          </w:tcPr>
          <w:p w:rsidR="00095C1D" w:rsidRPr="00EF2D2B" w:rsidRDefault="00095C1D" w:rsidP="00095C1D">
            <w:pPr>
              <w:pStyle w:val="TableParagraph"/>
              <w:tabs>
                <w:tab w:val="left" w:pos="0"/>
              </w:tabs>
              <w:spacing w:before="53" w:line="276" w:lineRule="auto"/>
              <w:ind w:left="309"/>
              <w:rPr>
                <w:b/>
                <w:sz w:val="20"/>
                <w:szCs w:val="20"/>
                <w:lang w:val="mn-MN"/>
              </w:rPr>
            </w:pPr>
            <w:r w:rsidRPr="00EF2D2B">
              <w:rPr>
                <w:b/>
                <w:sz w:val="20"/>
                <w:szCs w:val="20"/>
                <w:lang w:val="mn-MN"/>
              </w:rPr>
              <w:t>Value</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61850_ETHERENT_GOOSE_OR_SV</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192</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61850_90_5_SESSION</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193</w:t>
            </w:r>
          </w:p>
        </w:tc>
      </w:tr>
      <w:tr w:rsidR="00095C1D" w:rsidTr="00095C1D">
        <w:tc>
          <w:tcPr>
            <w:tcW w:w="4601" w:type="dxa"/>
          </w:tcPr>
          <w:p w:rsidR="00095C1D" w:rsidRPr="00731F96" w:rsidRDefault="00095C1D" w:rsidP="00095C1D">
            <w:pPr>
              <w:pStyle w:val="TableParagraph"/>
              <w:tabs>
                <w:tab w:val="left" w:pos="0"/>
              </w:tabs>
              <w:spacing w:before="58" w:line="276" w:lineRule="auto"/>
              <w:ind w:left="105"/>
              <w:rPr>
                <w:sz w:val="20"/>
                <w:szCs w:val="20"/>
                <w:lang w:val="mn-MN"/>
              </w:rPr>
            </w:pPr>
            <w:r w:rsidRPr="00EF2D2B">
              <w:rPr>
                <w:sz w:val="20"/>
                <w:szCs w:val="20"/>
                <w:lang w:val="mn-MN"/>
              </w:rPr>
              <w:t>61850_8_1_ISO9506</w:t>
            </w:r>
          </w:p>
        </w:tc>
        <w:tc>
          <w:tcPr>
            <w:tcW w:w="4601" w:type="dxa"/>
          </w:tcPr>
          <w:p w:rsidR="00095C1D" w:rsidRPr="00EF2D2B" w:rsidRDefault="00095C1D" w:rsidP="00095C1D">
            <w:pPr>
              <w:pStyle w:val="TableParagraph"/>
              <w:tabs>
                <w:tab w:val="left" w:pos="0"/>
              </w:tabs>
              <w:spacing w:before="58" w:line="276" w:lineRule="auto"/>
              <w:ind w:left="105"/>
              <w:rPr>
                <w:sz w:val="20"/>
                <w:szCs w:val="20"/>
                <w:lang w:val="mn-MN"/>
              </w:rPr>
            </w:pPr>
            <w:r w:rsidRPr="00EF2D2B">
              <w:rPr>
                <w:sz w:val="20"/>
                <w:szCs w:val="20"/>
                <w:lang w:val="mn-MN"/>
              </w:rPr>
              <w:t>194</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t>61850_UDP_IP_AGGR</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195</w:t>
            </w:r>
          </w:p>
        </w:tc>
      </w:tr>
      <w:tr w:rsidR="00095C1D" w:rsidTr="00095C1D">
        <w:tc>
          <w:tcPr>
            <w:tcW w:w="4601" w:type="dxa"/>
          </w:tcPr>
          <w:p w:rsidR="00095C1D" w:rsidRPr="00731F96" w:rsidRDefault="00095C1D" w:rsidP="00095C1D">
            <w:pPr>
              <w:pStyle w:val="TableParagraph"/>
              <w:tabs>
                <w:tab w:val="left" w:pos="0"/>
              </w:tabs>
              <w:spacing w:line="276" w:lineRule="auto"/>
              <w:ind w:left="105"/>
              <w:rPr>
                <w:sz w:val="20"/>
                <w:szCs w:val="20"/>
                <w:lang w:val="mn-MN"/>
              </w:rPr>
            </w:pPr>
            <w:r w:rsidRPr="00EF2D2B">
              <w:rPr>
                <w:sz w:val="20"/>
                <w:szCs w:val="20"/>
                <w:lang w:val="mn-MN"/>
              </w:rPr>
              <w:lastRenderedPageBreak/>
              <w:t>61850_UDP_MNGT</w:t>
            </w:r>
          </w:p>
        </w:tc>
        <w:tc>
          <w:tcPr>
            <w:tcW w:w="4601" w:type="dxa"/>
          </w:tcPr>
          <w:p w:rsidR="00095C1D" w:rsidRPr="00EF2D2B" w:rsidRDefault="00095C1D" w:rsidP="00095C1D">
            <w:pPr>
              <w:pStyle w:val="TableParagraph"/>
              <w:tabs>
                <w:tab w:val="left" w:pos="0"/>
              </w:tabs>
              <w:spacing w:line="276" w:lineRule="auto"/>
              <w:ind w:left="105"/>
              <w:rPr>
                <w:sz w:val="20"/>
                <w:szCs w:val="20"/>
                <w:lang w:val="mn-MN"/>
              </w:rPr>
            </w:pPr>
            <w:r w:rsidRPr="00EF2D2B">
              <w:rPr>
                <w:sz w:val="20"/>
                <w:szCs w:val="20"/>
                <w:lang w:val="mn-MN"/>
              </w:rPr>
              <w:t>196</w:t>
            </w:r>
          </w:p>
        </w:tc>
      </w:tr>
    </w:tbl>
    <w:p w:rsidR="00095C1D" w:rsidRDefault="00095C1D" w:rsidP="00095C1D">
      <w:pPr>
        <w:tabs>
          <w:tab w:val="left" w:pos="142"/>
        </w:tabs>
        <w:ind w:left="0" w:firstLine="0"/>
        <w:rPr>
          <w:b/>
        </w:rPr>
      </w:pPr>
    </w:p>
    <w:tbl>
      <w:tblPr>
        <w:tblStyle w:val="TableGrid"/>
        <w:tblW w:w="0" w:type="auto"/>
        <w:tblInd w:w="142" w:type="dxa"/>
        <w:tblLook w:val="04A0" w:firstRow="1" w:lastRow="0" w:firstColumn="1" w:lastColumn="0" w:noHBand="0" w:noVBand="1"/>
      </w:tblPr>
      <w:tblGrid>
        <w:gridCol w:w="4616"/>
        <w:gridCol w:w="4586"/>
      </w:tblGrid>
      <w:tr w:rsidR="00095C1D" w:rsidTr="00095C1D">
        <w:tc>
          <w:tcPr>
            <w:tcW w:w="4672" w:type="dxa"/>
          </w:tcPr>
          <w:p w:rsidR="00095C1D" w:rsidRPr="00095C1D" w:rsidRDefault="00095C1D" w:rsidP="00095C1D">
            <w:pPr>
              <w:widowControl w:val="0"/>
              <w:tabs>
                <w:tab w:val="left" w:pos="0"/>
                <w:tab w:val="left" w:pos="1635"/>
                <w:tab w:val="left" w:pos="1636"/>
              </w:tabs>
              <w:autoSpaceDE w:val="0"/>
              <w:autoSpaceDN w:val="0"/>
              <w:spacing w:before="93"/>
              <w:ind w:left="0" w:firstLine="0"/>
              <w:rPr>
                <w:rFonts w:eastAsia="Calibri"/>
                <w:b/>
                <w:bCs/>
                <w:szCs w:val="22"/>
              </w:rPr>
            </w:pPr>
            <w:r w:rsidRPr="00095C1D">
              <w:rPr>
                <w:rFonts w:eastAsia="Calibri"/>
                <w:b/>
                <w:bCs/>
                <w:szCs w:val="22"/>
              </w:rPr>
              <w:t>11.4.5.1 Одоогийн болон дараагийн түлхүүрүүдийн нийтлэг түлхүүр ачаалал</w:t>
            </w:r>
          </w:p>
          <w:p w:rsidR="00095C1D" w:rsidRDefault="00095C1D" w:rsidP="00095C1D">
            <w:pPr>
              <w:tabs>
                <w:tab w:val="left" w:pos="0"/>
              </w:tabs>
              <w:ind w:left="0" w:firstLine="0"/>
              <w:rPr>
                <w:b/>
              </w:rPr>
            </w:pPr>
            <w:r w:rsidRPr="00095C1D">
              <w:rPr>
                <w:rFonts w:eastAsia="Calibri"/>
                <w:bCs/>
                <w:szCs w:val="22"/>
              </w:rPr>
              <w:t>IEC/TR 61850-90-5-ийн хүрээнд баталгаажсан клиентүүдийгодоогийн түлхүүр ба дараагийн түлхүүрээр хангах шаардлагатай.Эдгээр хоёр түлхүүрийг агуулсан ачаалал нь:</w:t>
            </w:r>
          </w:p>
        </w:tc>
        <w:tc>
          <w:tcPr>
            <w:tcW w:w="4672" w:type="dxa"/>
          </w:tcPr>
          <w:p w:rsidR="00095C1D" w:rsidRPr="00095C1D" w:rsidRDefault="00095C1D" w:rsidP="00095C1D">
            <w:pPr>
              <w:widowControl w:val="0"/>
              <w:tabs>
                <w:tab w:val="left" w:pos="0"/>
                <w:tab w:val="left" w:pos="1635"/>
                <w:tab w:val="left" w:pos="1636"/>
              </w:tabs>
              <w:autoSpaceDE w:val="0"/>
              <w:autoSpaceDN w:val="0"/>
              <w:spacing w:before="93"/>
              <w:ind w:left="0" w:firstLine="0"/>
              <w:rPr>
                <w:rFonts w:eastAsia="Calibri"/>
                <w:b/>
                <w:bCs/>
                <w:szCs w:val="22"/>
              </w:rPr>
            </w:pPr>
            <w:r w:rsidRPr="00095C1D">
              <w:rPr>
                <w:rFonts w:eastAsia="Calibri"/>
                <w:b/>
                <w:bCs/>
                <w:szCs w:val="22"/>
              </w:rPr>
              <w:t>11.4.5.1 Common key payload for current and next keys</w:t>
            </w:r>
          </w:p>
          <w:p w:rsidR="00095C1D" w:rsidRDefault="00095C1D" w:rsidP="00095C1D">
            <w:pPr>
              <w:tabs>
                <w:tab w:val="left" w:pos="0"/>
              </w:tabs>
              <w:ind w:left="0" w:firstLine="0"/>
              <w:rPr>
                <w:b/>
              </w:rPr>
            </w:pPr>
            <w:r w:rsidRPr="00095C1D">
              <w:rPr>
                <w:rFonts w:eastAsia="Calibri"/>
                <w:bCs/>
                <w:szCs w:val="22"/>
              </w:rPr>
              <w:t>Within the scope of IEC/TR 61850-90-5, there is a recognized need to provide authenticated clients with the current key and the next key that is intended to be used. The payload  containing both of these keys shall be:</w:t>
            </w:r>
          </w:p>
        </w:tc>
      </w:tr>
    </w:tbl>
    <w:p w:rsidR="00095C1D" w:rsidRDefault="00095C1D" w:rsidP="00095C1D">
      <w:pPr>
        <w:tabs>
          <w:tab w:val="left" w:pos="142"/>
        </w:tabs>
        <w:ind w:left="142"/>
        <w:jc w:val="center"/>
        <w:rPr>
          <w:b/>
        </w:rPr>
      </w:pPr>
    </w:p>
    <w:p w:rsidR="00095C1D" w:rsidRPr="00EF2D2B" w:rsidRDefault="00095C1D" w:rsidP="00095C1D">
      <w:pPr>
        <w:tabs>
          <w:tab w:val="left" w:pos="142"/>
        </w:tabs>
        <w:ind w:left="142"/>
        <w:jc w:val="center"/>
        <w:rPr>
          <w:b/>
        </w:rPr>
      </w:pPr>
      <w:r>
        <w:rPr>
          <w:noProof/>
          <w:lang w:val="en-US"/>
        </w:rPr>
        <w:drawing>
          <wp:inline distT="0" distB="0" distL="0" distR="0" wp14:anchorId="343E8A0E" wp14:editId="401A0311">
            <wp:extent cx="4810125" cy="417195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10125" cy="4171950"/>
                    </a:xfrm>
                    <a:prstGeom prst="rect">
                      <a:avLst/>
                    </a:prstGeom>
                  </pic:spPr>
                </pic:pic>
              </a:graphicData>
            </a:graphic>
          </wp:inline>
        </w:drawing>
      </w:r>
    </w:p>
    <w:p w:rsidR="00095C1D" w:rsidRDefault="00095C1D" w:rsidP="00095C1D">
      <w:pPr>
        <w:tabs>
          <w:tab w:val="left" w:pos="142"/>
        </w:tabs>
        <w:ind w:left="142"/>
        <w:jc w:val="center"/>
      </w:pPr>
    </w:p>
    <w:p w:rsidR="00095C1D" w:rsidRPr="00095C1D" w:rsidRDefault="00095C1D" w:rsidP="00095C1D">
      <w:pPr>
        <w:tabs>
          <w:tab w:val="left" w:pos="142"/>
        </w:tabs>
        <w:ind w:left="142"/>
        <w:jc w:val="center"/>
        <w:rPr>
          <w:b/>
        </w:rPr>
      </w:pPr>
      <w:r w:rsidRPr="00095C1D">
        <w:rPr>
          <w:b/>
        </w:rPr>
        <w:t>31-р зураг – Түлхүүр татах хариу ачааллын тодорхойлолт</w:t>
      </w:r>
    </w:p>
    <w:p w:rsidR="00095C1D" w:rsidRDefault="00095C1D" w:rsidP="00095C1D">
      <w:pPr>
        <w:tabs>
          <w:tab w:val="left" w:pos="142"/>
        </w:tabs>
        <w:ind w:left="142"/>
        <w:jc w:val="center"/>
        <w:rPr>
          <w:b/>
        </w:rPr>
      </w:pPr>
      <w:r w:rsidRPr="00095C1D">
        <w:rPr>
          <w:b/>
        </w:rPr>
        <w:t>Figure 31 – Key download response payload definition</w:t>
      </w:r>
    </w:p>
    <w:p w:rsidR="00095C1D" w:rsidRDefault="00095C1D"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095C1D" w:rsidTr="00095C1D">
        <w:tc>
          <w:tcPr>
            <w:tcW w:w="4601" w:type="dxa"/>
          </w:tcPr>
          <w:p w:rsidR="00095C1D" w:rsidRPr="00095C1D" w:rsidRDefault="00095C1D" w:rsidP="00095C1D">
            <w:pPr>
              <w:tabs>
                <w:tab w:val="left" w:pos="0"/>
              </w:tabs>
              <w:ind w:left="0" w:firstLine="0"/>
              <w:rPr>
                <w:rFonts w:eastAsia="Calibri"/>
                <w:bCs/>
                <w:szCs w:val="22"/>
              </w:rPr>
            </w:pPr>
            <w:r w:rsidRPr="00095C1D">
              <w:rPr>
                <w:rFonts w:eastAsia="Calibri"/>
                <w:bCs/>
                <w:szCs w:val="22"/>
              </w:rPr>
              <w:t>Зураг 31-д IEC/TR 61850-90-5 Түлхүүр татах хариу ачааллын форматыг харуулав. Талбаруудын тодорхойлолтыг 11.4.3.6-аас үзнэ үү.</w:t>
            </w:r>
          </w:p>
          <w:p w:rsidR="00095C1D" w:rsidRPr="00095C1D" w:rsidRDefault="00095C1D" w:rsidP="00095C1D">
            <w:pPr>
              <w:tabs>
                <w:tab w:val="left" w:pos="0"/>
              </w:tabs>
              <w:ind w:left="0" w:firstLine="0"/>
              <w:rPr>
                <w:rFonts w:eastAsia="Calibri"/>
                <w:bCs/>
                <w:szCs w:val="22"/>
              </w:rPr>
            </w:pPr>
            <w:r w:rsidRPr="00095C1D">
              <w:rPr>
                <w:rFonts w:eastAsia="Calibri"/>
                <w:bCs/>
                <w:szCs w:val="22"/>
              </w:rPr>
              <w:t>Дараахь октетууд, түүний дотор NextKey октет дараахь нөхцөлд KeyPayload-д орох ёсгүй:</w:t>
            </w:r>
          </w:p>
          <w:p w:rsidR="00095C1D" w:rsidRPr="00095C1D" w:rsidRDefault="00095C1D" w:rsidP="00095C1D">
            <w:pPr>
              <w:tabs>
                <w:tab w:val="left" w:pos="0"/>
              </w:tabs>
              <w:ind w:left="0" w:firstLine="0"/>
              <w:rPr>
                <w:rFonts w:eastAsia="Calibri"/>
                <w:bCs/>
                <w:szCs w:val="22"/>
              </w:rPr>
            </w:pPr>
            <w:r w:rsidRPr="00095C1D">
              <w:rPr>
                <w:rFonts w:eastAsia="Calibri"/>
                <w:bCs/>
                <w:szCs w:val="22"/>
              </w:rPr>
              <w:lastRenderedPageBreak/>
              <w:t>Хэрэв Ачаалал нь бүлгийн гишүүдэд шахагдаж байгаа бол.</w:t>
            </w:r>
          </w:p>
          <w:p w:rsidR="00095C1D" w:rsidRPr="00095C1D" w:rsidRDefault="00095C1D" w:rsidP="00472036">
            <w:pPr>
              <w:pStyle w:val="ListParagraph"/>
              <w:widowControl w:val="0"/>
              <w:numPr>
                <w:ilvl w:val="0"/>
                <w:numId w:val="28"/>
              </w:numPr>
              <w:tabs>
                <w:tab w:val="left" w:pos="0"/>
                <w:tab w:val="left" w:pos="918"/>
              </w:tabs>
              <w:autoSpaceDE w:val="0"/>
              <w:autoSpaceDN w:val="0"/>
              <w:spacing w:before="102" w:after="0"/>
              <w:ind w:left="0" w:right="65" w:firstLine="0"/>
              <w:contextualSpacing w:val="0"/>
              <w:jc w:val="left"/>
              <w:rPr>
                <w:rFonts w:eastAsia="Calibri"/>
                <w:bCs/>
                <w:szCs w:val="22"/>
              </w:rPr>
            </w:pPr>
            <w:r w:rsidRPr="00095C1D">
              <w:rPr>
                <w:rFonts w:eastAsia="Calibri"/>
                <w:bCs/>
                <w:szCs w:val="22"/>
              </w:rPr>
              <w:t>Хэрэв клиентийн баталгаажуулалтын итгэмжлэл нь одоогийн түлхүүрийн хугацаа дуусахаас өмнө хугацаа нь дуусах бол.</w:t>
            </w:r>
          </w:p>
          <w:p w:rsidR="00095C1D" w:rsidRPr="00095C1D" w:rsidRDefault="00095C1D" w:rsidP="00472036">
            <w:pPr>
              <w:pStyle w:val="ListParagraph"/>
              <w:widowControl w:val="0"/>
              <w:numPr>
                <w:ilvl w:val="0"/>
                <w:numId w:val="28"/>
              </w:numPr>
              <w:tabs>
                <w:tab w:val="left" w:pos="0"/>
                <w:tab w:val="left" w:pos="918"/>
              </w:tabs>
              <w:autoSpaceDE w:val="0"/>
              <w:autoSpaceDN w:val="0"/>
              <w:spacing w:before="102" w:after="0"/>
              <w:ind w:left="0" w:right="65" w:firstLine="0"/>
              <w:contextualSpacing w:val="0"/>
              <w:jc w:val="left"/>
              <w:rPr>
                <w:rFonts w:eastAsia="Calibri"/>
                <w:bCs/>
                <w:szCs w:val="22"/>
              </w:rPr>
            </w:pPr>
            <w:r w:rsidRPr="00095C1D">
              <w:rPr>
                <w:rFonts w:eastAsia="Calibri"/>
                <w:bCs/>
                <w:szCs w:val="22"/>
              </w:rPr>
              <w:t>Хэрэв клиентийн баталгаажуулалтын итгэмжлэл нь одоогийн түлхүүрийн хугацаа дуусахаас өмнө хугацаа нь дуусах бол.</w:t>
            </w:r>
          </w:p>
          <w:p w:rsidR="00095C1D" w:rsidRPr="00095C1D" w:rsidRDefault="00095C1D" w:rsidP="00472036">
            <w:pPr>
              <w:pStyle w:val="ListParagraph"/>
              <w:widowControl w:val="0"/>
              <w:numPr>
                <w:ilvl w:val="0"/>
                <w:numId w:val="28"/>
              </w:numPr>
              <w:tabs>
                <w:tab w:val="left" w:pos="0"/>
                <w:tab w:val="left" w:pos="918"/>
              </w:tabs>
              <w:autoSpaceDE w:val="0"/>
              <w:autoSpaceDN w:val="0"/>
              <w:spacing w:before="99" w:after="0"/>
              <w:ind w:left="0" w:firstLine="0"/>
              <w:contextualSpacing w:val="0"/>
              <w:jc w:val="left"/>
              <w:rPr>
                <w:rFonts w:eastAsia="Calibri"/>
                <w:bCs/>
                <w:szCs w:val="22"/>
              </w:rPr>
            </w:pPr>
            <w:r w:rsidRPr="00095C1D">
              <w:rPr>
                <w:rFonts w:eastAsia="Calibri"/>
                <w:bCs/>
                <w:szCs w:val="22"/>
              </w:rPr>
              <w:t>Хэрэв дараагийн түлхүүрийг томилоогүй эсвэл тооцоолоогүй бол.</w:t>
            </w:r>
          </w:p>
          <w:p w:rsidR="00095C1D" w:rsidRPr="00095C1D" w:rsidRDefault="00095C1D" w:rsidP="00095C1D">
            <w:pPr>
              <w:tabs>
                <w:tab w:val="left" w:pos="0"/>
              </w:tabs>
              <w:ind w:left="0" w:firstLine="0"/>
              <w:rPr>
                <w:rFonts w:eastAsia="Calibri"/>
                <w:bCs/>
                <w:szCs w:val="22"/>
              </w:rPr>
            </w:pPr>
            <w:r w:rsidRPr="00095C1D">
              <w:rPr>
                <w:rFonts w:eastAsia="Calibri"/>
                <w:bCs/>
                <w:szCs w:val="22"/>
              </w:rPr>
              <w:t>Түлхүүр татах хариу хүлээн авсан клиентүүд түлхүүр татах удирдамжийг бодит удирдамжийн хариутай харьцуулж үздэг.Хэрэв удирдамх тохирохгүй бол клиент энэ мэдээллийг хасна</w:t>
            </w:r>
          </w:p>
          <w:p w:rsidR="00095C1D" w:rsidRPr="00095C1D" w:rsidRDefault="00095C1D" w:rsidP="00095C1D">
            <w:pPr>
              <w:tabs>
                <w:tab w:val="left" w:pos="0"/>
              </w:tabs>
              <w:ind w:left="0" w:firstLine="0"/>
              <w:rPr>
                <w:rFonts w:eastAsia="Calibri"/>
                <w:bCs/>
                <w:szCs w:val="22"/>
              </w:rPr>
            </w:pPr>
            <w:r w:rsidRPr="00095C1D">
              <w:rPr>
                <w:rFonts w:eastAsia="Calibri"/>
                <w:bCs/>
                <w:szCs w:val="22"/>
              </w:rPr>
              <w:t>Түлхүүрийг тодорхойлохын тулд Current Key ба Next Key ID утгыг KDC үүсгэдэг. Энэ утгыг Session протоколд ашиглаж байгаа түлхүүрийг тодорхойлоход ашигладаг. Утга нь дөрвөн (4) октет утга ба бүхэл тоо биш. Эдгээр утгууд нь ашиглалтын хугацааны утга ба татах төрлөөр цор ганц байх ёстой.</w:t>
            </w:r>
          </w:p>
          <w:p w:rsidR="00095C1D" w:rsidRPr="00095C1D" w:rsidRDefault="00095C1D" w:rsidP="00095C1D">
            <w:pPr>
              <w:tabs>
                <w:tab w:val="left" w:pos="0"/>
              </w:tabs>
              <w:ind w:left="0" w:firstLine="0"/>
              <w:rPr>
                <w:rFonts w:eastAsia="Calibri"/>
                <w:bCs/>
                <w:szCs w:val="22"/>
              </w:rPr>
            </w:pPr>
            <w:r w:rsidRPr="00095C1D">
              <w:rPr>
                <w:rFonts w:eastAsia="Calibri"/>
                <w:bCs/>
                <w:szCs w:val="22"/>
              </w:rPr>
              <w:t>Зөвшөөрөгдсөн ашиглалтын хугацааны утгахамгийн ихдээ дөчин найман (48) цаг байна. 61850_UDP_MNGT татах төрлөөр олгосон түлхүүрүүдийн ашиглалтын хугацаа нь LifeTimeутга хамгийн ихдээ гучин (30) минут байх ёстой.</w:t>
            </w:r>
          </w:p>
          <w:p w:rsidR="00095C1D" w:rsidRPr="00095C1D" w:rsidRDefault="00095C1D" w:rsidP="00095C1D">
            <w:pPr>
              <w:tabs>
                <w:tab w:val="left" w:pos="0"/>
              </w:tabs>
              <w:ind w:left="0" w:firstLine="0"/>
              <w:rPr>
                <w:rFonts w:eastAsia="Calibri"/>
                <w:b/>
                <w:bCs/>
                <w:szCs w:val="22"/>
              </w:rPr>
            </w:pPr>
            <w:r w:rsidRPr="00095C1D">
              <w:rPr>
                <w:rFonts w:eastAsia="Calibri"/>
                <w:b/>
                <w:bCs/>
                <w:szCs w:val="22"/>
              </w:rPr>
              <w:t>11.4.5.1.1 62351_ETHERNET_GOOSE_OR_SV түлхүүр татах төрөл</w:t>
            </w:r>
          </w:p>
          <w:p w:rsidR="00095C1D" w:rsidRPr="00095C1D" w:rsidRDefault="00095C1D" w:rsidP="00095C1D">
            <w:pPr>
              <w:tabs>
                <w:tab w:val="left" w:pos="0"/>
              </w:tabs>
              <w:ind w:left="0" w:firstLine="0"/>
              <w:rPr>
                <w:rFonts w:eastAsia="Calibri"/>
                <w:bCs/>
                <w:szCs w:val="22"/>
              </w:rPr>
            </w:pPr>
            <w:r w:rsidRPr="00095C1D">
              <w:rPr>
                <w:rFonts w:eastAsia="Calibri"/>
                <w:bCs/>
                <w:szCs w:val="22"/>
              </w:rPr>
              <w:t>62351_ETHERNET_</w:t>
            </w:r>
            <w:r>
              <w:rPr>
                <w:rFonts w:eastAsia="Calibri"/>
                <w:bCs/>
                <w:szCs w:val="22"/>
              </w:rPr>
              <w:t xml:space="preserve"> </w:t>
            </w:r>
            <w:r w:rsidRPr="00095C1D">
              <w:rPr>
                <w:rFonts w:eastAsia="Calibri"/>
                <w:bCs/>
                <w:szCs w:val="22"/>
              </w:rPr>
              <w:t>GOOSE_OR_SV нь 195 ба 196 гэсэн ачааллын тодорхойлогч (Хүснэгт 12-г үзнэ үү) утга байх ёстой.</w:t>
            </w:r>
          </w:p>
          <w:p w:rsidR="00095C1D" w:rsidRPr="00095C1D" w:rsidRDefault="00095C1D" w:rsidP="00095C1D">
            <w:pPr>
              <w:tabs>
                <w:tab w:val="left" w:pos="0"/>
              </w:tabs>
              <w:ind w:left="0" w:firstLine="0"/>
              <w:rPr>
                <w:rFonts w:eastAsia="Calibri"/>
                <w:bCs/>
                <w:szCs w:val="22"/>
              </w:rPr>
            </w:pPr>
            <w:r w:rsidRPr="00095C1D">
              <w:rPr>
                <w:rFonts w:eastAsia="Calibri"/>
                <w:bCs/>
                <w:szCs w:val="22"/>
              </w:rPr>
              <w:lastRenderedPageBreak/>
              <w:t>Key Payload-ыг 11.4.5.1-д тодорхойлсон.</w:t>
            </w:r>
          </w:p>
          <w:p w:rsidR="00095C1D" w:rsidRPr="00095C1D" w:rsidRDefault="00095C1D" w:rsidP="00472036">
            <w:pPr>
              <w:pStyle w:val="Heading5"/>
              <w:keepNext w:val="0"/>
              <w:keepLines w:val="0"/>
              <w:widowControl w:val="0"/>
              <w:numPr>
                <w:ilvl w:val="4"/>
                <w:numId w:val="31"/>
              </w:numPr>
              <w:tabs>
                <w:tab w:val="left" w:pos="0"/>
                <w:tab w:val="left" w:pos="1861"/>
                <w:tab w:val="left" w:pos="1862"/>
              </w:tabs>
              <w:autoSpaceDE w:val="0"/>
              <w:autoSpaceDN w:val="0"/>
              <w:spacing w:before="0" w:line="276" w:lineRule="auto"/>
              <w:ind w:left="0" w:firstLine="0"/>
              <w:outlineLvl w:val="4"/>
              <w:rPr>
                <w:rFonts w:ascii="Arial" w:eastAsia="Calibri" w:hAnsi="Arial" w:cs="Arial"/>
                <w:b/>
                <w:color w:val="auto"/>
                <w:szCs w:val="22"/>
                <w:lang w:val="mn-MN"/>
              </w:rPr>
            </w:pPr>
            <w:r w:rsidRPr="00095C1D">
              <w:rPr>
                <w:rFonts w:ascii="Arial" w:eastAsia="Calibri" w:hAnsi="Arial" w:cs="Arial"/>
                <w:b/>
                <w:color w:val="auto"/>
                <w:szCs w:val="22"/>
                <w:lang w:val="mn-MN"/>
              </w:rPr>
              <w:t xml:space="preserve"> 61850_90_5_SESSION түлхүүр татах төрөл</w:t>
            </w:r>
          </w:p>
          <w:p w:rsidR="00095C1D" w:rsidRPr="00095C1D" w:rsidRDefault="00095C1D" w:rsidP="00095C1D">
            <w:pPr>
              <w:tabs>
                <w:tab w:val="left" w:pos="0"/>
              </w:tabs>
              <w:ind w:left="0" w:firstLine="0"/>
              <w:rPr>
                <w:rFonts w:eastAsia="Calibri"/>
                <w:bCs/>
                <w:szCs w:val="22"/>
              </w:rPr>
            </w:pPr>
            <w:r w:rsidRPr="00095C1D">
              <w:rPr>
                <w:rFonts w:eastAsia="Calibri"/>
                <w:bCs/>
                <w:szCs w:val="22"/>
              </w:rPr>
              <w:t>62351_ETHERNET_GOOSE_OR_SV нь 192, 193 ба 194 гэсэн ачааллын тодорхойлогч (Хүснэгт 12-г үзнэ үү) утга байх ёстой.</w:t>
            </w:r>
          </w:p>
          <w:p w:rsidR="00095C1D" w:rsidRPr="00095C1D" w:rsidRDefault="00095C1D" w:rsidP="00095C1D">
            <w:pPr>
              <w:tabs>
                <w:tab w:val="left" w:pos="0"/>
              </w:tabs>
              <w:ind w:left="0" w:firstLine="0"/>
              <w:rPr>
                <w:rFonts w:eastAsia="Calibri"/>
                <w:bCs/>
                <w:szCs w:val="22"/>
              </w:rPr>
            </w:pPr>
            <w:r w:rsidRPr="00095C1D">
              <w:rPr>
                <w:rFonts w:eastAsia="Calibri"/>
                <w:bCs/>
                <w:szCs w:val="22"/>
              </w:rPr>
              <w:t>Key Payload-ыг 11.4.5.1-д тодорхойлсон.</w:t>
            </w:r>
          </w:p>
          <w:p w:rsidR="00095C1D" w:rsidRPr="00095C1D" w:rsidRDefault="00095C1D" w:rsidP="00095C1D">
            <w:pPr>
              <w:pStyle w:val="Heading5"/>
              <w:tabs>
                <w:tab w:val="left" w:pos="0"/>
                <w:tab w:val="left" w:pos="1636"/>
                <w:tab w:val="left" w:pos="1637"/>
              </w:tabs>
              <w:spacing w:line="276" w:lineRule="auto"/>
              <w:outlineLvl w:val="4"/>
              <w:rPr>
                <w:rFonts w:ascii="Arial" w:eastAsia="Calibri" w:hAnsi="Arial" w:cs="Arial"/>
                <w:color w:val="auto"/>
                <w:szCs w:val="22"/>
                <w:lang w:val="mn-MN"/>
              </w:rPr>
            </w:pPr>
            <w:r w:rsidRPr="00095C1D">
              <w:rPr>
                <w:rFonts w:ascii="Arial" w:eastAsia="Calibri" w:hAnsi="Arial" w:cs="Arial"/>
                <w:color w:val="auto"/>
                <w:szCs w:val="22"/>
                <w:lang w:val="mn-MN"/>
              </w:rPr>
              <w:t>11.4.5.2.3  61850_8_1_ISO9506 key downloadtype</w:t>
            </w:r>
          </w:p>
          <w:p w:rsidR="00095C1D" w:rsidRPr="00095C1D" w:rsidRDefault="00095C1D" w:rsidP="00095C1D">
            <w:pPr>
              <w:tabs>
                <w:tab w:val="left" w:pos="0"/>
              </w:tabs>
              <w:ind w:left="0" w:firstLine="0"/>
              <w:rPr>
                <w:rFonts w:eastAsia="Calibri"/>
                <w:bCs/>
                <w:szCs w:val="22"/>
              </w:rPr>
            </w:pPr>
            <w:r w:rsidRPr="00095C1D">
              <w:rPr>
                <w:rFonts w:eastAsia="Calibri"/>
                <w:bCs/>
                <w:szCs w:val="22"/>
              </w:rPr>
              <w:t>62351_ETHERNET_GOOSE_OR_SV нь 197гэсэн ачааллын тодорхойлогч (Хүснэгт 12-г үзнэ үү) утга байх ёстой. Энэ ачаалал бодит формат нь энэхүү Техникийн тайланд тусгагдаагүй.</w:t>
            </w:r>
          </w:p>
          <w:p w:rsidR="00095C1D" w:rsidRPr="00095C1D" w:rsidRDefault="00095C1D" w:rsidP="00095C1D">
            <w:pPr>
              <w:pStyle w:val="Heading5"/>
              <w:tabs>
                <w:tab w:val="left" w:pos="0"/>
                <w:tab w:val="left" w:pos="1182"/>
                <w:tab w:val="left" w:pos="1183"/>
              </w:tabs>
              <w:spacing w:line="276" w:lineRule="auto"/>
              <w:outlineLvl w:val="4"/>
              <w:rPr>
                <w:rFonts w:ascii="Arial" w:eastAsia="Calibri" w:hAnsi="Arial" w:cs="Arial"/>
                <w:b/>
                <w:color w:val="auto"/>
                <w:szCs w:val="22"/>
                <w:lang w:val="mn-MN"/>
              </w:rPr>
            </w:pPr>
            <w:bookmarkStart w:id="56" w:name="_TOC_250013"/>
            <w:r w:rsidRPr="00095C1D">
              <w:rPr>
                <w:rFonts w:ascii="Arial" w:eastAsia="Calibri" w:hAnsi="Arial" w:cs="Arial"/>
                <w:b/>
                <w:color w:val="auto"/>
                <w:szCs w:val="22"/>
                <w:lang w:val="mn-MN"/>
              </w:rPr>
              <w:t>11.5 Интернэт бүлгийн менежменийн протоколын хувилбар 3</w:t>
            </w:r>
            <w:bookmarkEnd w:id="56"/>
            <w:r w:rsidRPr="00095C1D">
              <w:rPr>
                <w:rFonts w:ascii="Arial" w:eastAsia="Calibri" w:hAnsi="Arial" w:cs="Arial"/>
                <w:b/>
                <w:color w:val="auto"/>
                <w:szCs w:val="22"/>
                <w:lang w:val="mn-MN"/>
              </w:rPr>
              <w:t xml:space="preserve"> A- Профайл</w:t>
            </w:r>
          </w:p>
          <w:p w:rsidR="00095C1D" w:rsidRPr="00095C1D" w:rsidRDefault="00095C1D" w:rsidP="00095C1D">
            <w:pPr>
              <w:tabs>
                <w:tab w:val="left" w:pos="0"/>
              </w:tabs>
              <w:ind w:left="0" w:firstLine="0"/>
              <w:rPr>
                <w:rFonts w:eastAsia="Calibri"/>
                <w:bCs/>
                <w:szCs w:val="22"/>
              </w:rPr>
            </w:pPr>
            <w:r w:rsidRPr="00095C1D">
              <w:rPr>
                <w:rFonts w:eastAsia="Calibri"/>
                <w:bCs/>
                <w:szCs w:val="22"/>
              </w:rPr>
              <w:t>IGMP хувилбар 3 (RFC 3376) нь 11.3-т тодорхойлсоноор чиглүүлэгддэг GOOSE ба SV-ийн захиалагчдийг хэрэгжүүлэлтээр дэмжигдэнэ.</w:t>
            </w:r>
          </w:p>
          <w:p w:rsidR="00095C1D" w:rsidRPr="00095C1D" w:rsidRDefault="00095C1D" w:rsidP="00095C1D">
            <w:pPr>
              <w:tabs>
                <w:tab w:val="left" w:pos="0"/>
              </w:tabs>
              <w:ind w:left="0" w:firstLine="0"/>
              <w:rPr>
                <w:rFonts w:eastAsia="Calibri"/>
                <w:b/>
                <w:bCs/>
                <w:szCs w:val="22"/>
              </w:rPr>
            </w:pPr>
            <w:bookmarkStart w:id="57" w:name="_TOC_250012"/>
            <w:r w:rsidRPr="00095C1D">
              <w:rPr>
                <w:rFonts w:eastAsia="Calibri"/>
                <w:b/>
                <w:bCs/>
                <w:szCs w:val="22"/>
              </w:rPr>
              <w:t>11.6 T</w:t>
            </w:r>
            <w:bookmarkEnd w:id="57"/>
            <w:r w:rsidRPr="00095C1D">
              <w:rPr>
                <w:rFonts w:eastAsia="Calibri"/>
                <w:b/>
                <w:bCs/>
                <w:szCs w:val="22"/>
              </w:rPr>
              <w:t>- Профайл</w:t>
            </w:r>
            <w:r w:rsidRPr="00095C1D" w:rsidDel="004B6946">
              <w:rPr>
                <w:rFonts w:eastAsia="Calibri"/>
                <w:b/>
                <w:bCs/>
                <w:szCs w:val="22"/>
              </w:rPr>
              <w:t xml:space="preserve"> </w:t>
            </w:r>
            <w:r w:rsidRPr="00095C1D">
              <w:rPr>
                <w:rFonts w:eastAsia="Calibri"/>
                <w:b/>
                <w:bCs/>
                <w:szCs w:val="22"/>
              </w:rPr>
              <w:t>ууд</w:t>
            </w:r>
          </w:p>
          <w:p w:rsidR="00095C1D" w:rsidRPr="00095C1D" w:rsidRDefault="00095C1D" w:rsidP="00095C1D">
            <w:pPr>
              <w:tabs>
                <w:tab w:val="left" w:pos="0"/>
              </w:tabs>
              <w:ind w:left="0" w:firstLine="0"/>
              <w:rPr>
                <w:rFonts w:eastAsia="Calibri"/>
                <w:b/>
                <w:bCs/>
                <w:szCs w:val="22"/>
              </w:rPr>
            </w:pPr>
            <w:r w:rsidRPr="00095C1D">
              <w:rPr>
                <w:rFonts w:eastAsia="Calibri"/>
                <w:b/>
                <w:bCs/>
                <w:szCs w:val="22"/>
              </w:rPr>
              <w:t>11.6.1 Ерөнхий</w:t>
            </w:r>
          </w:p>
          <w:p w:rsidR="00095C1D" w:rsidRPr="00095C1D" w:rsidRDefault="00095C1D" w:rsidP="00095C1D">
            <w:pPr>
              <w:tabs>
                <w:tab w:val="left" w:pos="0"/>
              </w:tabs>
              <w:ind w:left="0" w:firstLine="0"/>
              <w:rPr>
                <w:rFonts w:eastAsia="Calibri"/>
                <w:bCs/>
                <w:szCs w:val="22"/>
              </w:rPr>
            </w:pPr>
            <w:r w:rsidRPr="00095C1D">
              <w:rPr>
                <w:rFonts w:eastAsia="Calibri"/>
                <w:bCs/>
                <w:szCs w:val="22"/>
              </w:rPr>
              <w:t>IEC / TR 61850-90-5-д тодорхойлсоноор гурван (3) өөр A- Профайлууд байдаг. Эдгээр A- Профайл бүр нь гурван (3) бие даасан Тээврийн Профайлууд (T- Профайл) ашигладаг. A-Profiles ба T-Profile-ууд хоорондын хамаарлыг Зураг 32-т харуулав.</w:t>
            </w:r>
          </w:p>
        </w:tc>
        <w:tc>
          <w:tcPr>
            <w:tcW w:w="4601" w:type="dxa"/>
          </w:tcPr>
          <w:p w:rsidR="00095C1D" w:rsidRPr="00095C1D" w:rsidRDefault="00D80958" w:rsidP="00095C1D">
            <w:pPr>
              <w:tabs>
                <w:tab w:val="left" w:pos="0"/>
              </w:tabs>
              <w:ind w:left="0" w:firstLine="0"/>
              <w:rPr>
                <w:rFonts w:eastAsia="Calibri"/>
                <w:bCs/>
                <w:szCs w:val="22"/>
              </w:rPr>
            </w:pPr>
            <w:hyperlink w:anchor="_bookmark62" w:history="1">
              <w:r w:rsidR="00095C1D" w:rsidRPr="00095C1D">
                <w:rPr>
                  <w:rFonts w:eastAsia="Calibri"/>
                  <w:bCs/>
                  <w:szCs w:val="22"/>
                </w:rPr>
                <w:t xml:space="preserve">Figure 31 </w:t>
              </w:r>
            </w:hyperlink>
            <w:r w:rsidR="00095C1D" w:rsidRPr="00095C1D">
              <w:rPr>
                <w:rFonts w:eastAsia="Calibri"/>
                <w:bCs/>
                <w:szCs w:val="22"/>
              </w:rPr>
              <w:t xml:space="preserve">depicts the format of an IEC/TR 61850-90-5 Key Download Response Payload. The definitions of the fields can be found in </w:t>
            </w:r>
            <w:hyperlink w:anchor="_bookmark57" w:history="1">
              <w:r w:rsidR="00095C1D" w:rsidRPr="00095C1D">
                <w:rPr>
                  <w:rFonts w:eastAsia="Calibri"/>
                  <w:bCs/>
                  <w:szCs w:val="22"/>
                </w:rPr>
                <w:t>11.4.3.6.</w:t>
              </w:r>
            </w:hyperlink>
          </w:p>
          <w:p w:rsidR="00095C1D" w:rsidRPr="00095C1D" w:rsidRDefault="00095C1D" w:rsidP="00095C1D">
            <w:pPr>
              <w:tabs>
                <w:tab w:val="left" w:pos="0"/>
              </w:tabs>
              <w:ind w:left="0" w:firstLine="0"/>
              <w:rPr>
                <w:rFonts w:eastAsia="Calibri"/>
                <w:bCs/>
                <w:szCs w:val="22"/>
              </w:rPr>
            </w:pPr>
            <w:r w:rsidRPr="00095C1D">
              <w:rPr>
                <w:rFonts w:eastAsia="Calibri"/>
                <w:bCs/>
                <w:szCs w:val="22"/>
              </w:rPr>
              <w:t>The octets following, and including the Next Key octet, shall not be present  in  the  Key  Payload under the following conditions:</w:t>
            </w:r>
          </w:p>
          <w:p w:rsidR="00095C1D" w:rsidRPr="00095C1D" w:rsidRDefault="00095C1D" w:rsidP="00472036">
            <w:pPr>
              <w:pStyle w:val="ListParagraph"/>
              <w:widowControl w:val="0"/>
              <w:numPr>
                <w:ilvl w:val="0"/>
                <w:numId w:val="29"/>
              </w:numPr>
              <w:tabs>
                <w:tab w:val="left" w:pos="0"/>
                <w:tab w:val="left" w:pos="919"/>
              </w:tabs>
              <w:autoSpaceDE w:val="0"/>
              <w:autoSpaceDN w:val="0"/>
              <w:spacing w:after="0"/>
              <w:ind w:left="0" w:firstLine="0"/>
              <w:contextualSpacing w:val="0"/>
              <w:rPr>
                <w:rFonts w:eastAsia="Calibri"/>
                <w:bCs/>
                <w:szCs w:val="22"/>
              </w:rPr>
            </w:pPr>
            <w:r w:rsidRPr="00095C1D">
              <w:rPr>
                <w:rFonts w:eastAsia="Calibri"/>
                <w:bCs/>
                <w:szCs w:val="22"/>
              </w:rPr>
              <w:lastRenderedPageBreak/>
              <w:t>If the payload is being pushed to group members.</w:t>
            </w:r>
          </w:p>
          <w:p w:rsidR="00095C1D" w:rsidRPr="00095C1D" w:rsidRDefault="00095C1D" w:rsidP="00472036">
            <w:pPr>
              <w:pStyle w:val="ListParagraph"/>
              <w:widowControl w:val="0"/>
              <w:numPr>
                <w:ilvl w:val="0"/>
                <w:numId w:val="29"/>
              </w:numPr>
              <w:tabs>
                <w:tab w:val="left" w:pos="0"/>
                <w:tab w:val="left" w:pos="919"/>
              </w:tabs>
              <w:autoSpaceDE w:val="0"/>
              <w:autoSpaceDN w:val="0"/>
              <w:spacing w:before="102" w:after="0"/>
              <w:ind w:left="0" w:right="509" w:firstLine="0"/>
              <w:contextualSpacing w:val="0"/>
              <w:rPr>
                <w:rFonts w:eastAsia="Calibri"/>
                <w:bCs/>
                <w:szCs w:val="22"/>
              </w:rPr>
            </w:pPr>
            <w:r w:rsidRPr="00095C1D">
              <w:rPr>
                <w:rFonts w:eastAsia="Calibri"/>
                <w:bCs/>
                <w:szCs w:val="22"/>
              </w:rPr>
              <w:t>If the authentication credential of the client expires prior to the  expiration of  the current key.</w:t>
            </w:r>
          </w:p>
          <w:p w:rsidR="00095C1D" w:rsidRPr="00095C1D" w:rsidRDefault="00095C1D" w:rsidP="00472036">
            <w:pPr>
              <w:pStyle w:val="ListParagraph"/>
              <w:widowControl w:val="0"/>
              <w:numPr>
                <w:ilvl w:val="0"/>
                <w:numId w:val="29"/>
              </w:numPr>
              <w:tabs>
                <w:tab w:val="left" w:pos="0"/>
                <w:tab w:val="left" w:pos="919"/>
              </w:tabs>
              <w:autoSpaceDE w:val="0"/>
              <w:autoSpaceDN w:val="0"/>
              <w:spacing w:before="99" w:after="0"/>
              <w:ind w:left="0" w:firstLine="0"/>
              <w:contextualSpacing w:val="0"/>
              <w:rPr>
                <w:rFonts w:eastAsia="Calibri"/>
                <w:bCs/>
                <w:szCs w:val="22"/>
              </w:rPr>
            </w:pPr>
            <w:r w:rsidRPr="00095C1D">
              <w:rPr>
                <w:rFonts w:eastAsia="Calibri"/>
                <w:bCs/>
                <w:szCs w:val="22"/>
              </w:rPr>
              <w:t>If the next key has not been assigned or computed.</w:t>
            </w:r>
          </w:p>
          <w:p w:rsidR="00095C1D" w:rsidRPr="00095C1D" w:rsidRDefault="00095C1D" w:rsidP="00095C1D">
            <w:pPr>
              <w:pStyle w:val="ListParagraph"/>
              <w:widowControl w:val="0"/>
              <w:tabs>
                <w:tab w:val="left" w:pos="0"/>
                <w:tab w:val="left" w:pos="919"/>
              </w:tabs>
              <w:autoSpaceDE w:val="0"/>
              <w:autoSpaceDN w:val="0"/>
              <w:spacing w:before="99" w:after="0"/>
              <w:ind w:left="0" w:firstLine="0"/>
              <w:contextualSpacing w:val="0"/>
              <w:rPr>
                <w:rFonts w:eastAsia="Calibri"/>
                <w:bCs/>
                <w:szCs w:val="22"/>
              </w:rPr>
            </w:pPr>
          </w:p>
          <w:p w:rsidR="00095C1D" w:rsidRPr="00095C1D" w:rsidRDefault="00095C1D" w:rsidP="00095C1D">
            <w:pPr>
              <w:pStyle w:val="ListParagraph"/>
              <w:widowControl w:val="0"/>
              <w:tabs>
                <w:tab w:val="left" w:pos="0"/>
                <w:tab w:val="left" w:pos="919"/>
              </w:tabs>
              <w:autoSpaceDE w:val="0"/>
              <w:autoSpaceDN w:val="0"/>
              <w:spacing w:before="99" w:after="0"/>
              <w:ind w:left="0" w:firstLine="0"/>
              <w:contextualSpacing w:val="0"/>
              <w:rPr>
                <w:rFonts w:eastAsia="Calibri"/>
                <w:bCs/>
                <w:szCs w:val="22"/>
              </w:rPr>
            </w:pPr>
          </w:p>
          <w:p w:rsidR="00095C1D" w:rsidRPr="00095C1D" w:rsidRDefault="00095C1D" w:rsidP="00095C1D">
            <w:pPr>
              <w:widowControl w:val="0"/>
              <w:tabs>
                <w:tab w:val="left" w:pos="0"/>
                <w:tab w:val="left" w:pos="919"/>
              </w:tabs>
              <w:autoSpaceDE w:val="0"/>
              <w:autoSpaceDN w:val="0"/>
              <w:spacing w:before="99"/>
              <w:ind w:left="0" w:firstLine="0"/>
              <w:rPr>
                <w:rFonts w:eastAsia="Calibri"/>
                <w:bCs/>
                <w:szCs w:val="22"/>
              </w:rPr>
            </w:pPr>
          </w:p>
          <w:p w:rsidR="00095C1D" w:rsidRPr="00095C1D" w:rsidRDefault="00095C1D" w:rsidP="00095C1D">
            <w:pPr>
              <w:tabs>
                <w:tab w:val="left" w:pos="0"/>
              </w:tabs>
              <w:ind w:left="0" w:firstLine="0"/>
              <w:rPr>
                <w:rFonts w:eastAsia="Calibri"/>
                <w:bCs/>
                <w:szCs w:val="22"/>
              </w:rPr>
            </w:pPr>
            <w:r w:rsidRPr="00095C1D">
              <w:rPr>
                <w:rFonts w:eastAsia="Calibri"/>
                <w:bCs/>
                <w:szCs w:val="22"/>
              </w:rPr>
              <w:t>Clients that receive the key download response shall compare the policies of the key download with the actual policyresponse. If policies do not match, the client shall discard the information.</w:t>
            </w:r>
          </w:p>
          <w:p w:rsidR="00095C1D" w:rsidRPr="00095C1D" w:rsidRDefault="00095C1D" w:rsidP="00095C1D">
            <w:pPr>
              <w:tabs>
                <w:tab w:val="left" w:pos="0"/>
              </w:tabs>
              <w:ind w:left="0" w:firstLine="0"/>
              <w:rPr>
                <w:rFonts w:eastAsia="Calibri"/>
                <w:bCs/>
                <w:szCs w:val="22"/>
              </w:rPr>
            </w:pPr>
            <w:r w:rsidRPr="00095C1D">
              <w:rPr>
                <w:rFonts w:eastAsia="Calibri"/>
                <w:bCs/>
                <w:szCs w:val="22"/>
              </w:rPr>
              <w:t>The Current Key and Next Key ID values are generated by the KDC to identify the key. This value is used in the Session protocol to identify the key that is actually in use. The value is a four (4) octet value and not an integer. The values shall be  unique  within the lifetime value  and download type.</w:t>
            </w:r>
          </w:p>
          <w:p w:rsidR="00095C1D" w:rsidRPr="00095C1D" w:rsidRDefault="00095C1D" w:rsidP="00095C1D">
            <w:pPr>
              <w:tabs>
                <w:tab w:val="left" w:pos="0"/>
              </w:tabs>
              <w:ind w:left="0" w:firstLine="0"/>
              <w:rPr>
                <w:rFonts w:eastAsia="Calibri"/>
                <w:bCs/>
                <w:szCs w:val="22"/>
              </w:rPr>
            </w:pPr>
            <w:r w:rsidRPr="00095C1D">
              <w:rPr>
                <w:rFonts w:eastAsia="Calibri"/>
                <w:bCs/>
                <w:szCs w:val="22"/>
              </w:rPr>
              <w:t>The maximum allowed Lifetime value shall be forty-eight (48) hours. Lifetimes for keys  provided by the 61850_UDP_MNGT download type shall have a maximum allowed LifeTime value of thirty (30) minutes.</w:t>
            </w:r>
          </w:p>
          <w:p w:rsidR="00095C1D" w:rsidRPr="00095C1D" w:rsidRDefault="00095C1D" w:rsidP="00095C1D">
            <w:pPr>
              <w:tabs>
                <w:tab w:val="left" w:pos="0"/>
              </w:tabs>
              <w:ind w:left="0" w:firstLine="0"/>
              <w:rPr>
                <w:rFonts w:eastAsia="Calibri"/>
                <w:bCs/>
                <w:szCs w:val="22"/>
              </w:rPr>
            </w:pPr>
          </w:p>
          <w:p w:rsidR="00095C1D" w:rsidRPr="00095C1D" w:rsidRDefault="00095C1D" w:rsidP="00095C1D">
            <w:pPr>
              <w:tabs>
                <w:tab w:val="left" w:pos="0"/>
              </w:tabs>
              <w:ind w:left="0" w:firstLine="0"/>
              <w:rPr>
                <w:rFonts w:eastAsia="Calibri"/>
                <w:bCs/>
                <w:szCs w:val="22"/>
              </w:rPr>
            </w:pPr>
          </w:p>
          <w:p w:rsidR="00095C1D" w:rsidRPr="00095C1D" w:rsidRDefault="00095C1D" w:rsidP="00095C1D">
            <w:pPr>
              <w:tabs>
                <w:tab w:val="left" w:pos="0"/>
              </w:tabs>
              <w:ind w:left="0" w:firstLine="0"/>
              <w:rPr>
                <w:rFonts w:eastAsia="Calibri"/>
                <w:bCs/>
                <w:szCs w:val="22"/>
              </w:rPr>
            </w:pPr>
          </w:p>
          <w:p w:rsidR="00095C1D" w:rsidRPr="00095C1D" w:rsidRDefault="00095C1D" w:rsidP="00095C1D">
            <w:pPr>
              <w:tabs>
                <w:tab w:val="left" w:pos="0"/>
              </w:tabs>
              <w:ind w:left="0" w:firstLine="0"/>
              <w:rPr>
                <w:rFonts w:eastAsia="Calibri"/>
                <w:bCs/>
                <w:szCs w:val="22"/>
              </w:rPr>
            </w:pPr>
          </w:p>
          <w:p w:rsidR="00095C1D" w:rsidRPr="00095C1D" w:rsidRDefault="00095C1D" w:rsidP="00095C1D">
            <w:pPr>
              <w:tabs>
                <w:tab w:val="left" w:pos="0"/>
              </w:tabs>
              <w:ind w:left="0" w:firstLine="0"/>
              <w:rPr>
                <w:rFonts w:eastAsia="Calibri"/>
                <w:bCs/>
                <w:szCs w:val="22"/>
              </w:rPr>
            </w:pPr>
          </w:p>
          <w:p w:rsidR="00095C1D" w:rsidRPr="00095C1D" w:rsidRDefault="00095C1D" w:rsidP="00095C1D">
            <w:pPr>
              <w:tabs>
                <w:tab w:val="left" w:pos="0"/>
              </w:tabs>
              <w:ind w:left="0" w:firstLine="0"/>
              <w:rPr>
                <w:rFonts w:eastAsia="Calibri"/>
                <w:bCs/>
                <w:szCs w:val="22"/>
              </w:rPr>
            </w:pPr>
          </w:p>
          <w:p w:rsidR="00095C1D" w:rsidRPr="00095C1D" w:rsidRDefault="00095C1D" w:rsidP="00095C1D">
            <w:pPr>
              <w:tabs>
                <w:tab w:val="left" w:pos="0"/>
              </w:tabs>
              <w:ind w:left="0" w:firstLine="0"/>
              <w:rPr>
                <w:rFonts w:eastAsia="Calibri"/>
                <w:b/>
                <w:bCs/>
                <w:szCs w:val="22"/>
              </w:rPr>
            </w:pPr>
            <w:r w:rsidRPr="00095C1D">
              <w:rPr>
                <w:rFonts w:eastAsia="Calibri"/>
                <w:b/>
                <w:bCs/>
                <w:szCs w:val="22"/>
              </w:rPr>
              <w:t>11.4.5.1.1 62351_ETHERNET_GOOSE_OR_SV key download type</w:t>
            </w:r>
          </w:p>
          <w:p w:rsidR="00095C1D" w:rsidRPr="00095C1D" w:rsidRDefault="00095C1D" w:rsidP="00095C1D">
            <w:pPr>
              <w:tabs>
                <w:tab w:val="left" w:pos="0"/>
              </w:tabs>
              <w:ind w:left="0" w:firstLine="0"/>
              <w:rPr>
                <w:rFonts w:eastAsia="Calibri"/>
                <w:bCs/>
                <w:szCs w:val="22"/>
              </w:rPr>
            </w:pPr>
            <w:r w:rsidRPr="00095C1D">
              <w:rPr>
                <w:rFonts w:eastAsia="Calibri"/>
                <w:bCs/>
                <w:szCs w:val="22"/>
              </w:rPr>
              <w:t>Th</w:t>
            </w:r>
            <w:r>
              <w:rPr>
                <w:rFonts w:eastAsia="Calibri"/>
                <w:bCs/>
                <w:szCs w:val="22"/>
              </w:rPr>
              <w:t xml:space="preserve">e </w:t>
            </w:r>
            <w:r w:rsidRPr="00095C1D">
              <w:rPr>
                <w:rFonts w:eastAsia="Calibri"/>
                <w:bCs/>
                <w:szCs w:val="22"/>
              </w:rPr>
              <w:t>62351_ETHERNET_</w:t>
            </w:r>
            <w:r>
              <w:rPr>
                <w:rFonts w:eastAsia="Calibri"/>
                <w:bCs/>
                <w:szCs w:val="22"/>
              </w:rPr>
              <w:t xml:space="preserve"> </w:t>
            </w:r>
            <w:r w:rsidRPr="00095C1D">
              <w:rPr>
                <w:rFonts w:eastAsia="Calibri"/>
                <w:bCs/>
                <w:szCs w:val="22"/>
              </w:rPr>
              <w:t xml:space="preserve">GOOSE_OR_SV   shall  be   present   for   Payload   Identifiers  (see </w:t>
            </w:r>
            <w:hyperlink w:anchor="_bookmark56" w:history="1">
              <w:r w:rsidRPr="00095C1D">
                <w:rPr>
                  <w:rFonts w:eastAsia="Calibri"/>
                  <w:bCs/>
                  <w:szCs w:val="22"/>
                </w:rPr>
                <w:t>Table 12</w:t>
              </w:r>
            </w:hyperlink>
            <w:r w:rsidRPr="00095C1D">
              <w:rPr>
                <w:rFonts w:eastAsia="Calibri"/>
                <w:bCs/>
                <w:szCs w:val="22"/>
              </w:rPr>
              <w:t>) values 195 or 196.</w:t>
            </w:r>
          </w:p>
          <w:p w:rsidR="00095C1D" w:rsidRPr="00095C1D" w:rsidRDefault="00095C1D" w:rsidP="00095C1D">
            <w:pPr>
              <w:tabs>
                <w:tab w:val="left" w:pos="0"/>
              </w:tabs>
              <w:ind w:left="0" w:firstLine="0"/>
              <w:rPr>
                <w:rFonts w:eastAsia="Calibri"/>
                <w:bCs/>
                <w:szCs w:val="22"/>
              </w:rPr>
            </w:pPr>
            <w:r w:rsidRPr="00095C1D">
              <w:rPr>
                <w:rFonts w:eastAsia="Calibri"/>
                <w:bCs/>
                <w:szCs w:val="22"/>
              </w:rPr>
              <w:lastRenderedPageBreak/>
              <w:t xml:space="preserve">The Key Payload shall be as specified in </w:t>
            </w:r>
          </w:p>
          <w:p w:rsidR="00095C1D" w:rsidRPr="00095C1D" w:rsidRDefault="00095C1D" w:rsidP="00472036">
            <w:pPr>
              <w:pStyle w:val="Heading5"/>
              <w:keepNext w:val="0"/>
              <w:keepLines w:val="0"/>
              <w:widowControl w:val="0"/>
              <w:numPr>
                <w:ilvl w:val="4"/>
                <w:numId w:val="32"/>
              </w:numPr>
              <w:tabs>
                <w:tab w:val="left" w:pos="0"/>
                <w:tab w:val="left" w:pos="1861"/>
                <w:tab w:val="left" w:pos="1862"/>
              </w:tabs>
              <w:autoSpaceDE w:val="0"/>
              <w:autoSpaceDN w:val="0"/>
              <w:spacing w:before="0" w:line="276" w:lineRule="auto"/>
              <w:outlineLvl w:val="4"/>
              <w:rPr>
                <w:rFonts w:ascii="Arial" w:eastAsia="Calibri" w:hAnsi="Arial" w:cs="Arial"/>
                <w:b/>
                <w:color w:val="auto"/>
                <w:szCs w:val="22"/>
                <w:lang w:val="mn-MN"/>
              </w:rPr>
            </w:pPr>
            <w:r w:rsidRPr="00095C1D">
              <w:rPr>
                <w:rFonts w:ascii="Arial" w:eastAsia="Calibri" w:hAnsi="Arial" w:cs="Arial"/>
                <w:b/>
                <w:color w:val="auto"/>
                <w:szCs w:val="22"/>
                <w:lang w:val="mn-MN"/>
              </w:rPr>
              <w:t xml:space="preserve"> 61850_90_5_SESSION key download type</w:t>
            </w:r>
          </w:p>
          <w:p w:rsidR="00095C1D" w:rsidRPr="00095C1D" w:rsidRDefault="00095C1D" w:rsidP="00095C1D">
            <w:pPr>
              <w:tabs>
                <w:tab w:val="left" w:pos="0"/>
              </w:tabs>
              <w:ind w:left="0" w:firstLine="0"/>
              <w:rPr>
                <w:rFonts w:eastAsia="Calibri"/>
                <w:bCs/>
                <w:szCs w:val="22"/>
              </w:rPr>
            </w:pPr>
            <w:r w:rsidRPr="00095C1D">
              <w:rPr>
                <w:rFonts w:eastAsia="Calibri"/>
                <w:bCs/>
                <w:szCs w:val="22"/>
              </w:rPr>
              <w:t>The 62351_ETHERNET_GOOSE_OR_SV shall be present for  Payload   Identifiers   (see</w:t>
            </w:r>
            <w:hyperlink w:anchor="_bookmark56" w:history="1">
              <w:r w:rsidRPr="00095C1D">
                <w:rPr>
                  <w:rFonts w:eastAsia="Calibri"/>
                  <w:bCs/>
                  <w:szCs w:val="22"/>
                </w:rPr>
                <w:t xml:space="preserve"> Table 12</w:t>
              </w:r>
            </w:hyperlink>
            <w:r w:rsidRPr="00095C1D">
              <w:rPr>
                <w:rFonts w:eastAsia="Calibri"/>
                <w:bCs/>
                <w:szCs w:val="22"/>
              </w:rPr>
              <w:t>) values 192, 193, or 194.</w:t>
            </w:r>
          </w:p>
          <w:p w:rsidR="00095C1D" w:rsidRPr="00095C1D" w:rsidRDefault="00095C1D" w:rsidP="00095C1D">
            <w:pPr>
              <w:pStyle w:val="BodyText"/>
              <w:tabs>
                <w:tab w:val="left" w:pos="0"/>
              </w:tabs>
              <w:spacing w:line="276" w:lineRule="auto"/>
              <w:rPr>
                <w:rFonts w:eastAsia="Calibri"/>
                <w:sz w:val="24"/>
                <w:szCs w:val="22"/>
                <w:lang w:val="mn-MN"/>
              </w:rPr>
            </w:pPr>
          </w:p>
          <w:p w:rsidR="00095C1D" w:rsidRPr="00095C1D" w:rsidRDefault="00095C1D" w:rsidP="00095C1D">
            <w:pPr>
              <w:tabs>
                <w:tab w:val="left" w:pos="0"/>
              </w:tabs>
              <w:ind w:left="0" w:firstLine="0"/>
              <w:rPr>
                <w:rFonts w:eastAsia="Calibri"/>
                <w:bCs/>
                <w:szCs w:val="22"/>
              </w:rPr>
            </w:pPr>
            <w:r w:rsidRPr="00095C1D">
              <w:rPr>
                <w:rFonts w:eastAsia="Calibri"/>
                <w:bCs/>
                <w:szCs w:val="22"/>
              </w:rPr>
              <w:t xml:space="preserve">The Key Payload shall be as specified in </w:t>
            </w:r>
            <w:hyperlink w:anchor="_bookmark61" w:history="1">
              <w:r w:rsidRPr="00095C1D">
                <w:rPr>
                  <w:rFonts w:eastAsia="Calibri"/>
                  <w:bCs/>
                  <w:szCs w:val="22"/>
                </w:rPr>
                <w:t>11.4.5.1.</w:t>
              </w:r>
            </w:hyperlink>
          </w:p>
          <w:p w:rsidR="00095C1D" w:rsidRPr="00095C1D" w:rsidRDefault="00095C1D" w:rsidP="00472036">
            <w:pPr>
              <w:pStyle w:val="Heading5"/>
              <w:keepNext w:val="0"/>
              <w:keepLines w:val="0"/>
              <w:widowControl w:val="0"/>
              <w:numPr>
                <w:ilvl w:val="3"/>
                <w:numId w:val="30"/>
              </w:numPr>
              <w:tabs>
                <w:tab w:val="left" w:pos="0"/>
                <w:tab w:val="left" w:pos="1636"/>
                <w:tab w:val="left" w:pos="1637"/>
              </w:tabs>
              <w:autoSpaceDE w:val="0"/>
              <w:autoSpaceDN w:val="0"/>
              <w:spacing w:before="0" w:line="276" w:lineRule="auto"/>
              <w:ind w:left="0" w:firstLine="0"/>
              <w:outlineLvl w:val="4"/>
              <w:rPr>
                <w:rFonts w:ascii="Arial" w:eastAsia="Calibri" w:hAnsi="Arial" w:cs="Arial"/>
                <w:color w:val="auto"/>
                <w:szCs w:val="22"/>
                <w:lang w:val="mn-MN"/>
              </w:rPr>
            </w:pPr>
            <w:r w:rsidRPr="00095C1D">
              <w:rPr>
                <w:rFonts w:ascii="Arial" w:eastAsia="Calibri" w:hAnsi="Arial" w:cs="Arial"/>
                <w:color w:val="auto"/>
                <w:szCs w:val="22"/>
                <w:lang w:val="mn-MN"/>
              </w:rPr>
              <w:t>.3 1850_8_1_ISO9506 key download type</w:t>
            </w:r>
          </w:p>
          <w:p w:rsidR="00095C1D" w:rsidRPr="00095C1D" w:rsidRDefault="00095C1D" w:rsidP="00095C1D">
            <w:pPr>
              <w:tabs>
                <w:tab w:val="left" w:pos="0"/>
              </w:tabs>
              <w:ind w:left="0" w:firstLine="0"/>
              <w:rPr>
                <w:rFonts w:eastAsia="Calibri"/>
                <w:bCs/>
                <w:szCs w:val="22"/>
              </w:rPr>
            </w:pPr>
            <w:r w:rsidRPr="00095C1D">
              <w:rPr>
                <w:rFonts w:eastAsia="Calibri"/>
                <w:bCs/>
                <w:szCs w:val="22"/>
              </w:rPr>
              <w:t xml:space="preserve">The 62351_ETHERNET_GOOSE_OR_SV shall be present for the Payload Identifiers (see </w:t>
            </w:r>
            <w:hyperlink w:anchor="_bookmark56" w:history="1">
              <w:r w:rsidRPr="00095C1D">
                <w:rPr>
                  <w:rFonts w:eastAsia="Calibri"/>
                  <w:bCs/>
                  <w:szCs w:val="22"/>
                </w:rPr>
                <w:t>Table 12</w:t>
              </w:r>
            </w:hyperlink>
            <w:r w:rsidRPr="00095C1D">
              <w:rPr>
                <w:rFonts w:eastAsia="Calibri"/>
                <w:bCs/>
                <w:szCs w:val="22"/>
              </w:rPr>
              <w:t>) value 197. The actual format of this payload is out of the scope of this Technical Report.</w:t>
            </w:r>
          </w:p>
          <w:p w:rsidR="00095C1D" w:rsidRPr="00095C1D" w:rsidRDefault="00095C1D" w:rsidP="00095C1D">
            <w:pPr>
              <w:pStyle w:val="Heading5"/>
              <w:tabs>
                <w:tab w:val="left" w:pos="0"/>
                <w:tab w:val="left" w:pos="1182"/>
                <w:tab w:val="left" w:pos="1183"/>
              </w:tabs>
              <w:spacing w:line="276" w:lineRule="auto"/>
              <w:outlineLvl w:val="4"/>
              <w:rPr>
                <w:rFonts w:ascii="Arial" w:eastAsia="Calibri" w:hAnsi="Arial" w:cs="Arial"/>
                <w:color w:val="auto"/>
                <w:szCs w:val="22"/>
                <w:lang w:val="mn-MN"/>
              </w:rPr>
            </w:pPr>
            <w:r w:rsidRPr="00095C1D">
              <w:rPr>
                <w:rFonts w:ascii="Arial" w:eastAsia="Calibri" w:hAnsi="Arial" w:cs="Arial"/>
                <w:b/>
                <w:color w:val="auto"/>
                <w:szCs w:val="22"/>
                <w:lang w:val="mn-MN"/>
              </w:rPr>
              <w:t>11.5 Internet group management</w:t>
            </w:r>
            <w:r w:rsidRPr="00095C1D">
              <w:rPr>
                <w:rFonts w:ascii="Arial" w:eastAsia="Calibri" w:hAnsi="Arial" w:cs="Arial"/>
                <w:color w:val="auto"/>
                <w:szCs w:val="22"/>
                <w:lang w:val="mn-MN"/>
              </w:rPr>
              <w:t xml:space="preserve"> </w:t>
            </w:r>
            <w:r w:rsidRPr="00095C1D">
              <w:rPr>
                <w:rFonts w:ascii="Arial" w:eastAsia="Calibri" w:hAnsi="Arial" w:cs="Arial"/>
                <w:b/>
                <w:color w:val="auto"/>
                <w:szCs w:val="22"/>
                <w:lang w:val="mn-MN"/>
              </w:rPr>
              <w:t>protocol version 3 A-Profile</w:t>
            </w:r>
          </w:p>
          <w:p w:rsidR="00095C1D" w:rsidRPr="00095C1D" w:rsidRDefault="00095C1D" w:rsidP="00095C1D">
            <w:pPr>
              <w:tabs>
                <w:tab w:val="left" w:pos="0"/>
              </w:tabs>
              <w:ind w:left="0" w:firstLine="0"/>
              <w:rPr>
                <w:rFonts w:eastAsia="Calibri"/>
                <w:bCs/>
                <w:szCs w:val="22"/>
              </w:rPr>
            </w:pPr>
            <w:r w:rsidRPr="00095C1D">
              <w:rPr>
                <w:rFonts w:eastAsia="Calibri"/>
                <w:bCs/>
                <w:szCs w:val="22"/>
              </w:rPr>
              <w:t xml:space="preserve">IGMP version 3 (RFC 3376 shall be supported by implementations that are subscribers for the routable GOOSE and SV as specified in </w:t>
            </w:r>
            <w:hyperlink w:anchor="_bookmark39" w:history="1">
              <w:r w:rsidRPr="00095C1D">
                <w:rPr>
                  <w:rFonts w:eastAsia="Calibri"/>
                  <w:bCs/>
                  <w:szCs w:val="22"/>
                </w:rPr>
                <w:t>11.3.</w:t>
              </w:r>
            </w:hyperlink>
          </w:p>
          <w:p w:rsidR="00095C1D" w:rsidRPr="00095C1D" w:rsidRDefault="00095C1D" w:rsidP="00095C1D">
            <w:pPr>
              <w:tabs>
                <w:tab w:val="left" w:pos="0"/>
              </w:tabs>
              <w:ind w:left="0" w:firstLine="0"/>
              <w:rPr>
                <w:rFonts w:eastAsia="Calibri"/>
                <w:b/>
                <w:bCs/>
                <w:szCs w:val="22"/>
              </w:rPr>
            </w:pPr>
            <w:r w:rsidRPr="00095C1D">
              <w:rPr>
                <w:rFonts w:eastAsia="Calibri"/>
                <w:b/>
                <w:bCs/>
                <w:szCs w:val="22"/>
              </w:rPr>
              <w:t>11.6 T-Profiles</w:t>
            </w:r>
          </w:p>
          <w:p w:rsidR="00095C1D" w:rsidRPr="00095C1D" w:rsidRDefault="00095C1D" w:rsidP="00095C1D">
            <w:pPr>
              <w:tabs>
                <w:tab w:val="left" w:pos="0"/>
              </w:tabs>
              <w:ind w:left="0" w:firstLine="0"/>
              <w:rPr>
                <w:rFonts w:eastAsia="Calibri"/>
                <w:b/>
                <w:bCs/>
                <w:szCs w:val="22"/>
              </w:rPr>
            </w:pPr>
            <w:bookmarkStart w:id="58" w:name="_TOC_250011"/>
            <w:r w:rsidRPr="00095C1D">
              <w:rPr>
                <w:rFonts w:eastAsia="Calibri"/>
                <w:b/>
                <w:bCs/>
                <w:szCs w:val="22"/>
              </w:rPr>
              <w:t>11.6.1 G</w:t>
            </w:r>
            <w:bookmarkEnd w:id="58"/>
            <w:r w:rsidRPr="00095C1D">
              <w:rPr>
                <w:rFonts w:eastAsia="Calibri"/>
                <w:b/>
                <w:bCs/>
                <w:szCs w:val="22"/>
              </w:rPr>
              <w:t>eneral</w:t>
            </w:r>
          </w:p>
          <w:p w:rsidR="00095C1D" w:rsidRPr="00095C1D" w:rsidRDefault="00095C1D" w:rsidP="00095C1D">
            <w:pPr>
              <w:tabs>
                <w:tab w:val="left" w:pos="0"/>
              </w:tabs>
              <w:ind w:left="0" w:firstLine="0"/>
              <w:rPr>
                <w:rFonts w:eastAsia="Calibri"/>
                <w:bCs/>
                <w:szCs w:val="22"/>
              </w:rPr>
            </w:pPr>
            <w:r w:rsidRPr="00095C1D">
              <w:rPr>
                <w:rFonts w:eastAsia="Calibri"/>
                <w:bCs/>
                <w:szCs w:val="22"/>
              </w:rPr>
              <w:t xml:space="preserve">There are three (3) different A-Profiles, as specified in IEC/TR 61850-90-5. Each of these A- Profiles makes use of three (3) independent Transport Profiles (T-Profiles). The correlation between the A-Profiles and T-Profiles is shown in </w:t>
            </w:r>
            <w:hyperlink w:anchor="_bookmark63" w:history="1">
              <w:r w:rsidRPr="00095C1D">
                <w:rPr>
                  <w:rFonts w:eastAsia="Calibri"/>
                  <w:bCs/>
                  <w:szCs w:val="22"/>
                </w:rPr>
                <w:t>Figure 32.</w:t>
              </w:r>
            </w:hyperlink>
          </w:p>
          <w:p w:rsidR="00095C1D" w:rsidRPr="00095C1D" w:rsidRDefault="00095C1D" w:rsidP="00095C1D">
            <w:pPr>
              <w:tabs>
                <w:tab w:val="left" w:pos="0"/>
              </w:tabs>
              <w:ind w:left="0" w:firstLine="0"/>
              <w:rPr>
                <w:rFonts w:eastAsia="Calibri"/>
                <w:bCs/>
                <w:szCs w:val="22"/>
              </w:rPr>
            </w:pPr>
          </w:p>
        </w:tc>
      </w:tr>
    </w:tbl>
    <w:p w:rsidR="00095C1D" w:rsidRDefault="00095C1D" w:rsidP="00095C1D">
      <w:pPr>
        <w:tabs>
          <w:tab w:val="left" w:pos="142"/>
        </w:tabs>
        <w:ind w:left="142"/>
        <w:jc w:val="center"/>
        <w:rPr>
          <w:b/>
        </w:rPr>
      </w:pPr>
    </w:p>
    <w:p w:rsidR="004E6429" w:rsidRDefault="004E6429" w:rsidP="004E6429">
      <w:pPr>
        <w:ind w:left="0" w:firstLine="0"/>
        <w:jc w:val="center"/>
        <w:rPr>
          <w:b/>
        </w:rPr>
      </w:pPr>
      <w:r w:rsidRPr="00EF2D2B">
        <w:rPr>
          <w:noProof/>
          <w:lang w:val="en-US"/>
        </w:rPr>
        <w:lastRenderedPageBreak/>
        <w:drawing>
          <wp:inline distT="0" distB="0" distL="0" distR="0" wp14:anchorId="23808DFA" wp14:editId="15D3852B">
            <wp:extent cx="5939790" cy="4289952"/>
            <wp:effectExtent l="0" t="0" r="381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4289952"/>
                    </a:xfrm>
                    <a:prstGeom prst="rect">
                      <a:avLst/>
                    </a:prstGeom>
                  </pic:spPr>
                </pic:pic>
              </a:graphicData>
            </a:graphic>
          </wp:inline>
        </w:drawing>
      </w:r>
    </w:p>
    <w:p w:rsidR="004E6429" w:rsidRDefault="004E6429" w:rsidP="004E6429">
      <w:pPr>
        <w:jc w:val="center"/>
        <w:rPr>
          <w:b/>
        </w:rPr>
      </w:pPr>
      <w:r w:rsidRPr="00731F96">
        <w:rPr>
          <w:b/>
        </w:rPr>
        <w:t>32</w:t>
      </w:r>
      <w:r>
        <w:rPr>
          <w:b/>
          <w:lang w:val="en-US"/>
        </w:rPr>
        <w:t>-</w:t>
      </w:r>
      <w:r>
        <w:rPr>
          <w:b/>
        </w:rPr>
        <w:t>р зураг</w:t>
      </w:r>
      <w:r w:rsidRPr="00731F96">
        <w:rPr>
          <w:b/>
        </w:rPr>
        <w:t xml:space="preserve"> – Төрөл бүрийн T-</w:t>
      </w:r>
      <w:r w:rsidRPr="00D33687">
        <w:t xml:space="preserve"> </w:t>
      </w:r>
      <w:r w:rsidRPr="00EF2D2B">
        <w:rPr>
          <w:b/>
        </w:rPr>
        <w:t>Профайл</w:t>
      </w:r>
      <w:r w:rsidRPr="00731F96" w:rsidDel="004B6946">
        <w:rPr>
          <w:b/>
        </w:rPr>
        <w:t xml:space="preserve"> </w:t>
      </w:r>
      <w:r w:rsidRPr="00EF2D2B">
        <w:rPr>
          <w:b/>
        </w:rPr>
        <w:t>уудад зориулсан A-</w:t>
      </w:r>
      <w:r w:rsidRPr="00D33687">
        <w:t xml:space="preserve"> </w:t>
      </w:r>
      <w:r w:rsidRPr="00EF2D2B">
        <w:rPr>
          <w:b/>
        </w:rPr>
        <w:t>Профайл холбоо</w:t>
      </w:r>
    </w:p>
    <w:p w:rsidR="004E6429" w:rsidRPr="00A660DC" w:rsidRDefault="004E6429" w:rsidP="004E6429">
      <w:pPr>
        <w:jc w:val="center"/>
        <w:rPr>
          <w:b/>
        </w:rPr>
      </w:pPr>
      <w:r w:rsidRPr="00731F96">
        <w:rPr>
          <w:b/>
        </w:rPr>
        <w:t>Figure 32 – A-Profile as</w:t>
      </w:r>
      <w:r>
        <w:rPr>
          <w:b/>
        </w:rPr>
        <w:t>sociation to various T-Profiles</w:t>
      </w:r>
    </w:p>
    <w:p w:rsidR="004E6429" w:rsidRDefault="004E6429"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4E6429" w:rsidTr="004E6429">
        <w:tc>
          <w:tcPr>
            <w:tcW w:w="4601" w:type="dxa"/>
          </w:tcPr>
          <w:p w:rsidR="004E6429" w:rsidRPr="004E6429" w:rsidRDefault="004E6429" w:rsidP="004E6429">
            <w:pPr>
              <w:tabs>
                <w:tab w:val="left" w:pos="0"/>
              </w:tabs>
              <w:ind w:left="0" w:firstLine="0"/>
              <w:rPr>
                <w:rFonts w:eastAsia="Calibri"/>
                <w:bCs/>
                <w:szCs w:val="22"/>
              </w:rPr>
            </w:pPr>
            <w:r w:rsidRPr="004E6429">
              <w:rPr>
                <w:rFonts w:eastAsia="Calibri"/>
                <w:bCs/>
                <w:szCs w:val="22"/>
              </w:rPr>
              <w:t>Зураг 32-оос харахад төрөл бүрийн T-Profile-ууд нь Network ба Layer 2 давхаргуудад нийтлэг элементүүдтэй болохыг харуулж байна. Гэхдээ Transport давхаргад ялгаанууд байдаг.</w:t>
            </w:r>
          </w:p>
          <w:p w:rsidR="004E6429" w:rsidRPr="004E6429" w:rsidRDefault="004E6429" w:rsidP="004E6429">
            <w:pPr>
              <w:tabs>
                <w:tab w:val="left" w:pos="0"/>
              </w:tabs>
              <w:ind w:left="0" w:firstLine="0"/>
              <w:rPr>
                <w:rFonts w:eastAsia="Calibri"/>
                <w:bCs/>
                <w:szCs w:val="22"/>
              </w:rPr>
            </w:pPr>
            <w:r w:rsidRPr="004E6429">
              <w:rPr>
                <w:rFonts w:eastAsia="Calibri"/>
                <w:bCs/>
                <w:szCs w:val="22"/>
              </w:rPr>
              <w:t>Дараах дэд бүлгүүдэдтөрөл бүрийн A-Profile-уудыг дэмжихэд шаардагдах T-Profile-уудын ялгааг нарийвчлан харуулав.</w:t>
            </w:r>
          </w:p>
          <w:p w:rsidR="004E6429" w:rsidRPr="004E6429" w:rsidRDefault="004E6429" w:rsidP="004E6429">
            <w:pPr>
              <w:tabs>
                <w:tab w:val="left" w:pos="0"/>
              </w:tabs>
              <w:ind w:left="0" w:firstLine="0"/>
              <w:rPr>
                <w:rFonts w:eastAsia="Calibri"/>
                <w:b/>
                <w:bCs/>
                <w:szCs w:val="22"/>
              </w:rPr>
            </w:pPr>
            <w:r w:rsidRPr="004E6429">
              <w:rPr>
                <w:rFonts w:eastAsia="Calibri"/>
                <w:b/>
                <w:bCs/>
                <w:szCs w:val="22"/>
              </w:rPr>
              <w:t>11.6.2 Этернэт дээр GOOSE ба SV A- Профайл</w:t>
            </w:r>
            <w:r w:rsidRPr="004E6429" w:rsidDel="004B6946">
              <w:rPr>
                <w:rFonts w:eastAsia="Calibri"/>
                <w:b/>
                <w:bCs/>
                <w:szCs w:val="22"/>
              </w:rPr>
              <w:t xml:space="preserve"> </w:t>
            </w:r>
            <w:r w:rsidRPr="004E6429">
              <w:rPr>
                <w:rFonts w:eastAsia="Calibri"/>
                <w:b/>
                <w:bCs/>
                <w:szCs w:val="22"/>
              </w:rPr>
              <w:t>-ийг дэмжих T- Профайл</w:t>
            </w:r>
          </w:p>
          <w:p w:rsidR="004E6429" w:rsidRPr="004E6429" w:rsidRDefault="004E6429" w:rsidP="004E6429">
            <w:pPr>
              <w:tabs>
                <w:tab w:val="left" w:pos="0"/>
              </w:tabs>
              <w:ind w:left="0" w:firstLine="0"/>
              <w:rPr>
                <w:rFonts w:eastAsia="Calibri"/>
                <w:bCs/>
                <w:szCs w:val="22"/>
              </w:rPr>
            </w:pPr>
            <w:r w:rsidRPr="004E6429">
              <w:rPr>
                <w:rFonts w:eastAsia="Calibri"/>
                <w:bCs/>
                <w:szCs w:val="22"/>
              </w:rPr>
              <w:t>Энэхүү T-Профайл-ыг IEC 61850-8-1 ба IEC 61850-9-2-т тодорхойлсноор ашиглана. Энэхүү T-Профайл нь энэхүү баримт бичигт Session давхаргын дагуу тодорхойлсоноор IEC/TR 61850-90-5 Тунел үүсгэхэд ашиглагддаг.</w:t>
            </w:r>
          </w:p>
          <w:p w:rsidR="004E6429" w:rsidRPr="004E6429" w:rsidRDefault="004E6429" w:rsidP="004E6429">
            <w:pPr>
              <w:tabs>
                <w:tab w:val="left" w:pos="0"/>
              </w:tabs>
              <w:ind w:left="0" w:firstLine="0"/>
              <w:rPr>
                <w:rFonts w:eastAsia="Calibri"/>
                <w:b/>
                <w:bCs/>
                <w:szCs w:val="22"/>
              </w:rPr>
            </w:pPr>
            <w:r w:rsidRPr="004E6429">
              <w:rPr>
                <w:rFonts w:eastAsia="Calibri"/>
                <w:b/>
                <w:bCs/>
                <w:szCs w:val="22"/>
                <w:lang w:val="en-US"/>
              </w:rPr>
              <w:lastRenderedPageBreak/>
              <w:t xml:space="preserve">11.6.2.1 </w:t>
            </w:r>
            <w:r w:rsidRPr="004E6429">
              <w:rPr>
                <w:rFonts w:eastAsia="Calibri"/>
                <w:b/>
                <w:bCs/>
                <w:szCs w:val="22"/>
              </w:rPr>
              <w:t>GOOSE ба SV A-Профайл (UDP) -г дэмжих T-Профайл</w:t>
            </w:r>
          </w:p>
          <w:p w:rsidR="004E6429" w:rsidRPr="004E6429" w:rsidRDefault="004E6429" w:rsidP="004E6429">
            <w:pPr>
              <w:tabs>
                <w:tab w:val="left" w:pos="0"/>
              </w:tabs>
              <w:ind w:left="0" w:firstLine="0"/>
              <w:rPr>
                <w:rFonts w:eastAsia="Calibri"/>
                <w:bCs/>
                <w:szCs w:val="22"/>
              </w:rPr>
            </w:pPr>
            <w:r w:rsidRPr="004E6429">
              <w:rPr>
                <w:rFonts w:eastAsia="Calibri"/>
                <w:bCs/>
                <w:szCs w:val="22"/>
              </w:rPr>
              <w:t xml:space="preserve">GOOSE ба SV A-Профайлийг дэмждэг T-Профайл нь дараахь зүйлийг агуулна </w:t>
            </w:r>
          </w:p>
        </w:tc>
        <w:tc>
          <w:tcPr>
            <w:tcW w:w="4601" w:type="dxa"/>
          </w:tcPr>
          <w:p w:rsidR="004E6429" w:rsidRPr="004E6429" w:rsidRDefault="00D80958" w:rsidP="004E6429">
            <w:pPr>
              <w:tabs>
                <w:tab w:val="left" w:pos="0"/>
              </w:tabs>
              <w:ind w:left="0" w:firstLine="0"/>
              <w:rPr>
                <w:rFonts w:eastAsia="Calibri"/>
                <w:bCs/>
                <w:szCs w:val="22"/>
              </w:rPr>
            </w:pPr>
            <w:hyperlink w:anchor="_bookmark63" w:history="1">
              <w:r w:rsidR="004E6429" w:rsidRPr="004E6429">
                <w:rPr>
                  <w:rFonts w:eastAsia="Calibri"/>
                  <w:bCs/>
                  <w:szCs w:val="22"/>
                </w:rPr>
                <w:t>Figure 32</w:t>
              </w:r>
            </w:hyperlink>
            <w:r w:rsidR="004E6429" w:rsidRPr="004E6429">
              <w:rPr>
                <w:rFonts w:eastAsia="Calibri"/>
                <w:bCs/>
                <w:szCs w:val="22"/>
              </w:rPr>
              <w:t xml:space="preserve"> shows that the various T-Profiles have common elements for the  Network  and Layer 2 layers. However, there are some differences within the Transport layer.</w:t>
            </w:r>
          </w:p>
          <w:p w:rsidR="004E6429" w:rsidRPr="004E6429" w:rsidRDefault="004E6429" w:rsidP="004E6429">
            <w:pPr>
              <w:tabs>
                <w:tab w:val="left" w:pos="0"/>
              </w:tabs>
              <w:ind w:left="0" w:firstLine="0"/>
              <w:rPr>
                <w:rFonts w:eastAsia="Calibri"/>
                <w:bCs/>
                <w:szCs w:val="22"/>
              </w:rPr>
            </w:pPr>
            <w:r w:rsidRPr="004E6429">
              <w:rPr>
                <w:rFonts w:eastAsia="Calibri"/>
                <w:bCs/>
                <w:szCs w:val="22"/>
              </w:rPr>
              <w:t>The following subclauses detail the differences between the T-Profiles required to support the various A-Profiles.</w:t>
            </w:r>
          </w:p>
          <w:p w:rsidR="004E6429" w:rsidRPr="004E6429" w:rsidRDefault="004E6429" w:rsidP="004E6429">
            <w:pPr>
              <w:tabs>
                <w:tab w:val="left" w:pos="0"/>
              </w:tabs>
              <w:ind w:left="0" w:firstLine="0"/>
              <w:rPr>
                <w:rFonts w:eastAsia="Calibri"/>
                <w:b/>
                <w:bCs/>
                <w:szCs w:val="22"/>
              </w:rPr>
            </w:pPr>
            <w:bookmarkStart w:id="59" w:name="_TOC_250010"/>
            <w:r w:rsidRPr="004E6429">
              <w:rPr>
                <w:rFonts w:eastAsia="Calibri"/>
                <w:b/>
                <w:bCs/>
                <w:szCs w:val="22"/>
              </w:rPr>
              <w:t xml:space="preserve">11.6.2 T-Profile to support GOOSE and SV A-Profile over </w:t>
            </w:r>
            <w:bookmarkEnd w:id="59"/>
            <w:r w:rsidRPr="004E6429">
              <w:rPr>
                <w:rFonts w:eastAsia="Calibri"/>
                <w:b/>
                <w:bCs/>
                <w:szCs w:val="22"/>
              </w:rPr>
              <w:t>Ethernet</w:t>
            </w:r>
          </w:p>
          <w:p w:rsidR="004E6429" w:rsidRPr="004E6429" w:rsidRDefault="004E6429" w:rsidP="004E6429">
            <w:pPr>
              <w:tabs>
                <w:tab w:val="left" w:pos="0"/>
              </w:tabs>
              <w:ind w:left="0" w:firstLine="0"/>
              <w:rPr>
                <w:rFonts w:eastAsia="Calibri"/>
                <w:bCs/>
                <w:szCs w:val="22"/>
              </w:rPr>
            </w:pPr>
            <w:r w:rsidRPr="004E6429">
              <w:rPr>
                <w:rFonts w:eastAsia="Calibri"/>
                <w:bCs/>
                <w:szCs w:val="22"/>
              </w:rPr>
              <w:t>This T-Profile shall be as specified in IEC 61850-8-1 and IEC 61850-9-2, respectively. This T- Profile is utilized to create an IEC/TR 61850-90-5 Tunnel as specified by the Session layer within this document.</w:t>
            </w:r>
          </w:p>
          <w:p w:rsidR="004E6429" w:rsidRPr="004E6429" w:rsidRDefault="004E6429" w:rsidP="004E6429">
            <w:pPr>
              <w:tabs>
                <w:tab w:val="left" w:pos="0"/>
              </w:tabs>
              <w:ind w:left="0" w:firstLine="0"/>
              <w:rPr>
                <w:rFonts w:eastAsia="Calibri"/>
                <w:b/>
                <w:bCs/>
                <w:szCs w:val="22"/>
              </w:rPr>
            </w:pPr>
            <w:r w:rsidRPr="004E6429">
              <w:rPr>
                <w:rFonts w:eastAsia="Calibri"/>
                <w:b/>
                <w:bCs/>
                <w:szCs w:val="22"/>
              </w:rPr>
              <w:t>11</w:t>
            </w:r>
            <w:r w:rsidRPr="004E6429">
              <w:rPr>
                <w:rFonts w:eastAsia="Calibri"/>
                <w:b/>
                <w:bCs/>
                <w:szCs w:val="22"/>
                <w:lang w:val="en-US"/>
              </w:rPr>
              <w:t xml:space="preserve">.6.2.1 </w:t>
            </w:r>
            <w:r w:rsidRPr="004E6429">
              <w:rPr>
                <w:rFonts w:eastAsia="Calibri"/>
                <w:b/>
                <w:bCs/>
                <w:szCs w:val="22"/>
              </w:rPr>
              <w:t>T-Profile to support GOOSE and SV A-Profile (UDP)</w:t>
            </w:r>
          </w:p>
          <w:p w:rsidR="004E6429" w:rsidRPr="004E6429" w:rsidRDefault="004E6429" w:rsidP="004E6429">
            <w:pPr>
              <w:tabs>
                <w:tab w:val="left" w:pos="0"/>
              </w:tabs>
              <w:ind w:left="0" w:firstLine="0"/>
              <w:rPr>
                <w:rFonts w:eastAsia="Calibri"/>
                <w:bCs/>
                <w:szCs w:val="22"/>
              </w:rPr>
            </w:pPr>
            <w:r w:rsidRPr="004E6429">
              <w:rPr>
                <w:rFonts w:eastAsia="Calibri"/>
                <w:bCs/>
                <w:szCs w:val="22"/>
              </w:rPr>
              <w:lastRenderedPageBreak/>
              <w:t>The T-Profile, supporting the GOOSE and SV A-Profile, includes:</w:t>
            </w:r>
          </w:p>
        </w:tc>
      </w:tr>
    </w:tbl>
    <w:p w:rsidR="004E6429" w:rsidRDefault="004E6429"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3066"/>
        <w:gridCol w:w="3068"/>
        <w:gridCol w:w="3068"/>
      </w:tblGrid>
      <w:tr w:rsidR="004E6429" w:rsidTr="004E6429">
        <w:tc>
          <w:tcPr>
            <w:tcW w:w="3066" w:type="dxa"/>
          </w:tcPr>
          <w:p w:rsidR="004E6429" w:rsidRPr="00EF2D2B" w:rsidRDefault="004E6429" w:rsidP="004E6429">
            <w:pPr>
              <w:pStyle w:val="TableParagraph"/>
              <w:tabs>
                <w:tab w:val="left" w:pos="0"/>
              </w:tabs>
              <w:spacing w:before="53" w:line="276" w:lineRule="auto"/>
              <w:ind w:left="561"/>
              <w:rPr>
                <w:b/>
                <w:sz w:val="20"/>
                <w:szCs w:val="20"/>
                <w:lang w:val="mn-MN"/>
              </w:rPr>
            </w:pPr>
            <w:r w:rsidRPr="00EF2D2B">
              <w:rPr>
                <w:b/>
                <w:sz w:val="20"/>
                <w:szCs w:val="20"/>
                <w:lang w:val="mn-MN"/>
              </w:rPr>
              <w:t>Протокол</w:t>
            </w:r>
          </w:p>
        </w:tc>
        <w:tc>
          <w:tcPr>
            <w:tcW w:w="3068" w:type="dxa"/>
          </w:tcPr>
          <w:p w:rsidR="004E6429" w:rsidRPr="00EF2D2B" w:rsidRDefault="004E6429" w:rsidP="004E6429">
            <w:pPr>
              <w:pStyle w:val="TableParagraph"/>
              <w:tabs>
                <w:tab w:val="left" w:pos="0"/>
              </w:tabs>
              <w:spacing w:before="53" w:line="276" w:lineRule="auto"/>
              <w:ind w:left="434"/>
              <w:rPr>
                <w:b/>
                <w:sz w:val="20"/>
                <w:szCs w:val="20"/>
                <w:lang w:val="mn-MN"/>
              </w:rPr>
            </w:pPr>
            <w:r w:rsidRPr="00EF2D2B">
              <w:rPr>
                <w:b/>
                <w:sz w:val="20"/>
                <w:szCs w:val="20"/>
                <w:lang w:val="mn-MN"/>
              </w:rPr>
              <w:t>Тайлбар</w:t>
            </w:r>
          </w:p>
        </w:tc>
        <w:tc>
          <w:tcPr>
            <w:tcW w:w="3068" w:type="dxa"/>
          </w:tcPr>
          <w:p w:rsidR="004E6429" w:rsidRPr="00EF2D2B" w:rsidRDefault="004E6429" w:rsidP="004E6429">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4E6429" w:rsidTr="004E6429">
        <w:tc>
          <w:tcPr>
            <w:tcW w:w="3066" w:type="dxa"/>
          </w:tcPr>
          <w:p w:rsidR="004E6429" w:rsidRPr="00731F96" w:rsidRDefault="004E6429" w:rsidP="004E6429">
            <w:pPr>
              <w:pStyle w:val="TableParagraph"/>
              <w:tabs>
                <w:tab w:val="left" w:pos="0"/>
              </w:tabs>
              <w:spacing w:line="276" w:lineRule="auto"/>
              <w:ind w:left="105"/>
              <w:rPr>
                <w:sz w:val="20"/>
                <w:szCs w:val="20"/>
                <w:lang w:val="mn-MN"/>
              </w:rPr>
            </w:pPr>
            <w:r w:rsidRPr="00EF2D2B">
              <w:rPr>
                <w:sz w:val="20"/>
                <w:szCs w:val="20"/>
                <w:lang w:val="mn-MN"/>
              </w:rPr>
              <w:t>UDP – RFC 768</w:t>
            </w:r>
          </w:p>
        </w:tc>
        <w:tc>
          <w:tcPr>
            <w:tcW w:w="3068" w:type="dxa"/>
          </w:tcPr>
          <w:p w:rsidR="004E6429" w:rsidRPr="00EF2D2B" w:rsidRDefault="004E6429" w:rsidP="004E6429">
            <w:pPr>
              <w:pStyle w:val="TableParagraph"/>
              <w:tabs>
                <w:tab w:val="left" w:pos="0"/>
              </w:tabs>
              <w:spacing w:line="276" w:lineRule="auto"/>
              <w:ind w:left="105"/>
              <w:rPr>
                <w:sz w:val="20"/>
                <w:szCs w:val="20"/>
                <w:lang w:val="mn-MN"/>
              </w:rPr>
            </w:pPr>
            <w:r w:rsidRPr="00EF2D2B">
              <w:rPr>
                <w:sz w:val="20"/>
                <w:szCs w:val="20"/>
                <w:lang w:val="mn-MN"/>
              </w:rPr>
              <w:t>Хэрэглэгчийн Датаграм Протокол</w:t>
            </w:r>
          </w:p>
        </w:tc>
        <w:tc>
          <w:tcPr>
            <w:tcW w:w="3068" w:type="dxa"/>
          </w:tcPr>
          <w:p w:rsidR="004E6429" w:rsidRPr="00EF2D2B" w:rsidRDefault="004E6429" w:rsidP="004E6429">
            <w:pPr>
              <w:pStyle w:val="TableParagraph"/>
              <w:tabs>
                <w:tab w:val="left" w:pos="0"/>
              </w:tabs>
              <w:spacing w:line="276" w:lineRule="auto"/>
              <w:ind w:left="108"/>
              <w:rPr>
                <w:sz w:val="20"/>
                <w:szCs w:val="20"/>
                <w:lang w:val="mn-MN"/>
              </w:rPr>
            </w:pPr>
            <w:r w:rsidRPr="00EF2D2B">
              <w:rPr>
                <w:sz w:val="20"/>
                <w:szCs w:val="20"/>
                <w:lang w:val="mn-MN"/>
              </w:rPr>
              <w:t>m</w:t>
            </w:r>
          </w:p>
        </w:tc>
      </w:tr>
    </w:tbl>
    <w:p w:rsidR="004E6429" w:rsidRDefault="004E6429"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3066"/>
        <w:gridCol w:w="3068"/>
        <w:gridCol w:w="3068"/>
      </w:tblGrid>
      <w:tr w:rsidR="004E6429" w:rsidRPr="00EF2D2B" w:rsidTr="00D533FF">
        <w:tc>
          <w:tcPr>
            <w:tcW w:w="3066" w:type="dxa"/>
          </w:tcPr>
          <w:p w:rsidR="004E6429" w:rsidRPr="004E6429" w:rsidRDefault="004E6429" w:rsidP="00D533FF">
            <w:pPr>
              <w:pStyle w:val="TableParagraph"/>
              <w:tabs>
                <w:tab w:val="left" w:pos="0"/>
              </w:tabs>
              <w:spacing w:before="53" w:line="276" w:lineRule="auto"/>
              <w:ind w:left="561"/>
              <w:rPr>
                <w:b/>
                <w:sz w:val="20"/>
                <w:szCs w:val="20"/>
              </w:rPr>
            </w:pPr>
            <w:r>
              <w:rPr>
                <w:b/>
                <w:sz w:val="20"/>
                <w:szCs w:val="20"/>
              </w:rPr>
              <w:t>Protocol</w:t>
            </w:r>
          </w:p>
        </w:tc>
        <w:tc>
          <w:tcPr>
            <w:tcW w:w="3068" w:type="dxa"/>
          </w:tcPr>
          <w:p w:rsidR="004E6429" w:rsidRPr="004E6429" w:rsidRDefault="004E6429" w:rsidP="00D533FF">
            <w:pPr>
              <w:pStyle w:val="TableParagraph"/>
              <w:tabs>
                <w:tab w:val="left" w:pos="0"/>
              </w:tabs>
              <w:spacing w:before="53" w:line="276" w:lineRule="auto"/>
              <w:ind w:left="434"/>
              <w:rPr>
                <w:b/>
                <w:sz w:val="20"/>
                <w:szCs w:val="20"/>
              </w:rPr>
            </w:pPr>
            <w:r>
              <w:rPr>
                <w:b/>
                <w:sz w:val="20"/>
                <w:szCs w:val="20"/>
              </w:rPr>
              <w:t>description</w:t>
            </w:r>
          </w:p>
        </w:tc>
        <w:tc>
          <w:tcPr>
            <w:tcW w:w="3068" w:type="dxa"/>
          </w:tcPr>
          <w:p w:rsidR="004E6429" w:rsidRPr="00EF2D2B" w:rsidRDefault="004E6429" w:rsidP="00D533FF">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4E6429" w:rsidRPr="00EF2D2B" w:rsidTr="00D533FF">
        <w:tc>
          <w:tcPr>
            <w:tcW w:w="3066" w:type="dxa"/>
          </w:tcPr>
          <w:p w:rsidR="004E6429" w:rsidRPr="00731F96" w:rsidRDefault="004E6429" w:rsidP="00D533FF">
            <w:pPr>
              <w:pStyle w:val="TableParagraph"/>
              <w:tabs>
                <w:tab w:val="left" w:pos="0"/>
              </w:tabs>
              <w:spacing w:line="276" w:lineRule="auto"/>
              <w:ind w:left="105"/>
              <w:rPr>
                <w:sz w:val="20"/>
                <w:szCs w:val="20"/>
                <w:lang w:val="mn-MN"/>
              </w:rPr>
            </w:pPr>
            <w:r w:rsidRPr="00EF2D2B">
              <w:rPr>
                <w:sz w:val="20"/>
                <w:szCs w:val="20"/>
                <w:lang w:val="mn-MN"/>
              </w:rPr>
              <w:t>UDP – RFC 768</w:t>
            </w:r>
          </w:p>
        </w:tc>
        <w:tc>
          <w:tcPr>
            <w:tcW w:w="3068" w:type="dxa"/>
          </w:tcPr>
          <w:p w:rsidR="004E6429" w:rsidRPr="004E6429" w:rsidRDefault="004E6429" w:rsidP="004E6429">
            <w:pPr>
              <w:pStyle w:val="TableParagraph"/>
              <w:tabs>
                <w:tab w:val="left" w:pos="0"/>
              </w:tabs>
              <w:spacing w:line="276" w:lineRule="auto"/>
              <w:rPr>
                <w:sz w:val="20"/>
                <w:szCs w:val="20"/>
              </w:rPr>
            </w:pPr>
            <w:r>
              <w:rPr>
                <w:sz w:val="20"/>
                <w:szCs w:val="20"/>
              </w:rPr>
              <w:t>User Datagram Protocol</w:t>
            </w:r>
          </w:p>
        </w:tc>
        <w:tc>
          <w:tcPr>
            <w:tcW w:w="3068" w:type="dxa"/>
          </w:tcPr>
          <w:p w:rsidR="004E6429" w:rsidRPr="00EF2D2B" w:rsidRDefault="004E6429" w:rsidP="00D533FF">
            <w:pPr>
              <w:pStyle w:val="TableParagraph"/>
              <w:tabs>
                <w:tab w:val="left" w:pos="0"/>
              </w:tabs>
              <w:spacing w:line="276" w:lineRule="auto"/>
              <w:ind w:left="108"/>
              <w:rPr>
                <w:sz w:val="20"/>
                <w:szCs w:val="20"/>
                <w:lang w:val="mn-MN"/>
              </w:rPr>
            </w:pPr>
            <w:r w:rsidRPr="00EF2D2B">
              <w:rPr>
                <w:sz w:val="20"/>
                <w:szCs w:val="20"/>
                <w:lang w:val="mn-MN"/>
              </w:rPr>
              <w:t>m</w:t>
            </w:r>
          </w:p>
        </w:tc>
      </w:tr>
    </w:tbl>
    <w:p w:rsidR="004E6429" w:rsidRDefault="004E6429" w:rsidP="00095C1D">
      <w:pPr>
        <w:tabs>
          <w:tab w:val="left" w:pos="142"/>
        </w:tabs>
        <w:ind w:left="142"/>
        <w:jc w:val="center"/>
        <w:rPr>
          <w:b/>
        </w:rPr>
      </w:pPr>
    </w:p>
    <w:p w:rsidR="004E6429" w:rsidRDefault="004E6429" w:rsidP="00095C1D">
      <w:pPr>
        <w:tabs>
          <w:tab w:val="left" w:pos="142"/>
        </w:tabs>
        <w:ind w:left="142"/>
        <w:jc w:val="center"/>
        <w:rPr>
          <w:b/>
        </w:rPr>
      </w:pPr>
      <w:r w:rsidRPr="00EF2D2B">
        <w:rPr>
          <w:noProof/>
          <w:sz w:val="22"/>
          <w:szCs w:val="22"/>
          <w:lang w:val="en-US"/>
        </w:rPr>
        <w:drawing>
          <wp:anchor distT="0" distB="0" distL="0" distR="0" simplePos="0" relativeHeight="251667456" behindDoc="0" locked="0" layoutInCell="1" allowOverlap="1" wp14:anchorId="62DB0ADC" wp14:editId="083C7AF5">
            <wp:simplePos x="0" y="0"/>
            <wp:positionH relativeFrom="page">
              <wp:posOffset>1080135</wp:posOffset>
            </wp:positionH>
            <wp:positionV relativeFrom="paragraph">
              <wp:posOffset>217805</wp:posOffset>
            </wp:positionV>
            <wp:extent cx="6114415" cy="4120515"/>
            <wp:effectExtent l="0" t="0" r="635" b="0"/>
            <wp:wrapTopAndBottom/>
            <wp:docPr id="189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85" cstate="print"/>
                    <a:stretch>
                      <a:fillRect/>
                    </a:stretch>
                  </pic:blipFill>
                  <pic:spPr>
                    <a:xfrm>
                      <a:off x="0" y="0"/>
                      <a:ext cx="6114415" cy="4120515"/>
                    </a:xfrm>
                    <a:prstGeom prst="rect">
                      <a:avLst/>
                    </a:prstGeom>
                  </pic:spPr>
                </pic:pic>
              </a:graphicData>
            </a:graphic>
            <wp14:sizeRelH relativeFrom="margin">
              <wp14:pctWidth>0</wp14:pctWidth>
            </wp14:sizeRelH>
            <wp14:sizeRelV relativeFrom="margin">
              <wp14:pctHeight>0</wp14:pctHeight>
            </wp14:sizeRelV>
          </wp:anchor>
        </w:drawing>
      </w:r>
    </w:p>
    <w:p w:rsidR="004E6429" w:rsidRDefault="004E6429" w:rsidP="00095C1D">
      <w:pPr>
        <w:tabs>
          <w:tab w:val="left" w:pos="142"/>
        </w:tabs>
        <w:ind w:left="142"/>
        <w:jc w:val="center"/>
        <w:rPr>
          <w:b/>
        </w:rPr>
      </w:pPr>
    </w:p>
    <w:p w:rsidR="004E6429" w:rsidRPr="004E6429" w:rsidRDefault="004E6429" w:rsidP="00095C1D">
      <w:pPr>
        <w:tabs>
          <w:tab w:val="left" w:pos="142"/>
        </w:tabs>
        <w:ind w:left="142"/>
        <w:jc w:val="center"/>
        <w:rPr>
          <w:b/>
          <w:lang w:val="en-US"/>
        </w:rPr>
      </w:pPr>
      <w:r w:rsidRPr="004E6429">
        <w:rPr>
          <w:b/>
        </w:rPr>
        <w:t>33-р зураг – RFC768-аас</w:t>
      </w:r>
    </w:p>
    <w:p w:rsidR="004E6429" w:rsidRDefault="004E6429" w:rsidP="00095C1D">
      <w:pPr>
        <w:tabs>
          <w:tab w:val="left" w:pos="142"/>
        </w:tabs>
        <w:ind w:left="142"/>
        <w:jc w:val="center"/>
        <w:rPr>
          <w:b/>
          <w:lang w:val="en-US"/>
        </w:rPr>
      </w:pPr>
      <w:r>
        <w:rPr>
          <w:b/>
          <w:lang w:val="en-US"/>
        </w:rPr>
        <w:t>Figure 33 –From RFC 768</w:t>
      </w:r>
    </w:p>
    <w:p w:rsidR="00303019" w:rsidRDefault="00303019" w:rsidP="00095C1D">
      <w:pPr>
        <w:tabs>
          <w:tab w:val="left" w:pos="142"/>
        </w:tabs>
        <w:ind w:left="142"/>
        <w:jc w:val="center"/>
        <w:rPr>
          <w:b/>
          <w:lang w:val="en-US"/>
        </w:rPr>
      </w:pPr>
    </w:p>
    <w:tbl>
      <w:tblPr>
        <w:tblStyle w:val="TableGrid"/>
        <w:tblW w:w="0" w:type="auto"/>
        <w:tblInd w:w="142" w:type="dxa"/>
        <w:tblLook w:val="04A0" w:firstRow="1" w:lastRow="0" w:firstColumn="1" w:lastColumn="0" w:noHBand="0" w:noVBand="1"/>
      </w:tblPr>
      <w:tblGrid>
        <w:gridCol w:w="4601"/>
        <w:gridCol w:w="4601"/>
      </w:tblGrid>
      <w:tr w:rsidR="00303019" w:rsidTr="00303019">
        <w:tc>
          <w:tcPr>
            <w:tcW w:w="4601" w:type="dxa"/>
          </w:tcPr>
          <w:p w:rsidR="00303019" w:rsidRPr="00303019" w:rsidRDefault="00303019" w:rsidP="00303019">
            <w:pPr>
              <w:tabs>
                <w:tab w:val="left" w:pos="0"/>
              </w:tabs>
              <w:ind w:left="0" w:firstLine="0"/>
              <w:rPr>
                <w:rFonts w:eastAsia="Calibri"/>
                <w:bCs/>
                <w:szCs w:val="22"/>
              </w:rPr>
            </w:pPr>
            <w:r w:rsidRPr="00303019">
              <w:rPr>
                <w:rFonts w:eastAsia="Calibri"/>
                <w:bCs/>
                <w:szCs w:val="22"/>
              </w:rPr>
              <w:t xml:space="preserve">Зураг 33 нь UDP-ийн тодорхойлолт (RFC 768) -оос эшлэл авсан норматив юм. Хүрэх газрын Порт (Destination Port) нь RFC 1240-т заасны дагуу 102 порт байх ёстой. Үүсгүүрпортыгдотооддоо төлөвлөх ба </w:t>
            </w:r>
            <w:r w:rsidRPr="00303019">
              <w:rPr>
                <w:rFonts w:eastAsia="Calibri"/>
                <w:bCs/>
                <w:szCs w:val="22"/>
              </w:rPr>
              <w:lastRenderedPageBreak/>
              <w:t>эдгээрийн тодорхойлолт нь энэхүү техникийн тайланд тусгагдаагүй.</w:t>
            </w:r>
          </w:p>
        </w:tc>
        <w:tc>
          <w:tcPr>
            <w:tcW w:w="4601" w:type="dxa"/>
          </w:tcPr>
          <w:p w:rsidR="00303019" w:rsidRPr="00303019" w:rsidRDefault="00D80958" w:rsidP="00303019">
            <w:pPr>
              <w:tabs>
                <w:tab w:val="left" w:pos="0"/>
              </w:tabs>
              <w:ind w:left="0" w:firstLine="0"/>
              <w:rPr>
                <w:rFonts w:eastAsia="Calibri"/>
                <w:bCs/>
                <w:szCs w:val="22"/>
              </w:rPr>
            </w:pPr>
            <w:hyperlink w:anchor="_bookmark64" w:history="1">
              <w:r w:rsidR="00303019" w:rsidRPr="00303019">
                <w:rPr>
                  <w:rFonts w:eastAsia="Calibri"/>
                  <w:bCs/>
                  <w:szCs w:val="22"/>
                </w:rPr>
                <w:t>Figure 33</w:t>
              </w:r>
            </w:hyperlink>
            <w:r w:rsidR="00303019" w:rsidRPr="00303019">
              <w:rPr>
                <w:rFonts w:eastAsia="Calibri"/>
                <w:bCs/>
                <w:szCs w:val="22"/>
              </w:rPr>
              <w:t xml:space="preserve"> is a normative extract from the UDP specification (RFC 768). The Destination Port shall be port 102 as  prescribed by RFC 1240. The source port shall be locally assigned and  the </w:t>
            </w:r>
            <w:r w:rsidR="00303019" w:rsidRPr="00303019">
              <w:rPr>
                <w:rFonts w:eastAsia="Calibri"/>
                <w:bCs/>
                <w:szCs w:val="22"/>
              </w:rPr>
              <w:lastRenderedPageBreak/>
              <w:t>specification of these is out of the scope of this Technical Report.</w:t>
            </w:r>
          </w:p>
        </w:tc>
      </w:tr>
    </w:tbl>
    <w:p w:rsidR="00303019" w:rsidRDefault="00303019" w:rsidP="00095C1D">
      <w:pPr>
        <w:tabs>
          <w:tab w:val="left" w:pos="142"/>
        </w:tabs>
        <w:ind w:left="142"/>
        <w:jc w:val="center"/>
        <w:rPr>
          <w:b/>
          <w:lang w:val="en-US"/>
        </w:rPr>
      </w:pPr>
    </w:p>
    <w:p w:rsidR="004E6429" w:rsidRDefault="00303019" w:rsidP="00095C1D">
      <w:pPr>
        <w:tabs>
          <w:tab w:val="left" w:pos="142"/>
        </w:tabs>
        <w:ind w:left="142"/>
        <w:jc w:val="center"/>
        <w:rPr>
          <w:b/>
          <w:lang w:val="en-US"/>
        </w:rPr>
      </w:pPr>
      <w:r w:rsidRPr="00303019">
        <w:rPr>
          <w:b/>
          <w:lang w:val="en-US"/>
        </w:rPr>
        <w:t>15</w:t>
      </w:r>
      <w:r>
        <w:rPr>
          <w:b/>
        </w:rPr>
        <w:t>-р хүснэгт</w:t>
      </w:r>
      <w:r w:rsidRPr="00303019">
        <w:rPr>
          <w:b/>
          <w:lang w:val="en-US"/>
        </w:rPr>
        <w:t xml:space="preserve"> – UDP талбарын хэрэгжилтэд тавигдах шаардлага</w:t>
      </w:r>
    </w:p>
    <w:tbl>
      <w:tblPr>
        <w:tblStyle w:val="TableGrid"/>
        <w:tblW w:w="0" w:type="auto"/>
        <w:tblInd w:w="142" w:type="dxa"/>
        <w:tblLook w:val="04A0" w:firstRow="1" w:lastRow="0" w:firstColumn="1" w:lastColumn="0" w:noHBand="0" w:noVBand="1"/>
      </w:tblPr>
      <w:tblGrid>
        <w:gridCol w:w="4601"/>
        <w:gridCol w:w="4601"/>
      </w:tblGrid>
      <w:tr w:rsidR="00303019" w:rsidTr="00303019">
        <w:tc>
          <w:tcPr>
            <w:tcW w:w="4601" w:type="dxa"/>
          </w:tcPr>
          <w:p w:rsidR="00303019" w:rsidRPr="00EF2D2B" w:rsidRDefault="00303019" w:rsidP="00303019">
            <w:pPr>
              <w:pStyle w:val="TableParagraph"/>
              <w:tabs>
                <w:tab w:val="left" w:pos="0"/>
              </w:tabs>
              <w:spacing w:before="53" w:line="276" w:lineRule="auto"/>
              <w:ind w:left="376" w:right="376"/>
              <w:jc w:val="center"/>
              <w:rPr>
                <w:b/>
                <w:sz w:val="20"/>
                <w:szCs w:val="20"/>
                <w:lang w:val="mn-MN"/>
              </w:rPr>
            </w:pPr>
            <w:r w:rsidRPr="00EF2D2B">
              <w:rPr>
                <w:b/>
                <w:sz w:val="20"/>
                <w:szCs w:val="20"/>
                <w:lang w:val="mn-MN"/>
              </w:rPr>
              <w:t>UDP</w:t>
            </w:r>
          </w:p>
        </w:tc>
        <w:tc>
          <w:tcPr>
            <w:tcW w:w="4601" w:type="dxa"/>
          </w:tcPr>
          <w:p w:rsidR="00303019" w:rsidRPr="00EF2D2B" w:rsidRDefault="00303019" w:rsidP="00303019">
            <w:pPr>
              <w:pStyle w:val="TableParagraph"/>
              <w:tabs>
                <w:tab w:val="left" w:pos="0"/>
              </w:tabs>
              <w:spacing w:before="53" w:line="276" w:lineRule="auto"/>
              <w:ind w:left="743" w:hanging="464"/>
              <w:rPr>
                <w:b/>
                <w:sz w:val="20"/>
                <w:szCs w:val="20"/>
                <w:lang w:val="mn-MN"/>
              </w:rPr>
            </w:pPr>
            <w:r w:rsidRPr="00EF2D2B">
              <w:rPr>
                <w:b/>
                <w:sz w:val="20"/>
                <w:szCs w:val="20"/>
                <w:lang w:val="mn-MN"/>
              </w:rPr>
              <w:t>Заавал /Заавал биш/ Хасах</w:t>
            </w:r>
          </w:p>
        </w:tc>
      </w:tr>
      <w:tr w:rsidR="00303019" w:rsidTr="00303019">
        <w:tc>
          <w:tcPr>
            <w:tcW w:w="4601"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Source Port</w:t>
            </w:r>
          </w:p>
        </w:tc>
        <w:tc>
          <w:tcPr>
            <w:tcW w:w="4601" w:type="dxa"/>
          </w:tcPr>
          <w:p w:rsidR="00303019" w:rsidRPr="00EF2D2B" w:rsidRDefault="00303019" w:rsidP="00303019">
            <w:pPr>
              <w:pStyle w:val="TableParagraph"/>
              <w:tabs>
                <w:tab w:val="left" w:pos="0"/>
              </w:tabs>
              <w:spacing w:line="276" w:lineRule="auto"/>
              <w:ind w:left="105"/>
              <w:rPr>
                <w:sz w:val="20"/>
                <w:szCs w:val="20"/>
                <w:lang w:val="mn-MN"/>
              </w:rPr>
            </w:pPr>
            <w:r w:rsidRPr="00EF2D2B">
              <w:rPr>
                <w:sz w:val="20"/>
                <w:szCs w:val="20"/>
                <w:lang w:val="mn-MN"/>
              </w:rPr>
              <w:t>M</w:t>
            </w:r>
          </w:p>
        </w:tc>
      </w:tr>
      <w:tr w:rsidR="00303019" w:rsidTr="00303019">
        <w:tc>
          <w:tcPr>
            <w:tcW w:w="4601"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Destination Port</w:t>
            </w:r>
          </w:p>
        </w:tc>
        <w:tc>
          <w:tcPr>
            <w:tcW w:w="4601" w:type="dxa"/>
          </w:tcPr>
          <w:p w:rsidR="00303019" w:rsidRPr="00EF2D2B" w:rsidRDefault="00303019" w:rsidP="00303019">
            <w:pPr>
              <w:pStyle w:val="TableParagraph"/>
              <w:tabs>
                <w:tab w:val="left" w:pos="0"/>
              </w:tabs>
              <w:spacing w:line="276" w:lineRule="auto"/>
              <w:ind w:left="105"/>
              <w:rPr>
                <w:sz w:val="20"/>
                <w:szCs w:val="20"/>
                <w:lang w:val="mn-MN"/>
              </w:rPr>
            </w:pPr>
            <w:r w:rsidRPr="00EF2D2B">
              <w:rPr>
                <w:sz w:val="20"/>
                <w:szCs w:val="20"/>
                <w:lang w:val="mn-MN"/>
              </w:rPr>
              <w:t>M</w:t>
            </w:r>
          </w:p>
        </w:tc>
      </w:tr>
      <w:tr w:rsidR="00303019" w:rsidTr="00303019">
        <w:tc>
          <w:tcPr>
            <w:tcW w:w="4601"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Length</w:t>
            </w:r>
          </w:p>
        </w:tc>
        <w:tc>
          <w:tcPr>
            <w:tcW w:w="4601" w:type="dxa"/>
          </w:tcPr>
          <w:p w:rsidR="00303019" w:rsidRPr="00EF2D2B" w:rsidRDefault="00303019" w:rsidP="00303019">
            <w:pPr>
              <w:pStyle w:val="TableParagraph"/>
              <w:tabs>
                <w:tab w:val="left" w:pos="0"/>
              </w:tabs>
              <w:spacing w:line="276" w:lineRule="auto"/>
              <w:ind w:left="105"/>
              <w:rPr>
                <w:sz w:val="20"/>
                <w:szCs w:val="20"/>
                <w:lang w:val="mn-MN"/>
              </w:rPr>
            </w:pPr>
            <w:r w:rsidRPr="00EF2D2B">
              <w:rPr>
                <w:sz w:val="20"/>
                <w:szCs w:val="20"/>
                <w:lang w:val="mn-MN"/>
              </w:rPr>
              <w:t>M</w:t>
            </w:r>
          </w:p>
        </w:tc>
      </w:tr>
      <w:tr w:rsidR="00303019" w:rsidTr="00303019">
        <w:tc>
          <w:tcPr>
            <w:tcW w:w="4601"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Checksum</w:t>
            </w:r>
          </w:p>
        </w:tc>
        <w:tc>
          <w:tcPr>
            <w:tcW w:w="4601" w:type="dxa"/>
          </w:tcPr>
          <w:p w:rsidR="00303019" w:rsidRPr="00EF2D2B" w:rsidRDefault="00303019" w:rsidP="00303019">
            <w:pPr>
              <w:pStyle w:val="TableParagraph"/>
              <w:tabs>
                <w:tab w:val="left" w:pos="0"/>
              </w:tabs>
              <w:spacing w:line="276" w:lineRule="auto"/>
              <w:ind w:left="105"/>
              <w:rPr>
                <w:sz w:val="20"/>
                <w:szCs w:val="20"/>
                <w:lang w:val="mn-MN"/>
              </w:rPr>
            </w:pPr>
            <w:r w:rsidRPr="00EF2D2B">
              <w:rPr>
                <w:sz w:val="20"/>
                <w:szCs w:val="20"/>
                <w:lang w:val="mn-MN"/>
              </w:rPr>
              <w:t>M</w:t>
            </w:r>
          </w:p>
        </w:tc>
      </w:tr>
    </w:tbl>
    <w:p w:rsidR="004E6429" w:rsidRDefault="004E6429" w:rsidP="00303019">
      <w:pPr>
        <w:tabs>
          <w:tab w:val="left" w:pos="142"/>
        </w:tabs>
        <w:ind w:left="0" w:firstLine="0"/>
        <w:rPr>
          <w:b/>
        </w:rPr>
      </w:pPr>
    </w:p>
    <w:p w:rsidR="00303019" w:rsidRDefault="00303019" w:rsidP="00095C1D">
      <w:pPr>
        <w:tabs>
          <w:tab w:val="left" w:pos="142"/>
        </w:tabs>
        <w:ind w:left="142"/>
        <w:jc w:val="center"/>
        <w:rPr>
          <w:b/>
        </w:rPr>
      </w:pPr>
      <w:r w:rsidRPr="00303019">
        <w:rPr>
          <w:b/>
        </w:rPr>
        <w:t>Table 15 – UDP field implementation requirements</w:t>
      </w:r>
    </w:p>
    <w:tbl>
      <w:tblPr>
        <w:tblStyle w:val="TableGrid"/>
        <w:tblW w:w="0" w:type="auto"/>
        <w:tblInd w:w="142" w:type="dxa"/>
        <w:tblLook w:val="04A0" w:firstRow="1" w:lastRow="0" w:firstColumn="1" w:lastColumn="0" w:noHBand="0" w:noVBand="1"/>
      </w:tblPr>
      <w:tblGrid>
        <w:gridCol w:w="4601"/>
        <w:gridCol w:w="4601"/>
      </w:tblGrid>
      <w:tr w:rsidR="00303019" w:rsidRPr="00EF2D2B" w:rsidTr="00D533FF">
        <w:tc>
          <w:tcPr>
            <w:tcW w:w="4601" w:type="dxa"/>
          </w:tcPr>
          <w:p w:rsidR="00303019" w:rsidRPr="00EF2D2B" w:rsidRDefault="00303019" w:rsidP="00303019">
            <w:pPr>
              <w:pStyle w:val="TableParagraph"/>
              <w:tabs>
                <w:tab w:val="left" w:pos="0"/>
              </w:tabs>
              <w:spacing w:before="53" w:line="276" w:lineRule="auto"/>
              <w:ind w:left="376" w:right="376"/>
              <w:jc w:val="center"/>
              <w:rPr>
                <w:b/>
                <w:sz w:val="20"/>
                <w:szCs w:val="20"/>
                <w:lang w:val="mn-MN"/>
              </w:rPr>
            </w:pPr>
            <w:r w:rsidRPr="00EF2D2B">
              <w:rPr>
                <w:b/>
                <w:sz w:val="20"/>
                <w:szCs w:val="20"/>
                <w:lang w:val="mn-MN"/>
              </w:rPr>
              <w:t>UDP</w:t>
            </w:r>
          </w:p>
        </w:tc>
        <w:tc>
          <w:tcPr>
            <w:tcW w:w="4601" w:type="dxa"/>
          </w:tcPr>
          <w:p w:rsidR="00303019" w:rsidRPr="00EF2D2B" w:rsidRDefault="00303019" w:rsidP="00303019">
            <w:pPr>
              <w:pStyle w:val="TableParagraph"/>
              <w:tabs>
                <w:tab w:val="left" w:pos="0"/>
              </w:tabs>
              <w:spacing w:before="53" w:line="276" w:lineRule="auto"/>
              <w:ind w:left="743" w:hanging="464"/>
              <w:rPr>
                <w:b/>
                <w:sz w:val="20"/>
                <w:szCs w:val="20"/>
                <w:lang w:val="mn-MN"/>
              </w:rPr>
            </w:pPr>
            <w:r w:rsidRPr="00EF2D2B">
              <w:rPr>
                <w:b/>
                <w:sz w:val="20"/>
                <w:szCs w:val="20"/>
                <w:lang w:val="mn-MN"/>
              </w:rPr>
              <w:t>Mandatory/Optional/ eXcluded</w:t>
            </w:r>
          </w:p>
        </w:tc>
      </w:tr>
      <w:tr w:rsidR="00303019" w:rsidRPr="00EF2D2B" w:rsidTr="00D533FF">
        <w:tc>
          <w:tcPr>
            <w:tcW w:w="4601"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Source Port</w:t>
            </w:r>
          </w:p>
        </w:tc>
        <w:tc>
          <w:tcPr>
            <w:tcW w:w="4601" w:type="dxa"/>
          </w:tcPr>
          <w:p w:rsidR="00303019" w:rsidRPr="00EF2D2B" w:rsidRDefault="00303019" w:rsidP="00303019">
            <w:pPr>
              <w:pStyle w:val="TableParagraph"/>
              <w:tabs>
                <w:tab w:val="left" w:pos="0"/>
              </w:tabs>
              <w:spacing w:line="276" w:lineRule="auto"/>
              <w:ind w:left="105"/>
              <w:rPr>
                <w:sz w:val="20"/>
                <w:szCs w:val="20"/>
                <w:lang w:val="mn-MN"/>
              </w:rPr>
            </w:pPr>
            <w:r w:rsidRPr="00EF2D2B">
              <w:rPr>
                <w:sz w:val="20"/>
                <w:szCs w:val="20"/>
                <w:lang w:val="mn-MN"/>
              </w:rPr>
              <w:t>M</w:t>
            </w:r>
          </w:p>
        </w:tc>
      </w:tr>
      <w:tr w:rsidR="00303019" w:rsidRPr="00EF2D2B" w:rsidTr="00D533FF">
        <w:tc>
          <w:tcPr>
            <w:tcW w:w="4601"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Destination Port</w:t>
            </w:r>
          </w:p>
        </w:tc>
        <w:tc>
          <w:tcPr>
            <w:tcW w:w="4601" w:type="dxa"/>
          </w:tcPr>
          <w:p w:rsidR="00303019" w:rsidRPr="00EF2D2B" w:rsidRDefault="00303019" w:rsidP="00303019">
            <w:pPr>
              <w:pStyle w:val="TableParagraph"/>
              <w:tabs>
                <w:tab w:val="left" w:pos="0"/>
              </w:tabs>
              <w:spacing w:line="276" w:lineRule="auto"/>
              <w:ind w:left="105"/>
              <w:rPr>
                <w:sz w:val="20"/>
                <w:szCs w:val="20"/>
                <w:lang w:val="mn-MN"/>
              </w:rPr>
            </w:pPr>
            <w:r w:rsidRPr="00EF2D2B">
              <w:rPr>
                <w:sz w:val="20"/>
                <w:szCs w:val="20"/>
                <w:lang w:val="mn-MN"/>
              </w:rPr>
              <w:t>M</w:t>
            </w:r>
          </w:p>
        </w:tc>
      </w:tr>
      <w:tr w:rsidR="00303019" w:rsidRPr="00EF2D2B" w:rsidTr="00D533FF">
        <w:tc>
          <w:tcPr>
            <w:tcW w:w="4601"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Length</w:t>
            </w:r>
          </w:p>
        </w:tc>
        <w:tc>
          <w:tcPr>
            <w:tcW w:w="4601" w:type="dxa"/>
          </w:tcPr>
          <w:p w:rsidR="00303019" w:rsidRPr="00EF2D2B" w:rsidRDefault="00303019" w:rsidP="00303019">
            <w:pPr>
              <w:pStyle w:val="TableParagraph"/>
              <w:tabs>
                <w:tab w:val="left" w:pos="0"/>
              </w:tabs>
              <w:spacing w:line="276" w:lineRule="auto"/>
              <w:ind w:left="105"/>
              <w:rPr>
                <w:sz w:val="20"/>
                <w:szCs w:val="20"/>
                <w:lang w:val="mn-MN"/>
              </w:rPr>
            </w:pPr>
            <w:r w:rsidRPr="00EF2D2B">
              <w:rPr>
                <w:sz w:val="20"/>
                <w:szCs w:val="20"/>
                <w:lang w:val="mn-MN"/>
              </w:rPr>
              <w:t>M</w:t>
            </w:r>
          </w:p>
        </w:tc>
      </w:tr>
      <w:tr w:rsidR="00303019" w:rsidRPr="00EF2D2B" w:rsidTr="00D533FF">
        <w:tc>
          <w:tcPr>
            <w:tcW w:w="4601"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Checksum</w:t>
            </w:r>
          </w:p>
        </w:tc>
        <w:tc>
          <w:tcPr>
            <w:tcW w:w="4601" w:type="dxa"/>
          </w:tcPr>
          <w:p w:rsidR="00303019" w:rsidRPr="00EF2D2B" w:rsidRDefault="00303019" w:rsidP="00303019">
            <w:pPr>
              <w:pStyle w:val="TableParagraph"/>
              <w:tabs>
                <w:tab w:val="left" w:pos="0"/>
              </w:tabs>
              <w:spacing w:line="276" w:lineRule="auto"/>
              <w:ind w:left="105"/>
              <w:rPr>
                <w:sz w:val="20"/>
                <w:szCs w:val="20"/>
                <w:lang w:val="mn-MN"/>
              </w:rPr>
            </w:pPr>
            <w:r w:rsidRPr="00EF2D2B">
              <w:rPr>
                <w:sz w:val="20"/>
                <w:szCs w:val="20"/>
                <w:lang w:val="mn-MN"/>
              </w:rPr>
              <w:t>M</w:t>
            </w:r>
          </w:p>
        </w:tc>
      </w:tr>
    </w:tbl>
    <w:p w:rsidR="00303019" w:rsidRDefault="00303019" w:rsidP="00095C1D">
      <w:pPr>
        <w:tabs>
          <w:tab w:val="left" w:pos="142"/>
        </w:tabs>
        <w:ind w:left="142"/>
        <w:jc w:val="center"/>
      </w:pPr>
    </w:p>
    <w:tbl>
      <w:tblPr>
        <w:tblStyle w:val="TableGrid"/>
        <w:tblW w:w="0" w:type="auto"/>
        <w:tblInd w:w="142" w:type="dxa"/>
        <w:tblLook w:val="04A0" w:firstRow="1" w:lastRow="0" w:firstColumn="1" w:lastColumn="0" w:noHBand="0" w:noVBand="1"/>
      </w:tblPr>
      <w:tblGrid>
        <w:gridCol w:w="4603"/>
        <w:gridCol w:w="4599"/>
      </w:tblGrid>
      <w:tr w:rsidR="00303019" w:rsidTr="00303019">
        <w:tc>
          <w:tcPr>
            <w:tcW w:w="4672" w:type="dxa"/>
          </w:tcPr>
          <w:p w:rsidR="00303019" w:rsidRDefault="00303019" w:rsidP="00303019">
            <w:pPr>
              <w:tabs>
                <w:tab w:val="left" w:pos="142"/>
              </w:tabs>
              <w:ind w:left="0" w:firstLine="0"/>
              <w:rPr>
                <w:rFonts w:eastAsia="Calibri"/>
                <w:bCs/>
                <w:szCs w:val="22"/>
              </w:rPr>
            </w:pPr>
            <w:r w:rsidRPr="00303019">
              <w:rPr>
                <w:rFonts w:eastAsia="Calibri"/>
                <w:bCs/>
                <w:szCs w:val="22"/>
              </w:rPr>
              <w:t>Хүснэгт 15-д RFC 768-ийн бүх талбарын хэрэгжүүлэх ба дамжуулахыг тодорхойлсон.</w:t>
            </w:r>
          </w:p>
          <w:p w:rsidR="00303019" w:rsidRPr="00303019" w:rsidRDefault="00303019" w:rsidP="00303019">
            <w:pPr>
              <w:tabs>
                <w:tab w:val="left" w:pos="142"/>
              </w:tabs>
              <w:ind w:left="0" w:firstLine="0"/>
              <w:rPr>
                <w:rFonts w:eastAsia="Calibri"/>
                <w:b/>
                <w:bCs/>
                <w:szCs w:val="22"/>
              </w:rPr>
            </w:pPr>
            <w:r w:rsidRPr="00303019">
              <w:rPr>
                <w:rFonts w:eastAsia="Calibri"/>
                <w:b/>
                <w:bCs/>
                <w:szCs w:val="22"/>
              </w:rPr>
              <w:t>11.6.2.2 IEEE сервесийн чанар (IEEE 802.1Q)</w:t>
            </w:r>
          </w:p>
          <w:p w:rsidR="00303019" w:rsidRPr="00303019" w:rsidRDefault="00303019" w:rsidP="00303019">
            <w:pPr>
              <w:tabs>
                <w:tab w:val="left" w:pos="142"/>
              </w:tabs>
              <w:ind w:left="0" w:firstLine="0"/>
              <w:rPr>
                <w:rFonts w:eastAsia="Calibri"/>
                <w:bCs/>
                <w:szCs w:val="22"/>
              </w:rPr>
            </w:pPr>
            <w:r w:rsidRPr="00303019">
              <w:rPr>
                <w:rFonts w:eastAsia="Calibri"/>
                <w:bCs/>
                <w:szCs w:val="22"/>
              </w:rPr>
              <w:t>Энэхүү стандартад нийцэхийг шаардсан хэрэгжүүлэлтүүд нь Destination IP Address, VLAN, Этернэт Class-ын Serviceзэргийг тодорхойлох боломжийг олгодог тээврийн сервесийн өгөгдлийн интерфейсээр хангах ёстой.</w:t>
            </w:r>
          </w:p>
          <w:p w:rsidR="00303019" w:rsidRPr="00303019" w:rsidRDefault="00303019" w:rsidP="00303019">
            <w:pPr>
              <w:tabs>
                <w:tab w:val="left" w:pos="142"/>
              </w:tabs>
              <w:ind w:left="0" w:firstLine="0"/>
              <w:rPr>
                <w:rFonts w:eastAsia="Calibri"/>
                <w:b/>
                <w:bCs/>
                <w:szCs w:val="22"/>
              </w:rPr>
            </w:pPr>
            <w:r w:rsidRPr="00303019">
              <w:rPr>
                <w:rFonts w:eastAsia="Calibri"/>
                <w:b/>
                <w:bCs/>
                <w:szCs w:val="22"/>
                <w:lang w:val="en-US"/>
              </w:rPr>
              <w:t xml:space="preserve">11.6.3 </w:t>
            </w:r>
            <w:r w:rsidRPr="00303019">
              <w:rPr>
                <w:rFonts w:eastAsia="Calibri"/>
                <w:b/>
                <w:bCs/>
                <w:szCs w:val="22"/>
              </w:rPr>
              <w:t>KDC-ийг дэмжих T-Профайл (TCP ба UDP)</w:t>
            </w:r>
          </w:p>
          <w:p w:rsidR="00303019" w:rsidRPr="00303019" w:rsidRDefault="00303019" w:rsidP="00303019">
            <w:pPr>
              <w:tabs>
                <w:tab w:val="left" w:pos="142"/>
              </w:tabs>
              <w:ind w:left="0" w:firstLine="0"/>
              <w:rPr>
                <w:rFonts w:eastAsia="Calibri"/>
                <w:bCs/>
                <w:szCs w:val="22"/>
              </w:rPr>
            </w:pPr>
            <w:r w:rsidRPr="00303019">
              <w:rPr>
                <w:rFonts w:eastAsia="Calibri"/>
                <w:bCs/>
                <w:szCs w:val="22"/>
              </w:rPr>
              <w:t>GOOSE ба SV A-Profile-ийг дэмждэг T-Профайл нь дараахь зүйлийг агуулна:</w:t>
            </w:r>
          </w:p>
        </w:tc>
        <w:tc>
          <w:tcPr>
            <w:tcW w:w="4672" w:type="dxa"/>
          </w:tcPr>
          <w:p w:rsidR="00303019" w:rsidRDefault="00303019" w:rsidP="00303019">
            <w:pPr>
              <w:tabs>
                <w:tab w:val="left" w:pos="142"/>
              </w:tabs>
              <w:ind w:left="0" w:firstLine="0"/>
              <w:rPr>
                <w:rFonts w:eastAsia="Calibri"/>
                <w:bCs/>
                <w:szCs w:val="22"/>
              </w:rPr>
            </w:pPr>
            <w:r w:rsidRPr="00303019">
              <w:rPr>
                <w:rFonts w:eastAsia="Calibri"/>
                <w:bCs/>
                <w:szCs w:val="22"/>
              </w:rPr>
              <w:t>Table 15 specifies that all of the RFC 768 fields shall be implemented and transmitted.</w:t>
            </w:r>
          </w:p>
          <w:p w:rsidR="00303019" w:rsidRPr="00303019" w:rsidRDefault="00303019" w:rsidP="00303019">
            <w:pPr>
              <w:tabs>
                <w:tab w:val="left" w:pos="142"/>
              </w:tabs>
              <w:ind w:left="0" w:firstLine="0"/>
              <w:rPr>
                <w:rFonts w:eastAsia="Calibri"/>
                <w:b/>
                <w:bCs/>
                <w:szCs w:val="22"/>
              </w:rPr>
            </w:pPr>
            <w:r w:rsidRPr="00303019">
              <w:rPr>
                <w:rFonts w:eastAsia="Calibri"/>
                <w:b/>
                <w:bCs/>
                <w:szCs w:val="22"/>
              </w:rPr>
              <w:t>11.6.2.2 IEEE quality of service (IEEE 802.1Q)</w:t>
            </w:r>
          </w:p>
          <w:p w:rsidR="00303019" w:rsidRPr="00303019" w:rsidRDefault="00303019" w:rsidP="00303019">
            <w:pPr>
              <w:tabs>
                <w:tab w:val="left" w:pos="142"/>
              </w:tabs>
              <w:ind w:left="0" w:firstLine="0"/>
              <w:rPr>
                <w:rFonts w:eastAsia="Calibri"/>
                <w:bCs/>
                <w:szCs w:val="22"/>
              </w:rPr>
            </w:pPr>
            <w:r w:rsidRPr="00303019">
              <w:rPr>
                <w:rFonts w:eastAsia="Calibri"/>
                <w:bCs/>
                <w:szCs w:val="22"/>
              </w:rPr>
              <w:t>Implementations claiming conformance to this standard shall provide a transport service data interface that allows for the Destination IP Address, VLAN, and the Ethernet Class  of  Service to be specified.</w:t>
            </w:r>
          </w:p>
          <w:p w:rsidR="00303019" w:rsidRPr="00303019" w:rsidRDefault="00303019" w:rsidP="00303019">
            <w:pPr>
              <w:tabs>
                <w:tab w:val="left" w:pos="142"/>
              </w:tabs>
              <w:ind w:left="0" w:firstLine="0"/>
              <w:rPr>
                <w:rFonts w:eastAsia="Calibri"/>
                <w:b/>
                <w:bCs/>
                <w:szCs w:val="22"/>
              </w:rPr>
            </w:pPr>
            <w:bookmarkStart w:id="60" w:name="_TOC_250009"/>
            <w:r w:rsidRPr="00303019">
              <w:rPr>
                <w:rFonts w:eastAsia="Calibri"/>
                <w:b/>
                <w:bCs/>
                <w:szCs w:val="22"/>
              </w:rPr>
              <w:t>11</w:t>
            </w:r>
            <w:r w:rsidRPr="00303019">
              <w:rPr>
                <w:rFonts w:eastAsia="Calibri"/>
                <w:b/>
                <w:bCs/>
                <w:szCs w:val="22"/>
                <w:lang w:val="en-US"/>
              </w:rPr>
              <w:t xml:space="preserve">.6.3 </w:t>
            </w:r>
            <w:r w:rsidRPr="00303019">
              <w:rPr>
                <w:rFonts w:eastAsia="Calibri"/>
                <w:b/>
                <w:bCs/>
                <w:szCs w:val="22"/>
              </w:rPr>
              <w:t xml:space="preserve">T-Profile to support KDC (TCP and </w:t>
            </w:r>
            <w:bookmarkEnd w:id="60"/>
            <w:r w:rsidRPr="00303019">
              <w:rPr>
                <w:rFonts w:eastAsia="Calibri"/>
                <w:b/>
                <w:bCs/>
                <w:szCs w:val="22"/>
              </w:rPr>
              <w:t>UDP)</w:t>
            </w:r>
          </w:p>
          <w:p w:rsidR="00303019" w:rsidRPr="00303019" w:rsidRDefault="00303019" w:rsidP="00303019">
            <w:pPr>
              <w:tabs>
                <w:tab w:val="left" w:pos="142"/>
              </w:tabs>
              <w:ind w:left="0" w:firstLine="0"/>
              <w:rPr>
                <w:rFonts w:eastAsia="Calibri"/>
                <w:bCs/>
                <w:szCs w:val="22"/>
              </w:rPr>
            </w:pPr>
            <w:r w:rsidRPr="00303019">
              <w:rPr>
                <w:rFonts w:eastAsia="Calibri"/>
                <w:bCs/>
                <w:szCs w:val="22"/>
              </w:rPr>
              <w:t>The T-Profile, supporting the GOOSE and SV A-Profile, includes:</w:t>
            </w:r>
          </w:p>
          <w:p w:rsidR="00303019" w:rsidRPr="00303019" w:rsidRDefault="00303019" w:rsidP="00303019">
            <w:pPr>
              <w:tabs>
                <w:tab w:val="left" w:pos="142"/>
              </w:tabs>
              <w:ind w:left="0" w:firstLine="0"/>
              <w:rPr>
                <w:rFonts w:eastAsia="Calibri"/>
                <w:bCs/>
                <w:szCs w:val="22"/>
              </w:rPr>
            </w:pPr>
          </w:p>
        </w:tc>
      </w:tr>
    </w:tbl>
    <w:p w:rsidR="00303019" w:rsidRDefault="00303019" w:rsidP="00095C1D">
      <w:pPr>
        <w:tabs>
          <w:tab w:val="left" w:pos="142"/>
        </w:tabs>
        <w:ind w:left="142"/>
        <w:jc w:val="center"/>
      </w:pPr>
    </w:p>
    <w:tbl>
      <w:tblPr>
        <w:tblStyle w:val="TableGrid"/>
        <w:tblW w:w="0" w:type="auto"/>
        <w:tblInd w:w="142" w:type="dxa"/>
        <w:tblLook w:val="04A0" w:firstRow="1" w:lastRow="0" w:firstColumn="1" w:lastColumn="0" w:noHBand="0" w:noVBand="1"/>
      </w:tblPr>
      <w:tblGrid>
        <w:gridCol w:w="3066"/>
        <w:gridCol w:w="3068"/>
        <w:gridCol w:w="3068"/>
      </w:tblGrid>
      <w:tr w:rsidR="00303019" w:rsidTr="00303019">
        <w:tc>
          <w:tcPr>
            <w:tcW w:w="3066" w:type="dxa"/>
          </w:tcPr>
          <w:p w:rsidR="00303019" w:rsidRPr="00731F96" w:rsidRDefault="00303019" w:rsidP="00303019">
            <w:pPr>
              <w:pStyle w:val="TableParagraph"/>
              <w:tabs>
                <w:tab w:val="left" w:pos="0"/>
              </w:tabs>
              <w:spacing w:before="53" w:line="276" w:lineRule="auto"/>
              <w:ind w:left="561"/>
              <w:rPr>
                <w:b/>
                <w:sz w:val="20"/>
                <w:szCs w:val="20"/>
                <w:lang w:val="mn-MN"/>
              </w:rPr>
            </w:pPr>
            <w:r w:rsidRPr="00731F96">
              <w:rPr>
                <w:b/>
                <w:sz w:val="20"/>
                <w:szCs w:val="20"/>
                <w:lang w:val="mn-MN"/>
              </w:rPr>
              <w:t>Протокол</w:t>
            </w:r>
          </w:p>
        </w:tc>
        <w:tc>
          <w:tcPr>
            <w:tcW w:w="3068" w:type="dxa"/>
          </w:tcPr>
          <w:p w:rsidR="00303019" w:rsidRPr="00EF2D2B" w:rsidRDefault="00303019" w:rsidP="00303019">
            <w:pPr>
              <w:pStyle w:val="TableParagraph"/>
              <w:tabs>
                <w:tab w:val="left" w:pos="0"/>
              </w:tabs>
              <w:spacing w:before="53" w:line="276" w:lineRule="auto"/>
              <w:ind w:left="434"/>
              <w:rPr>
                <w:b/>
                <w:sz w:val="20"/>
                <w:szCs w:val="20"/>
                <w:lang w:val="mn-MN"/>
              </w:rPr>
            </w:pPr>
            <w:r w:rsidRPr="00EF2D2B">
              <w:rPr>
                <w:b/>
                <w:sz w:val="20"/>
                <w:szCs w:val="20"/>
                <w:lang w:val="mn-MN"/>
              </w:rPr>
              <w:t>Тайлбар</w:t>
            </w:r>
          </w:p>
        </w:tc>
        <w:tc>
          <w:tcPr>
            <w:tcW w:w="3068" w:type="dxa"/>
          </w:tcPr>
          <w:p w:rsidR="00303019" w:rsidRPr="00EF2D2B" w:rsidRDefault="00303019" w:rsidP="00303019">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303019" w:rsidTr="00303019">
        <w:tc>
          <w:tcPr>
            <w:tcW w:w="3066"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TCP – RFC 793</w:t>
            </w:r>
          </w:p>
        </w:tc>
        <w:tc>
          <w:tcPr>
            <w:tcW w:w="3068" w:type="dxa"/>
          </w:tcPr>
          <w:p w:rsidR="00303019" w:rsidRPr="00EF2D2B" w:rsidRDefault="00303019" w:rsidP="00303019">
            <w:pPr>
              <w:pStyle w:val="TableParagraph"/>
              <w:tabs>
                <w:tab w:val="left" w:pos="0"/>
              </w:tabs>
              <w:spacing w:line="276" w:lineRule="auto"/>
              <w:ind w:left="105" w:right="280"/>
              <w:rPr>
                <w:sz w:val="20"/>
                <w:szCs w:val="20"/>
                <w:lang w:val="mn-MN"/>
              </w:rPr>
            </w:pPr>
            <w:r w:rsidRPr="00EF2D2B">
              <w:rPr>
                <w:sz w:val="20"/>
                <w:szCs w:val="20"/>
                <w:lang w:val="mn-MN"/>
              </w:rPr>
              <w:t>Дамжуулалтыг Удирдах Протокол</w:t>
            </w:r>
          </w:p>
        </w:tc>
        <w:tc>
          <w:tcPr>
            <w:tcW w:w="3068" w:type="dxa"/>
          </w:tcPr>
          <w:p w:rsidR="00303019" w:rsidRPr="00EF2D2B" w:rsidRDefault="00303019" w:rsidP="00303019">
            <w:pPr>
              <w:pStyle w:val="TableParagraph"/>
              <w:tabs>
                <w:tab w:val="left" w:pos="0"/>
              </w:tabs>
              <w:spacing w:line="276" w:lineRule="auto"/>
              <w:ind w:left="107"/>
              <w:rPr>
                <w:sz w:val="20"/>
                <w:szCs w:val="20"/>
                <w:lang w:val="mn-MN"/>
              </w:rPr>
            </w:pPr>
            <w:r w:rsidRPr="00EF2D2B">
              <w:rPr>
                <w:sz w:val="20"/>
                <w:szCs w:val="20"/>
                <w:lang w:val="mn-MN"/>
              </w:rPr>
              <w:t>m</w:t>
            </w:r>
          </w:p>
        </w:tc>
      </w:tr>
      <w:tr w:rsidR="00303019" w:rsidTr="00303019">
        <w:tc>
          <w:tcPr>
            <w:tcW w:w="3066"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UDP – RFC 768</w:t>
            </w:r>
          </w:p>
        </w:tc>
        <w:tc>
          <w:tcPr>
            <w:tcW w:w="3068" w:type="dxa"/>
          </w:tcPr>
          <w:p w:rsidR="00303019" w:rsidRPr="00EF2D2B" w:rsidRDefault="00303019" w:rsidP="00303019">
            <w:pPr>
              <w:pStyle w:val="TableParagraph"/>
              <w:tabs>
                <w:tab w:val="left" w:pos="0"/>
              </w:tabs>
              <w:spacing w:line="276" w:lineRule="auto"/>
              <w:ind w:left="105" w:right="280"/>
              <w:rPr>
                <w:sz w:val="20"/>
                <w:szCs w:val="20"/>
                <w:lang w:val="mn-MN"/>
              </w:rPr>
            </w:pPr>
            <w:r w:rsidRPr="00EF2D2B">
              <w:rPr>
                <w:sz w:val="20"/>
                <w:szCs w:val="20"/>
                <w:lang w:val="mn-MN"/>
              </w:rPr>
              <w:t>Хэрэглэгчийн Датаграм Протокол</w:t>
            </w:r>
          </w:p>
        </w:tc>
        <w:tc>
          <w:tcPr>
            <w:tcW w:w="3068" w:type="dxa"/>
          </w:tcPr>
          <w:p w:rsidR="00303019" w:rsidRPr="00EF2D2B" w:rsidRDefault="00303019" w:rsidP="00303019">
            <w:pPr>
              <w:pStyle w:val="TableParagraph"/>
              <w:tabs>
                <w:tab w:val="left" w:pos="0"/>
              </w:tabs>
              <w:spacing w:line="276" w:lineRule="auto"/>
              <w:ind w:left="108"/>
              <w:rPr>
                <w:sz w:val="20"/>
                <w:szCs w:val="20"/>
                <w:lang w:val="mn-MN"/>
              </w:rPr>
            </w:pPr>
            <w:r w:rsidRPr="00EF2D2B">
              <w:rPr>
                <w:sz w:val="20"/>
                <w:szCs w:val="20"/>
                <w:lang w:val="mn-MN"/>
              </w:rPr>
              <w:t>m</w:t>
            </w:r>
          </w:p>
        </w:tc>
      </w:tr>
    </w:tbl>
    <w:p w:rsidR="00303019" w:rsidRDefault="00303019" w:rsidP="00095C1D">
      <w:pPr>
        <w:tabs>
          <w:tab w:val="left" w:pos="142"/>
        </w:tabs>
        <w:ind w:left="142"/>
        <w:jc w:val="center"/>
      </w:pPr>
    </w:p>
    <w:tbl>
      <w:tblPr>
        <w:tblStyle w:val="TableGrid"/>
        <w:tblW w:w="0" w:type="auto"/>
        <w:tblInd w:w="142" w:type="dxa"/>
        <w:tblLook w:val="04A0" w:firstRow="1" w:lastRow="0" w:firstColumn="1" w:lastColumn="0" w:noHBand="0" w:noVBand="1"/>
      </w:tblPr>
      <w:tblGrid>
        <w:gridCol w:w="3066"/>
        <w:gridCol w:w="3068"/>
        <w:gridCol w:w="3068"/>
      </w:tblGrid>
      <w:tr w:rsidR="00303019" w:rsidRPr="00EF2D2B" w:rsidTr="00D533FF">
        <w:tc>
          <w:tcPr>
            <w:tcW w:w="3066" w:type="dxa"/>
          </w:tcPr>
          <w:p w:rsidR="00303019" w:rsidRPr="00731F96" w:rsidRDefault="00303019" w:rsidP="00303019">
            <w:pPr>
              <w:pStyle w:val="TableParagraph"/>
              <w:tabs>
                <w:tab w:val="left" w:pos="0"/>
              </w:tabs>
              <w:spacing w:before="53" w:line="276" w:lineRule="auto"/>
              <w:ind w:left="561"/>
              <w:rPr>
                <w:b/>
                <w:sz w:val="20"/>
                <w:szCs w:val="20"/>
                <w:lang w:val="mn-MN"/>
              </w:rPr>
            </w:pPr>
            <w:r w:rsidRPr="00731F96">
              <w:rPr>
                <w:b/>
                <w:sz w:val="20"/>
                <w:szCs w:val="20"/>
                <w:lang w:val="mn-MN"/>
              </w:rPr>
              <w:t>Protocol</w:t>
            </w:r>
          </w:p>
        </w:tc>
        <w:tc>
          <w:tcPr>
            <w:tcW w:w="3068" w:type="dxa"/>
          </w:tcPr>
          <w:p w:rsidR="00303019" w:rsidRPr="00EF2D2B" w:rsidRDefault="00303019" w:rsidP="00303019">
            <w:pPr>
              <w:pStyle w:val="TableParagraph"/>
              <w:tabs>
                <w:tab w:val="left" w:pos="0"/>
              </w:tabs>
              <w:spacing w:before="53" w:line="276" w:lineRule="auto"/>
              <w:ind w:left="434"/>
              <w:rPr>
                <w:b/>
                <w:sz w:val="20"/>
                <w:szCs w:val="20"/>
                <w:lang w:val="mn-MN"/>
              </w:rPr>
            </w:pPr>
            <w:r w:rsidRPr="00EF2D2B">
              <w:rPr>
                <w:b/>
                <w:sz w:val="20"/>
                <w:szCs w:val="20"/>
                <w:lang w:val="mn-MN"/>
              </w:rPr>
              <w:t>Description</w:t>
            </w:r>
          </w:p>
        </w:tc>
        <w:tc>
          <w:tcPr>
            <w:tcW w:w="3068" w:type="dxa"/>
          </w:tcPr>
          <w:p w:rsidR="00303019" w:rsidRPr="00EF2D2B" w:rsidRDefault="00303019" w:rsidP="00303019">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303019" w:rsidRPr="00EF2D2B" w:rsidTr="00D533FF">
        <w:tc>
          <w:tcPr>
            <w:tcW w:w="3066"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t>TCP – RFC 793</w:t>
            </w:r>
          </w:p>
        </w:tc>
        <w:tc>
          <w:tcPr>
            <w:tcW w:w="3068" w:type="dxa"/>
          </w:tcPr>
          <w:p w:rsidR="00303019" w:rsidRPr="00731F96" w:rsidRDefault="00303019" w:rsidP="00303019">
            <w:pPr>
              <w:pStyle w:val="TableParagraph"/>
              <w:tabs>
                <w:tab w:val="left" w:pos="0"/>
              </w:tabs>
              <w:spacing w:line="276" w:lineRule="auto"/>
              <w:ind w:left="105" w:right="280"/>
              <w:rPr>
                <w:sz w:val="20"/>
                <w:szCs w:val="20"/>
                <w:lang w:val="mn-MN"/>
              </w:rPr>
            </w:pPr>
            <w:r w:rsidRPr="00731F96">
              <w:rPr>
                <w:sz w:val="20"/>
                <w:szCs w:val="20"/>
                <w:lang w:val="mn-MN"/>
              </w:rPr>
              <w:t>Transmission Control Protocol</w:t>
            </w:r>
          </w:p>
        </w:tc>
        <w:tc>
          <w:tcPr>
            <w:tcW w:w="3068" w:type="dxa"/>
          </w:tcPr>
          <w:p w:rsidR="00303019" w:rsidRPr="00EF2D2B" w:rsidRDefault="00303019" w:rsidP="00303019">
            <w:pPr>
              <w:pStyle w:val="TableParagraph"/>
              <w:tabs>
                <w:tab w:val="left" w:pos="0"/>
              </w:tabs>
              <w:spacing w:line="276" w:lineRule="auto"/>
              <w:ind w:left="107"/>
              <w:rPr>
                <w:sz w:val="20"/>
                <w:szCs w:val="20"/>
                <w:lang w:val="mn-MN"/>
              </w:rPr>
            </w:pPr>
            <w:r w:rsidRPr="00EF2D2B">
              <w:rPr>
                <w:sz w:val="20"/>
                <w:szCs w:val="20"/>
                <w:lang w:val="mn-MN"/>
              </w:rPr>
              <w:t>m</w:t>
            </w:r>
          </w:p>
        </w:tc>
      </w:tr>
      <w:tr w:rsidR="00303019" w:rsidRPr="00EF2D2B" w:rsidTr="00D533FF">
        <w:tc>
          <w:tcPr>
            <w:tcW w:w="3066" w:type="dxa"/>
          </w:tcPr>
          <w:p w:rsidR="00303019" w:rsidRPr="00731F96" w:rsidRDefault="00303019" w:rsidP="00303019">
            <w:pPr>
              <w:pStyle w:val="TableParagraph"/>
              <w:tabs>
                <w:tab w:val="left" w:pos="0"/>
              </w:tabs>
              <w:spacing w:line="276" w:lineRule="auto"/>
              <w:ind w:left="105"/>
              <w:rPr>
                <w:sz w:val="20"/>
                <w:szCs w:val="20"/>
                <w:lang w:val="mn-MN"/>
              </w:rPr>
            </w:pPr>
            <w:r w:rsidRPr="00EF2D2B">
              <w:rPr>
                <w:sz w:val="20"/>
                <w:szCs w:val="20"/>
                <w:lang w:val="mn-MN"/>
              </w:rPr>
              <w:lastRenderedPageBreak/>
              <w:t>UDP – RFC 768</w:t>
            </w:r>
          </w:p>
        </w:tc>
        <w:tc>
          <w:tcPr>
            <w:tcW w:w="3068" w:type="dxa"/>
          </w:tcPr>
          <w:p w:rsidR="00303019" w:rsidRPr="00731F96" w:rsidRDefault="00303019" w:rsidP="00303019">
            <w:pPr>
              <w:pStyle w:val="TableParagraph"/>
              <w:tabs>
                <w:tab w:val="left" w:pos="0"/>
              </w:tabs>
              <w:spacing w:line="276" w:lineRule="auto"/>
              <w:ind w:left="105" w:right="280"/>
              <w:rPr>
                <w:sz w:val="20"/>
                <w:szCs w:val="20"/>
                <w:lang w:val="mn-MN"/>
              </w:rPr>
            </w:pPr>
            <w:r w:rsidRPr="00731F96">
              <w:rPr>
                <w:sz w:val="20"/>
                <w:szCs w:val="20"/>
                <w:lang w:val="mn-MN"/>
              </w:rPr>
              <w:t>User Datagram Protocol</w:t>
            </w:r>
          </w:p>
        </w:tc>
        <w:tc>
          <w:tcPr>
            <w:tcW w:w="3068" w:type="dxa"/>
          </w:tcPr>
          <w:p w:rsidR="00303019" w:rsidRPr="00EF2D2B" w:rsidRDefault="00303019" w:rsidP="00303019">
            <w:pPr>
              <w:pStyle w:val="TableParagraph"/>
              <w:tabs>
                <w:tab w:val="left" w:pos="0"/>
              </w:tabs>
              <w:spacing w:line="276" w:lineRule="auto"/>
              <w:ind w:left="108"/>
              <w:rPr>
                <w:sz w:val="20"/>
                <w:szCs w:val="20"/>
                <w:lang w:val="mn-MN"/>
              </w:rPr>
            </w:pPr>
            <w:r w:rsidRPr="00EF2D2B">
              <w:rPr>
                <w:sz w:val="20"/>
                <w:szCs w:val="20"/>
                <w:lang w:val="mn-MN"/>
              </w:rPr>
              <w:t>m</w:t>
            </w:r>
          </w:p>
        </w:tc>
      </w:tr>
    </w:tbl>
    <w:p w:rsidR="00303019" w:rsidRDefault="00303019" w:rsidP="00095C1D">
      <w:pPr>
        <w:tabs>
          <w:tab w:val="left" w:pos="142"/>
        </w:tabs>
        <w:ind w:left="142"/>
        <w:jc w:val="center"/>
      </w:pPr>
    </w:p>
    <w:tbl>
      <w:tblPr>
        <w:tblStyle w:val="TableGrid"/>
        <w:tblW w:w="0" w:type="auto"/>
        <w:tblInd w:w="142" w:type="dxa"/>
        <w:tblLook w:val="04A0" w:firstRow="1" w:lastRow="0" w:firstColumn="1" w:lastColumn="0" w:noHBand="0" w:noVBand="1"/>
      </w:tblPr>
      <w:tblGrid>
        <w:gridCol w:w="4623"/>
        <w:gridCol w:w="4579"/>
      </w:tblGrid>
      <w:tr w:rsidR="00303019" w:rsidTr="00303019">
        <w:tc>
          <w:tcPr>
            <w:tcW w:w="4672" w:type="dxa"/>
          </w:tcPr>
          <w:p w:rsidR="00303019" w:rsidRDefault="00303019" w:rsidP="00303019">
            <w:pPr>
              <w:tabs>
                <w:tab w:val="left" w:pos="142"/>
              </w:tabs>
              <w:ind w:left="0" w:firstLine="0"/>
              <w:rPr>
                <w:rFonts w:eastAsia="Calibri"/>
                <w:bCs/>
                <w:szCs w:val="22"/>
              </w:rPr>
            </w:pPr>
            <w:r w:rsidRPr="00303019">
              <w:rPr>
                <w:rFonts w:eastAsia="Calibri"/>
                <w:bCs/>
                <w:szCs w:val="22"/>
              </w:rPr>
              <w:t>GDOI-ийн хүсэлтийн дагуу хүрэх газрын порт нь IANA-ийн өгсөн 898 байх ёстой. Үүсгүүрпортыгдотооддоо төлөвлөх ба эдгээрийн тодорхойлолт нь энэхүү техникийн тайланд тусгагдаагүй.</w:t>
            </w:r>
          </w:p>
          <w:p w:rsidR="00303019" w:rsidRPr="00A660DC" w:rsidRDefault="00303019" w:rsidP="00303019">
            <w:pPr>
              <w:pStyle w:val="BodyText"/>
              <w:tabs>
                <w:tab w:val="left" w:pos="0"/>
              </w:tabs>
              <w:spacing w:before="11" w:line="276" w:lineRule="auto"/>
              <w:rPr>
                <w:b/>
                <w:sz w:val="24"/>
                <w:szCs w:val="24"/>
                <w:lang w:val="mn-MN"/>
              </w:rPr>
            </w:pPr>
            <w:r w:rsidRPr="00A660DC">
              <w:rPr>
                <w:b/>
                <w:sz w:val="24"/>
                <w:szCs w:val="24"/>
                <w:lang w:val="mn-MN"/>
              </w:rPr>
              <w:t xml:space="preserve">11.6.4  </w:t>
            </w:r>
            <w:r w:rsidRPr="00A660DC">
              <w:rPr>
                <w:b/>
                <w:spacing w:val="7"/>
                <w:sz w:val="24"/>
                <w:szCs w:val="24"/>
                <w:lang w:val="mn-MN"/>
              </w:rPr>
              <w:t>KDC-ийг дэмжих T-Profile (TCP ба UDP)</w:t>
            </w:r>
          </w:p>
          <w:p w:rsidR="00303019" w:rsidRPr="00D533FF" w:rsidRDefault="00303019" w:rsidP="00303019">
            <w:pPr>
              <w:tabs>
                <w:tab w:val="left" w:pos="142"/>
              </w:tabs>
              <w:ind w:left="0" w:firstLine="0"/>
              <w:rPr>
                <w:rFonts w:eastAsia="Calibri"/>
                <w:bCs/>
                <w:szCs w:val="22"/>
              </w:rPr>
            </w:pPr>
            <w:r w:rsidRPr="00303019">
              <w:rPr>
                <w:rFonts w:eastAsia="Calibri"/>
                <w:bCs/>
                <w:szCs w:val="22"/>
              </w:rPr>
              <w:t>GOOSE ба SV A-Профайлийг дэмждэг T-Профайл нь дараахь зүйлийг агуулна:</w:t>
            </w:r>
          </w:p>
        </w:tc>
        <w:tc>
          <w:tcPr>
            <w:tcW w:w="4672" w:type="dxa"/>
          </w:tcPr>
          <w:p w:rsidR="00303019" w:rsidRDefault="00303019" w:rsidP="00303019">
            <w:pPr>
              <w:tabs>
                <w:tab w:val="left" w:pos="142"/>
              </w:tabs>
              <w:ind w:left="0" w:firstLine="0"/>
              <w:rPr>
                <w:rFonts w:eastAsia="Calibri"/>
                <w:bCs/>
                <w:szCs w:val="22"/>
              </w:rPr>
            </w:pPr>
            <w:r w:rsidRPr="00303019">
              <w:rPr>
                <w:rFonts w:eastAsia="Calibri"/>
                <w:bCs/>
                <w:szCs w:val="22"/>
              </w:rPr>
              <w:t>The destination port, for GDOI requests, shall be 898 as assigned by IANA. The source ports shall be locally assigned and the specification of these is out of the scope of this Technical Report.</w:t>
            </w:r>
          </w:p>
          <w:p w:rsidR="00303019" w:rsidRPr="00731F96" w:rsidRDefault="00303019" w:rsidP="00303019">
            <w:pPr>
              <w:pStyle w:val="BodyText"/>
              <w:tabs>
                <w:tab w:val="left" w:pos="0"/>
              </w:tabs>
              <w:spacing w:before="11" w:line="276" w:lineRule="auto"/>
              <w:rPr>
                <w:b/>
                <w:sz w:val="24"/>
                <w:szCs w:val="24"/>
                <w:lang w:val="mn-MN"/>
              </w:rPr>
            </w:pPr>
            <w:r>
              <w:rPr>
                <w:b/>
                <w:sz w:val="24"/>
                <w:szCs w:val="24"/>
                <w:lang w:val="mn-MN"/>
              </w:rPr>
              <w:t>11.6.</w:t>
            </w:r>
            <w:r w:rsidRPr="00EF2D2B">
              <w:rPr>
                <w:b/>
                <w:sz w:val="24"/>
                <w:szCs w:val="24"/>
                <w:lang w:val="mn-MN"/>
              </w:rPr>
              <w:t>4 T-Profi</w:t>
            </w:r>
            <w:r>
              <w:rPr>
                <w:b/>
                <w:sz w:val="24"/>
                <w:szCs w:val="24"/>
                <w:lang w:val="mn-MN"/>
              </w:rPr>
              <w:t>le to support KDC (TCP and UDP)</w:t>
            </w:r>
          </w:p>
          <w:p w:rsidR="00303019" w:rsidRPr="00303019" w:rsidRDefault="00303019" w:rsidP="00303019">
            <w:pPr>
              <w:tabs>
                <w:tab w:val="left" w:pos="142"/>
              </w:tabs>
              <w:ind w:left="0" w:firstLine="0"/>
              <w:rPr>
                <w:rFonts w:eastAsia="Calibri"/>
                <w:bCs/>
                <w:szCs w:val="22"/>
              </w:rPr>
            </w:pPr>
            <w:r w:rsidRPr="00303019">
              <w:rPr>
                <w:rFonts w:eastAsia="Calibri"/>
                <w:bCs/>
                <w:szCs w:val="22"/>
              </w:rPr>
              <w:t>The T-Profile, supporting the GOOSE and SV A-Profile, includes:</w:t>
            </w:r>
          </w:p>
          <w:p w:rsidR="00303019" w:rsidRDefault="00303019" w:rsidP="00303019">
            <w:pPr>
              <w:tabs>
                <w:tab w:val="left" w:pos="142"/>
              </w:tabs>
              <w:ind w:left="0" w:firstLine="0"/>
            </w:pPr>
          </w:p>
        </w:tc>
      </w:tr>
    </w:tbl>
    <w:p w:rsidR="00303019" w:rsidRDefault="00303019" w:rsidP="00095C1D">
      <w:pPr>
        <w:tabs>
          <w:tab w:val="left" w:pos="142"/>
        </w:tabs>
        <w:ind w:left="142"/>
        <w:jc w:val="center"/>
      </w:pPr>
    </w:p>
    <w:tbl>
      <w:tblPr>
        <w:tblStyle w:val="TableGrid"/>
        <w:tblW w:w="0" w:type="auto"/>
        <w:tblInd w:w="142" w:type="dxa"/>
        <w:tblLook w:val="04A0" w:firstRow="1" w:lastRow="0" w:firstColumn="1" w:lastColumn="0" w:noHBand="0" w:noVBand="1"/>
      </w:tblPr>
      <w:tblGrid>
        <w:gridCol w:w="3066"/>
        <w:gridCol w:w="3068"/>
        <w:gridCol w:w="3068"/>
      </w:tblGrid>
      <w:tr w:rsidR="00966D1C" w:rsidTr="00966D1C">
        <w:tc>
          <w:tcPr>
            <w:tcW w:w="3066" w:type="dxa"/>
          </w:tcPr>
          <w:p w:rsidR="00966D1C" w:rsidRPr="00731F96" w:rsidRDefault="00966D1C" w:rsidP="00966D1C">
            <w:pPr>
              <w:pStyle w:val="TableParagraph"/>
              <w:tabs>
                <w:tab w:val="left" w:pos="0"/>
              </w:tabs>
              <w:spacing w:before="53" w:line="276" w:lineRule="auto"/>
              <w:ind w:left="561"/>
              <w:jc w:val="center"/>
              <w:rPr>
                <w:b/>
                <w:sz w:val="20"/>
                <w:szCs w:val="20"/>
                <w:lang w:val="mn-MN"/>
              </w:rPr>
            </w:pPr>
            <w:r w:rsidRPr="00731F96">
              <w:rPr>
                <w:b/>
                <w:sz w:val="20"/>
                <w:szCs w:val="20"/>
                <w:lang w:val="mn-MN"/>
              </w:rPr>
              <w:t>Протокол</w:t>
            </w:r>
          </w:p>
        </w:tc>
        <w:tc>
          <w:tcPr>
            <w:tcW w:w="3068" w:type="dxa"/>
          </w:tcPr>
          <w:p w:rsidR="00966D1C" w:rsidRPr="00EF2D2B" w:rsidRDefault="00966D1C" w:rsidP="00966D1C">
            <w:pPr>
              <w:pStyle w:val="TableParagraph"/>
              <w:tabs>
                <w:tab w:val="left" w:pos="0"/>
              </w:tabs>
              <w:spacing w:before="53" w:line="276" w:lineRule="auto"/>
              <w:ind w:left="434"/>
              <w:jc w:val="center"/>
              <w:rPr>
                <w:b/>
                <w:sz w:val="20"/>
                <w:szCs w:val="20"/>
                <w:lang w:val="mn-MN"/>
              </w:rPr>
            </w:pPr>
            <w:r w:rsidRPr="00EF2D2B">
              <w:rPr>
                <w:b/>
                <w:sz w:val="20"/>
                <w:szCs w:val="20"/>
                <w:lang w:val="mn-MN"/>
              </w:rPr>
              <w:t>Тайлбар</w:t>
            </w:r>
          </w:p>
        </w:tc>
        <w:tc>
          <w:tcPr>
            <w:tcW w:w="3068" w:type="dxa"/>
          </w:tcPr>
          <w:p w:rsidR="00966D1C" w:rsidRPr="00EF2D2B" w:rsidRDefault="00966D1C" w:rsidP="00966D1C">
            <w:pPr>
              <w:pStyle w:val="TableParagraph"/>
              <w:tabs>
                <w:tab w:val="left" w:pos="0"/>
              </w:tabs>
              <w:spacing w:before="53" w:line="276" w:lineRule="auto"/>
              <w:ind w:left="269"/>
              <w:jc w:val="center"/>
              <w:rPr>
                <w:b/>
                <w:sz w:val="20"/>
                <w:szCs w:val="20"/>
                <w:lang w:val="mn-MN"/>
              </w:rPr>
            </w:pPr>
            <w:r w:rsidRPr="00EF2D2B">
              <w:rPr>
                <w:b/>
                <w:sz w:val="20"/>
                <w:szCs w:val="20"/>
                <w:lang w:val="mn-MN"/>
              </w:rPr>
              <w:t>m/o</w:t>
            </w:r>
          </w:p>
        </w:tc>
      </w:tr>
      <w:tr w:rsidR="00966D1C" w:rsidTr="00966D1C">
        <w:tc>
          <w:tcPr>
            <w:tcW w:w="3066" w:type="dxa"/>
          </w:tcPr>
          <w:p w:rsidR="00966D1C" w:rsidRPr="00EF2D2B" w:rsidRDefault="00966D1C" w:rsidP="00966D1C">
            <w:pPr>
              <w:pStyle w:val="TableParagraph"/>
              <w:tabs>
                <w:tab w:val="left" w:pos="0"/>
              </w:tabs>
              <w:spacing w:line="276" w:lineRule="auto"/>
              <w:rPr>
                <w:sz w:val="20"/>
                <w:szCs w:val="20"/>
                <w:lang w:val="mn-MN"/>
              </w:rPr>
            </w:pPr>
            <w:r w:rsidRPr="00EF2D2B">
              <w:rPr>
                <w:sz w:val="20"/>
                <w:szCs w:val="20"/>
                <w:lang w:val="mn-MN"/>
              </w:rPr>
              <w:t>TCP – RFC 793</w:t>
            </w:r>
          </w:p>
        </w:tc>
        <w:tc>
          <w:tcPr>
            <w:tcW w:w="3068" w:type="dxa"/>
          </w:tcPr>
          <w:p w:rsidR="00966D1C" w:rsidRPr="00731F96" w:rsidRDefault="00966D1C" w:rsidP="00966D1C">
            <w:pPr>
              <w:pStyle w:val="TableParagraph"/>
              <w:tabs>
                <w:tab w:val="left" w:pos="0"/>
              </w:tabs>
              <w:spacing w:line="276" w:lineRule="auto"/>
              <w:ind w:right="280"/>
              <w:rPr>
                <w:sz w:val="20"/>
                <w:szCs w:val="20"/>
                <w:lang w:val="mn-MN"/>
              </w:rPr>
            </w:pPr>
            <w:r w:rsidRPr="00731F96">
              <w:rPr>
                <w:sz w:val="20"/>
                <w:szCs w:val="20"/>
                <w:lang w:val="mn-MN"/>
              </w:rPr>
              <w:t>Дамжуулалтыг Удирдах Протокол</w:t>
            </w:r>
          </w:p>
        </w:tc>
        <w:tc>
          <w:tcPr>
            <w:tcW w:w="3068" w:type="dxa"/>
          </w:tcPr>
          <w:p w:rsidR="00966D1C" w:rsidRPr="00EF2D2B" w:rsidRDefault="00966D1C" w:rsidP="00966D1C">
            <w:pPr>
              <w:pStyle w:val="TableParagraph"/>
              <w:tabs>
                <w:tab w:val="left" w:pos="0"/>
              </w:tabs>
              <w:spacing w:line="276" w:lineRule="auto"/>
              <w:rPr>
                <w:sz w:val="20"/>
                <w:szCs w:val="20"/>
                <w:lang w:val="mn-MN"/>
              </w:rPr>
            </w:pPr>
            <w:r w:rsidRPr="00EF2D2B">
              <w:rPr>
                <w:sz w:val="20"/>
                <w:szCs w:val="20"/>
                <w:lang w:val="mn-MN"/>
              </w:rPr>
              <w:t>m</w:t>
            </w:r>
          </w:p>
        </w:tc>
      </w:tr>
      <w:tr w:rsidR="00966D1C" w:rsidTr="00966D1C">
        <w:tc>
          <w:tcPr>
            <w:tcW w:w="3066" w:type="dxa"/>
          </w:tcPr>
          <w:p w:rsidR="00966D1C" w:rsidRPr="00EF2D2B" w:rsidRDefault="00966D1C" w:rsidP="00966D1C">
            <w:pPr>
              <w:pStyle w:val="TableParagraph"/>
              <w:tabs>
                <w:tab w:val="left" w:pos="0"/>
              </w:tabs>
              <w:spacing w:line="276" w:lineRule="auto"/>
              <w:rPr>
                <w:sz w:val="20"/>
                <w:szCs w:val="20"/>
                <w:lang w:val="mn-MN"/>
              </w:rPr>
            </w:pPr>
            <w:r w:rsidRPr="00EF2D2B">
              <w:rPr>
                <w:sz w:val="20"/>
                <w:szCs w:val="20"/>
                <w:lang w:val="mn-MN"/>
              </w:rPr>
              <w:t>UDP – RFC 768</w:t>
            </w:r>
          </w:p>
        </w:tc>
        <w:tc>
          <w:tcPr>
            <w:tcW w:w="3068" w:type="dxa"/>
          </w:tcPr>
          <w:p w:rsidR="00966D1C" w:rsidRPr="00731F96" w:rsidRDefault="00966D1C" w:rsidP="00966D1C">
            <w:pPr>
              <w:pStyle w:val="TableParagraph"/>
              <w:tabs>
                <w:tab w:val="left" w:pos="0"/>
              </w:tabs>
              <w:spacing w:line="276" w:lineRule="auto"/>
              <w:ind w:right="280"/>
              <w:rPr>
                <w:sz w:val="20"/>
                <w:szCs w:val="20"/>
                <w:lang w:val="mn-MN"/>
              </w:rPr>
            </w:pPr>
            <w:r w:rsidRPr="00731F96">
              <w:rPr>
                <w:sz w:val="20"/>
                <w:szCs w:val="20"/>
                <w:lang w:val="mn-MN"/>
              </w:rPr>
              <w:t>Хэрэглэгчийн Датаграм Протокол</w:t>
            </w:r>
          </w:p>
        </w:tc>
        <w:tc>
          <w:tcPr>
            <w:tcW w:w="3068" w:type="dxa"/>
          </w:tcPr>
          <w:p w:rsidR="00966D1C" w:rsidRPr="00EF2D2B" w:rsidRDefault="00966D1C" w:rsidP="00966D1C">
            <w:pPr>
              <w:pStyle w:val="TableParagraph"/>
              <w:tabs>
                <w:tab w:val="left" w:pos="0"/>
              </w:tabs>
              <w:spacing w:line="276" w:lineRule="auto"/>
              <w:rPr>
                <w:sz w:val="20"/>
                <w:szCs w:val="20"/>
                <w:lang w:val="mn-MN"/>
              </w:rPr>
            </w:pPr>
            <w:r w:rsidRPr="00EF2D2B">
              <w:rPr>
                <w:sz w:val="20"/>
                <w:szCs w:val="20"/>
                <w:lang w:val="mn-MN"/>
              </w:rPr>
              <w:t>m</w:t>
            </w:r>
          </w:p>
        </w:tc>
      </w:tr>
    </w:tbl>
    <w:p w:rsidR="00966D1C" w:rsidRDefault="00966D1C" w:rsidP="00095C1D">
      <w:pPr>
        <w:tabs>
          <w:tab w:val="left" w:pos="142"/>
        </w:tabs>
        <w:ind w:left="142"/>
        <w:jc w:val="center"/>
      </w:pPr>
    </w:p>
    <w:tbl>
      <w:tblPr>
        <w:tblStyle w:val="TableGrid"/>
        <w:tblW w:w="0" w:type="auto"/>
        <w:tblInd w:w="142" w:type="dxa"/>
        <w:tblLook w:val="04A0" w:firstRow="1" w:lastRow="0" w:firstColumn="1" w:lastColumn="0" w:noHBand="0" w:noVBand="1"/>
      </w:tblPr>
      <w:tblGrid>
        <w:gridCol w:w="3066"/>
        <w:gridCol w:w="3068"/>
        <w:gridCol w:w="3068"/>
      </w:tblGrid>
      <w:tr w:rsidR="00966D1C" w:rsidRPr="00EF2D2B" w:rsidTr="00CD1812">
        <w:tc>
          <w:tcPr>
            <w:tcW w:w="3066" w:type="dxa"/>
          </w:tcPr>
          <w:p w:rsidR="00966D1C" w:rsidRPr="00731F96" w:rsidRDefault="00966D1C" w:rsidP="00966D1C">
            <w:pPr>
              <w:pStyle w:val="TableParagraph"/>
              <w:tabs>
                <w:tab w:val="left" w:pos="0"/>
              </w:tabs>
              <w:spacing w:before="53" w:line="276" w:lineRule="auto"/>
              <w:ind w:left="561"/>
              <w:jc w:val="center"/>
              <w:rPr>
                <w:b/>
                <w:sz w:val="20"/>
                <w:szCs w:val="20"/>
                <w:lang w:val="mn-MN"/>
              </w:rPr>
            </w:pPr>
            <w:r w:rsidRPr="00731F96">
              <w:rPr>
                <w:b/>
                <w:sz w:val="20"/>
                <w:szCs w:val="20"/>
                <w:lang w:val="mn-MN"/>
              </w:rPr>
              <w:t>Protocol</w:t>
            </w:r>
          </w:p>
        </w:tc>
        <w:tc>
          <w:tcPr>
            <w:tcW w:w="3068" w:type="dxa"/>
          </w:tcPr>
          <w:p w:rsidR="00966D1C" w:rsidRPr="00EF2D2B" w:rsidRDefault="00966D1C" w:rsidP="00966D1C">
            <w:pPr>
              <w:pStyle w:val="TableParagraph"/>
              <w:tabs>
                <w:tab w:val="left" w:pos="0"/>
              </w:tabs>
              <w:spacing w:before="53" w:line="276" w:lineRule="auto"/>
              <w:ind w:left="434"/>
              <w:jc w:val="center"/>
              <w:rPr>
                <w:b/>
                <w:sz w:val="20"/>
                <w:szCs w:val="20"/>
                <w:lang w:val="mn-MN"/>
              </w:rPr>
            </w:pPr>
            <w:r w:rsidRPr="00EF2D2B">
              <w:rPr>
                <w:b/>
                <w:sz w:val="20"/>
                <w:szCs w:val="20"/>
                <w:lang w:val="mn-MN"/>
              </w:rPr>
              <w:t>Description</w:t>
            </w:r>
          </w:p>
        </w:tc>
        <w:tc>
          <w:tcPr>
            <w:tcW w:w="3068" w:type="dxa"/>
          </w:tcPr>
          <w:p w:rsidR="00966D1C" w:rsidRPr="00EF2D2B" w:rsidRDefault="00966D1C" w:rsidP="00966D1C">
            <w:pPr>
              <w:pStyle w:val="TableParagraph"/>
              <w:tabs>
                <w:tab w:val="left" w:pos="0"/>
              </w:tabs>
              <w:spacing w:before="53" w:line="276" w:lineRule="auto"/>
              <w:ind w:left="269"/>
              <w:jc w:val="center"/>
              <w:rPr>
                <w:b/>
                <w:sz w:val="20"/>
                <w:szCs w:val="20"/>
                <w:lang w:val="mn-MN"/>
              </w:rPr>
            </w:pPr>
            <w:r w:rsidRPr="00EF2D2B">
              <w:rPr>
                <w:b/>
                <w:sz w:val="20"/>
                <w:szCs w:val="20"/>
                <w:lang w:val="mn-MN"/>
              </w:rPr>
              <w:t>m/o</w:t>
            </w:r>
          </w:p>
        </w:tc>
      </w:tr>
      <w:tr w:rsidR="00966D1C" w:rsidRPr="00EF2D2B" w:rsidTr="00CD1812">
        <w:tc>
          <w:tcPr>
            <w:tcW w:w="3066" w:type="dxa"/>
          </w:tcPr>
          <w:p w:rsidR="00966D1C" w:rsidRPr="00EF2D2B" w:rsidRDefault="00966D1C" w:rsidP="00966D1C">
            <w:pPr>
              <w:pStyle w:val="TableParagraph"/>
              <w:tabs>
                <w:tab w:val="left" w:pos="0"/>
              </w:tabs>
              <w:spacing w:line="276" w:lineRule="auto"/>
              <w:rPr>
                <w:sz w:val="20"/>
                <w:szCs w:val="20"/>
                <w:lang w:val="mn-MN"/>
              </w:rPr>
            </w:pPr>
            <w:r w:rsidRPr="00EF2D2B">
              <w:rPr>
                <w:sz w:val="20"/>
                <w:szCs w:val="20"/>
                <w:lang w:val="mn-MN"/>
              </w:rPr>
              <w:t>TCP – RFC 793</w:t>
            </w:r>
          </w:p>
        </w:tc>
        <w:tc>
          <w:tcPr>
            <w:tcW w:w="3068" w:type="dxa"/>
          </w:tcPr>
          <w:p w:rsidR="00966D1C" w:rsidRPr="00EF2D2B" w:rsidRDefault="00966D1C" w:rsidP="00966D1C">
            <w:pPr>
              <w:pStyle w:val="TableParagraph"/>
              <w:tabs>
                <w:tab w:val="left" w:pos="0"/>
              </w:tabs>
              <w:spacing w:line="276" w:lineRule="auto"/>
              <w:ind w:right="280"/>
              <w:rPr>
                <w:sz w:val="20"/>
                <w:szCs w:val="20"/>
                <w:lang w:val="mn-MN"/>
              </w:rPr>
            </w:pPr>
            <w:r w:rsidRPr="00731F96">
              <w:rPr>
                <w:sz w:val="20"/>
                <w:szCs w:val="20"/>
                <w:lang w:val="mn-MN"/>
              </w:rPr>
              <w:t>Transmissi</w:t>
            </w:r>
            <w:r w:rsidRPr="00EF2D2B">
              <w:rPr>
                <w:sz w:val="20"/>
                <w:szCs w:val="20"/>
                <w:lang w:val="mn-MN"/>
              </w:rPr>
              <w:t>on Control Protocol</w:t>
            </w:r>
          </w:p>
        </w:tc>
        <w:tc>
          <w:tcPr>
            <w:tcW w:w="3068" w:type="dxa"/>
          </w:tcPr>
          <w:p w:rsidR="00966D1C" w:rsidRPr="00EF2D2B" w:rsidRDefault="00966D1C" w:rsidP="00966D1C">
            <w:pPr>
              <w:pStyle w:val="TableParagraph"/>
              <w:tabs>
                <w:tab w:val="left" w:pos="0"/>
              </w:tabs>
              <w:spacing w:line="276" w:lineRule="auto"/>
              <w:rPr>
                <w:sz w:val="20"/>
                <w:szCs w:val="20"/>
                <w:lang w:val="mn-MN"/>
              </w:rPr>
            </w:pPr>
            <w:r w:rsidRPr="00EF2D2B">
              <w:rPr>
                <w:sz w:val="20"/>
                <w:szCs w:val="20"/>
                <w:lang w:val="mn-MN"/>
              </w:rPr>
              <w:t>m</w:t>
            </w:r>
          </w:p>
        </w:tc>
      </w:tr>
      <w:tr w:rsidR="00966D1C" w:rsidRPr="00EF2D2B" w:rsidTr="00CD1812">
        <w:tc>
          <w:tcPr>
            <w:tcW w:w="3066" w:type="dxa"/>
          </w:tcPr>
          <w:p w:rsidR="00966D1C" w:rsidRPr="00EF2D2B" w:rsidRDefault="00966D1C" w:rsidP="00966D1C">
            <w:pPr>
              <w:pStyle w:val="TableParagraph"/>
              <w:tabs>
                <w:tab w:val="left" w:pos="0"/>
              </w:tabs>
              <w:spacing w:line="276" w:lineRule="auto"/>
              <w:rPr>
                <w:sz w:val="20"/>
                <w:szCs w:val="20"/>
                <w:lang w:val="mn-MN"/>
              </w:rPr>
            </w:pPr>
            <w:r w:rsidRPr="00EF2D2B">
              <w:rPr>
                <w:sz w:val="20"/>
                <w:szCs w:val="20"/>
                <w:lang w:val="mn-MN"/>
              </w:rPr>
              <w:t>UDP – RFC 768</w:t>
            </w:r>
          </w:p>
        </w:tc>
        <w:tc>
          <w:tcPr>
            <w:tcW w:w="3068" w:type="dxa"/>
          </w:tcPr>
          <w:p w:rsidR="00966D1C" w:rsidRPr="00731F96" w:rsidRDefault="00966D1C" w:rsidP="00966D1C">
            <w:pPr>
              <w:pStyle w:val="TableParagraph"/>
              <w:tabs>
                <w:tab w:val="left" w:pos="0"/>
              </w:tabs>
              <w:spacing w:line="276" w:lineRule="auto"/>
              <w:ind w:right="280"/>
              <w:rPr>
                <w:sz w:val="20"/>
                <w:szCs w:val="20"/>
                <w:lang w:val="mn-MN"/>
              </w:rPr>
            </w:pPr>
            <w:r w:rsidRPr="00731F96">
              <w:rPr>
                <w:sz w:val="20"/>
                <w:szCs w:val="20"/>
                <w:lang w:val="mn-MN"/>
              </w:rPr>
              <w:t>User Datagram Protocol</w:t>
            </w:r>
          </w:p>
        </w:tc>
        <w:tc>
          <w:tcPr>
            <w:tcW w:w="3068" w:type="dxa"/>
          </w:tcPr>
          <w:p w:rsidR="00966D1C" w:rsidRPr="00EF2D2B" w:rsidRDefault="00966D1C" w:rsidP="00966D1C">
            <w:pPr>
              <w:pStyle w:val="TableParagraph"/>
              <w:tabs>
                <w:tab w:val="left" w:pos="0"/>
              </w:tabs>
              <w:spacing w:line="276" w:lineRule="auto"/>
              <w:rPr>
                <w:sz w:val="20"/>
                <w:szCs w:val="20"/>
                <w:lang w:val="mn-MN"/>
              </w:rPr>
            </w:pPr>
            <w:r w:rsidRPr="00EF2D2B">
              <w:rPr>
                <w:sz w:val="20"/>
                <w:szCs w:val="20"/>
                <w:lang w:val="mn-MN"/>
              </w:rPr>
              <w:t>m</w:t>
            </w:r>
          </w:p>
        </w:tc>
      </w:tr>
    </w:tbl>
    <w:p w:rsidR="00966D1C" w:rsidRDefault="00966D1C"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966D1C" w:rsidTr="00966D1C">
        <w:tc>
          <w:tcPr>
            <w:tcW w:w="4601" w:type="dxa"/>
          </w:tcPr>
          <w:p w:rsidR="00966D1C" w:rsidRPr="00966D1C" w:rsidRDefault="00966D1C" w:rsidP="00966D1C">
            <w:pPr>
              <w:tabs>
                <w:tab w:val="left" w:pos="142"/>
              </w:tabs>
              <w:ind w:left="0" w:firstLine="0"/>
              <w:rPr>
                <w:rFonts w:eastAsia="Calibri"/>
                <w:bCs/>
                <w:szCs w:val="22"/>
              </w:rPr>
            </w:pPr>
            <w:r w:rsidRPr="003C1E2E">
              <w:rPr>
                <w:rFonts w:eastAsia="Calibri"/>
                <w:bCs/>
                <w:szCs w:val="22"/>
                <w:highlight w:val="yellow"/>
              </w:rPr>
              <w:t>Товлосон порт</w:t>
            </w:r>
            <w:r w:rsidRPr="00966D1C">
              <w:rPr>
                <w:rFonts w:eastAsia="Calibri"/>
                <w:bCs/>
                <w:szCs w:val="22"/>
              </w:rPr>
              <w:t xml:space="preserve"> нь RFC 1240-д за</w:t>
            </w:r>
            <w:r w:rsidR="003C1E2E">
              <w:rPr>
                <w:rFonts w:eastAsia="Calibri"/>
                <w:bCs/>
                <w:szCs w:val="22"/>
              </w:rPr>
              <w:t>асны дагуу 465-р порт байна</w:t>
            </w:r>
            <w:r w:rsidRPr="00966D1C">
              <w:rPr>
                <w:rFonts w:eastAsia="Calibri"/>
                <w:bCs/>
                <w:szCs w:val="22"/>
              </w:rPr>
              <w:t>. Эх үүсвэрийн портыг бүс нутагт хуваарилах ёстой бөгөөд эдгээрийн тодорхойлолт нь энэхүү Техникийн тайланд хамаарахгүй.</w:t>
            </w:r>
          </w:p>
          <w:p w:rsidR="00966D1C" w:rsidRPr="00966D1C" w:rsidRDefault="00966D1C" w:rsidP="00966D1C">
            <w:pPr>
              <w:tabs>
                <w:tab w:val="left" w:pos="142"/>
              </w:tabs>
              <w:ind w:left="0" w:firstLine="0"/>
              <w:rPr>
                <w:rFonts w:eastAsia="Calibri"/>
                <w:b/>
                <w:bCs/>
                <w:szCs w:val="22"/>
              </w:rPr>
            </w:pPr>
            <w:r w:rsidRPr="00966D1C">
              <w:rPr>
                <w:rFonts w:eastAsia="Calibri"/>
                <w:b/>
                <w:bCs/>
                <w:szCs w:val="22"/>
              </w:rPr>
              <w:t>11.6.5 Нийтлэг T-Профайл стандартууд</w:t>
            </w:r>
          </w:p>
          <w:p w:rsidR="00966D1C" w:rsidRPr="00966D1C" w:rsidRDefault="00966D1C" w:rsidP="00966D1C">
            <w:pPr>
              <w:tabs>
                <w:tab w:val="left" w:pos="142"/>
              </w:tabs>
              <w:ind w:left="0" w:firstLine="0"/>
              <w:rPr>
                <w:rFonts w:eastAsia="Calibri"/>
                <w:b/>
                <w:bCs/>
                <w:szCs w:val="22"/>
              </w:rPr>
            </w:pPr>
            <w:r w:rsidRPr="00966D1C">
              <w:rPr>
                <w:rFonts w:eastAsia="Calibri"/>
                <w:b/>
                <w:bCs/>
                <w:szCs w:val="22"/>
              </w:rPr>
              <w:t>11.6.5.1 Ерөнхий</w:t>
            </w:r>
          </w:p>
          <w:p w:rsidR="00966D1C" w:rsidRPr="00966D1C" w:rsidRDefault="00966D1C" w:rsidP="00966D1C">
            <w:pPr>
              <w:tabs>
                <w:tab w:val="left" w:pos="142"/>
              </w:tabs>
              <w:ind w:left="0" w:firstLine="0"/>
              <w:rPr>
                <w:rFonts w:eastAsia="Calibri"/>
                <w:bCs/>
                <w:szCs w:val="22"/>
              </w:rPr>
            </w:pPr>
            <w:r w:rsidRPr="00966D1C">
              <w:rPr>
                <w:rFonts w:eastAsia="Calibri"/>
                <w:bCs/>
                <w:szCs w:val="22"/>
              </w:rPr>
              <w:t xml:space="preserve">Дараах дэд бүлгүүдэд ашиглагдах T-Profileстандартуудын нийтлэг багцыг тайлбарласан болно. </w:t>
            </w:r>
          </w:p>
          <w:p w:rsidR="00966D1C" w:rsidRPr="00966D1C" w:rsidRDefault="00966D1C" w:rsidP="00966D1C">
            <w:pPr>
              <w:tabs>
                <w:tab w:val="left" w:pos="142"/>
              </w:tabs>
              <w:ind w:left="0" w:firstLine="0"/>
              <w:rPr>
                <w:rFonts w:eastAsia="Calibri"/>
                <w:b/>
                <w:bCs/>
                <w:szCs w:val="22"/>
              </w:rPr>
            </w:pPr>
            <w:r w:rsidRPr="00966D1C">
              <w:rPr>
                <w:rFonts w:eastAsia="Calibri"/>
                <w:b/>
                <w:bCs/>
                <w:szCs w:val="22"/>
              </w:rPr>
              <w:t>11.6.5.2 IPv4 дээр суурилсан сүлжээний давхарга (заавал)</w:t>
            </w:r>
          </w:p>
          <w:p w:rsidR="00966D1C" w:rsidRPr="00966D1C" w:rsidRDefault="00966D1C" w:rsidP="00966D1C">
            <w:pPr>
              <w:tabs>
                <w:tab w:val="left" w:pos="142"/>
              </w:tabs>
              <w:ind w:left="0" w:firstLine="0"/>
              <w:rPr>
                <w:rFonts w:eastAsia="Calibri"/>
                <w:bCs/>
                <w:szCs w:val="22"/>
              </w:rPr>
            </w:pPr>
            <w:r w:rsidRPr="00966D1C">
              <w:rPr>
                <w:rFonts w:eastAsia="Calibri"/>
                <w:bCs/>
                <w:szCs w:val="22"/>
              </w:rPr>
              <w:t xml:space="preserve">Network Layer протоколууд нь T-Профайл-уудын хооронд түгээмэл байдаг. Гэсэн хэдий ч сүлжээний давхаргыг IPv4 ба IPv6-ийн дэмжлэг болгон хувааж болно (Хавсралт D-ийг </w:t>
            </w:r>
            <w:r w:rsidRPr="00966D1C">
              <w:rPr>
                <w:rFonts w:eastAsia="Calibri"/>
                <w:bCs/>
                <w:szCs w:val="22"/>
              </w:rPr>
              <w:lastRenderedPageBreak/>
              <w:t xml:space="preserve">үзнэ үү). Энэхүү Техникийн тайланд нийцэхийг шаардсан хэрэгжүүлэлтүүд хамгийн багадаа IPv4-ийг дэмжинэ. </w:t>
            </w:r>
          </w:p>
          <w:p w:rsidR="00966D1C" w:rsidRPr="00966D1C" w:rsidRDefault="00966D1C" w:rsidP="00966D1C">
            <w:pPr>
              <w:tabs>
                <w:tab w:val="left" w:pos="142"/>
              </w:tabs>
              <w:ind w:left="0" w:firstLine="0"/>
              <w:rPr>
                <w:rFonts w:eastAsia="Calibri"/>
                <w:bCs/>
                <w:szCs w:val="22"/>
              </w:rPr>
            </w:pPr>
            <w:r w:rsidRPr="00966D1C">
              <w:rPr>
                <w:rFonts w:eastAsia="Calibri"/>
                <w:bCs/>
                <w:szCs w:val="22"/>
              </w:rPr>
              <w:t>Энэхүү Техникийн тайланд нийцэхийг шаардсан хэрэгжүүлэлтүүд Хүснэгт 16-д харуулсан сүлжээний давхаргын протоколыг хэрэгжүүлнэ.</w:t>
            </w:r>
          </w:p>
        </w:tc>
        <w:tc>
          <w:tcPr>
            <w:tcW w:w="4601" w:type="dxa"/>
          </w:tcPr>
          <w:p w:rsidR="00966D1C" w:rsidRPr="00966D1C" w:rsidRDefault="00966D1C" w:rsidP="00966D1C">
            <w:pPr>
              <w:tabs>
                <w:tab w:val="left" w:pos="142"/>
              </w:tabs>
              <w:ind w:left="0" w:firstLine="0"/>
              <w:rPr>
                <w:rFonts w:eastAsia="Calibri"/>
                <w:bCs/>
                <w:szCs w:val="22"/>
                <w:lang w:val="en-US"/>
              </w:rPr>
            </w:pPr>
            <w:bookmarkStart w:id="61" w:name="_TOC_250007"/>
            <w:r w:rsidRPr="00966D1C">
              <w:rPr>
                <w:rFonts w:eastAsia="Calibri"/>
                <w:bCs/>
                <w:szCs w:val="22"/>
                <w:lang w:val="en-US"/>
              </w:rPr>
              <w:lastRenderedPageBreak/>
              <w:t xml:space="preserve">The </w:t>
            </w:r>
            <w:r w:rsidRPr="003C1E2E">
              <w:rPr>
                <w:rFonts w:eastAsia="Calibri"/>
                <w:bCs/>
                <w:szCs w:val="22"/>
                <w:highlight w:val="yellow"/>
                <w:lang w:val="en-US"/>
              </w:rPr>
              <w:t>Destination Port</w:t>
            </w:r>
            <w:r w:rsidRPr="00966D1C">
              <w:rPr>
                <w:rFonts w:eastAsia="Calibri"/>
                <w:bCs/>
                <w:szCs w:val="22"/>
                <w:lang w:val="en-US"/>
              </w:rPr>
              <w:t xml:space="preserve"> shall be port 465 as prescribed by RFC 1240. The source port shall be locally assigned and the specification of these is out the scope of this Technical Report.</w:t>
            </w:r>
          </w:p>
          <w:p w:rsidR="00966D1C" w:rsidRPr="00966D1C" w:rsidRDefault="00966D1C" w:rsidP="00966D1C">
            <w:pPr>
              <w:tabs>
                <w:tab w:val="left" w:pos="142"/>
              </w:tabs>
              <w:ind w:left="0" w:firstLine="0"/>
              <w:rPr>
                <w:rFonts w:eastAsia="Calibri"/>
                <w:b/>
                <w:bCs/>
                <w:szCs w:val="22"/>
              </w:rPr>
            </w:pPr>
            <w:r w:rsidRPr="00966D1C">
              <w:rPr>
                <w:rFonts w:eastAsia="Calibri"/>
                <w:b/>
                <w:bCs/>
                <w:szCs w:val="22"/>
              </w:rPr>
              <w:t xml:space="preserve">11.6.5 Common T-Profile </w:t>
            </w:r>
            <w:bookmarkEnd w:id="61"/>
            <w:r w:rsidRPr="00966D1C">
              <w:rPr>
                <w:rFonts w:eastAsia="Calibri"/>
                <w:b/>
                <w:bCs/>
                <w:szCs w:val="22"/>
              </w:rPr>
              <w:t>standards</w:t>
            </w:r>
          </w:p>
          <w:p w:rsidR="00966D1C" w:rsidRPr="00966D1C" w:rsidRDefault="00966D1C" w:rsidP="00966D1C">
            <w:pPr>
              <w:tabs>
                <w:tab w:val="left" w:pos="142"/>
              </w:tabs>
              <w:ind w:left="0" w:firstLine="0"/>
              <w:rPr>
                <w:rFonts w:eastAsia="Calibri"/>
                <w:b/>
                <w:bCs/>
                <w:szCs w:val="22"/>
              </w:rPr>
            </w:pPr>
            <w:r w:rsidRPr="00966D1C">
              <w:rPr>
                <w:rFonts w:eastAsia="Calibri"/>
                <w:b/>
                <w:bCs/>
                <w:szCs w:val="22"/>
              </w:rPr>
              <w:t>11.6.5.1 General</w:t>
            </w:r>
          </w:p>
          <w:p w:rsidR="00966D1C" w:rsidRPr="00966D1C" w:rsidRDefault="00966D1C" w:rsidP="00966D1C">
            <w:pPr>
              <w:tabs>
                <w:tab w:val="left" w:pos="142"/>
              </w:tabs>
              <w:ind w:left="0" w:firstLine="0"/>
              <w:rPr>
                <w:rFonts w:eastAsia="Calibri"/>
                <w:bCs/>
                <w:szCs w:val="22"/>
              </w:rPr>
            </w:pPr>
            <w:r w:rsidRPr="00966D1C">
              <w:rPr>
                <w:rFonts w:eastAsia="Calibri"/>
                <w:bCs/>
                <w:szCs w:val="22"/>
              </w:rPr>
              <w:t>The following subclauses describe the common set of T-Profile standards that are to  be utilized.</w:t>
            </w:r>
          </w:p>
          <w:p w:rsidR="00966D1C" w:rsidRPr="00966D1C" w:rsidRDefault="00966D1C" w:rsidP="00966D1C">
            <w:pPr>
              <w:tabs>
                <w:tab w:val="left" w:pos="142"/>
              </w:tabs>
              <w:ind w:left="0" w:firstLine="0"/>
              <w:rPr>
                <w:rFonts w:eastAsia="Calibri"/>
                <w:b/>
                <w:bCs/>
                <w:szCs w:val="22"/>
                <w:lang w:val="en-US"/>
              </w:rPr>
            </w:pPr>
            <w:r w:rsidRPr="00966D1C">
              <w:rPr>
                <w:rFonts w:eastAsia="Calibri"/>
                <w:b/>
                <w:bCs/>
                <w:szCs w:val="22"/>
              </w:rPr>
              <w:t>11.6.5.2 IPv4 based network layer (mandatory</w:t>
            </w:r>
            <w:r>
              <w:rPr>
                <w:rFonts w:eastAsia="Calibri"/>
                <w:b/>
                <w:bCs/>
                <w:szCs w:val="22"/>
                <w:lang w:val="en-US"/>
              </w:rPr>
              <w:t>)</w:t>
            </w:r>
          </w:p>
          <w:p w:rsidR="00966D1C" w:rsidRPr="00966D1C" w:rsidRDefault="00966D1C" w:rsidP="00966D1C">
            <w:pPr>
              <w:tabs>
                <w:tab w:val="left" w:pos="142"/>
              </w:tabs>
              <w:ind w:left="0" w:firstLine="0"/>
              <w:rPr>
                <w:rFonts w:eastAsia="Calibri"/>
                <w:bCs/>
                <w:szCs w:val="22"/>
              </w:rPr>
            </w:pPr>
            <w:r w:rsidRPr="00966D1C">
              <w:rPr>
                <w:rFonts w:eastAsia="Calibri"/>
                <w:bCs/>
                <w:szCs w:val="22"/>
              </w:rPr>
              <w:t>The Network Layer protocols are common between the T-Profiles. However, the network layer may be differentiated into support for IPv4 and IPv6 (see Annex D). Implementations claiming conformance to this Technical Report shall support IPv4 at a minimum.</w:t>
            </w:r>
          </w:p>
          <w:p w:rsidR="00966D1C" w:rsidRPr="00966D1C" w:rsidRDefault="00966D1C" w:rsidP="00966D1C">
            <w:pPr>
              <w:tabs>
                <w:tab w:val="left" w:pos="142"/>
              </w:tabs>
              <w:ind w:left="0" w:firstLine="0"/>
              <w:rPr>
                <w:rFonts w:eastAsia="Calibri"/>
                <w:bCs/>
                <w:szCs w:val="22"/>
              </w:rPr>
            </w:pPr>
            <w:r w:rsidRPr="00966D1C">
              <w:rPr>
                <w:rFonts w:eastAsia="Calibri"/>
                <w:bCs/>
                <w:szCs w:val="22"/>
              </w:rPr>
              <w:lastRenderedPageBreak/>
              <w:t xml:space="preserve">Implementations claiming conformance to this Technical Report shall implement the network layer protocols shown in </w:t>
            </w:r>
            <w:hyperlink w:anchor="_bookmark66" w:history="1">
              <w:r w:rsidRPr="00966D1C">
                <w:rPr>
                  <w:rFonts w:eastAsia="Calibri"/>
                  <w:bCs/>
                  <w:szCs w:val="22"/>
                </w:rPr>
                <w:t>Table 16.</w:t>
              </w:r>
            </w:hyperlink>
          </w:p>
          <w:p w:rsidR="00966D1C" w:rsidRPr="00966D1C" w:rsidRDefault="00966D1C" w:rsidP="00966D1C">
            <w:pPr>
              <w:tabs>
                <w:tab w:val="left" w:pos="142"/>
              </w:tabs>
              <w:ind w:left="0" w:firstLine="0"/>
              <w:rPr>
                <w:rFonts w:eastAsia="Calibri"/>
                <w:bCs/>
                <w:szCs w:val="22"/>
              </w:rPr>
            </w:pPr>
          </w:p>
        </w:tc>
      </w:tr>
    </w:tbl>
    <w:p w:rsidR="003C1E2E" w:rsidRDefault="003C1E2E" w:rsidP="003C1E2E">
      <w:pPr>
        <w:tabs>
          <w:tab w:val="left" w:pos="142"/>
        </w:tabs>
        <w:ind w:left="142"/>
        <w:jc w:val="center"/>
        <w:rPr>
          <w:b/>
          <w:lang w:val="en-US"/>
        </w:rPr>
      </w:pPr>
    </w:p>
    <w:p w:rsidR="003C1E2E" w:rsidRPr="003C1E2E" w:rsidRDefault="003C1E2E" w:rsidP="003C1E2E">
      <w:pPr>
        <w:tabs>
          <w:tab w:val="left" w:pos="142"/>
        </w:tabs>
        <w:ind w:left="142"/>
        <w:jc w:val="center"/>
        <w:rPr>
          <w:b/>
          <w:lang w:val="en-US"/>
        </w:rPr>
      </w:pPr>
      <w:r w:rsidRPr="003C1E2E">
        <w:rPr>
          <w:b/>
        </w:rPr>
        <w:t>16-р хүснэгт – IPv4 дээр суурилсан T-Профайлуудын сүлжээний протоколын нийцлийн тайлан (PICS)</w:t>
      </w:r>
    </w:p>
    <w:tbl>
      <w:tblPr>
        <w:tblStyle w:val="TableGrid"/>
        <w:tblW w:w="0" w:type="auto"/>
        <w:tblInd w:w="142" w:type="dxa"/>
        <w:tblLook w:val="04A0" w:firstRow="1" w:lastRow="0" w:firstColumn="1" w:lastColumn="0" w:noHBand="0" w:noVBand="1"/>
      </w:tblPr>
      <w:tblGrid>
        <w:gridCol w:w="3068"/>
        <w:gridCol w:w="3078"/>
        <w:gridCol w:w="3056"/>
      </w:tblGrid>
      <w:tr w:rsidR="003C1E2E" w:rsidTr="00CD1812">
        <w:tc>
          <w:tcPr>
            <w:tcW w:w="3114" w:type="dxa"/>
          </w:tcPr>
          <w:p w:rsidR="003C1E2E" w:rsidRPr="003C1E2E" w:rsidRDefault="003C1E2E" w:rsidP="00CD1812">
            <w:pPr>
              <w:tabs>
                <w:tab w:val="left" w:pos="142"/>
              </w:tabs>
              <w:ind w:left="0" w:firstLine="0"/>
              <w:jc w:val="center"/>
              <w:rPr>
                <w:b/>
                <w:sz w:val="20"/>
                <w:szCs w:val="20"/>
              </w:rPr>
            </w:pPr>
            <w:r>
              <w:rPr>
                <w:b/>
                <w:sz w:val="20"/>
                <w:szCs w:val="20"/>
              </w:rPr>
              <w:t xml:space="preserve">Протокол </w:t>
            </w:r>
          </w:p>
        </w:tc>
        <w:tc>
          <w:tcPr>
            <w:tcW w:w="3115" w:type="dxa"/>
          </w:tcPr>
          <w:p w:rsidR="003C1E2E" w:rsidRPr="003C1E2E" w:rsidRDefault="003C1E2E" w:rsidP="003C1E2E">
            <w:pPr>
              <w:tabs>
                <w:tab w:val="left" w:pos="142"/>
              </w:tabs>
              <w:ind w:left="0" w:firstLine="0"/>
              <w:jc w:val="center"/>
              <w:rPr>
                <w:b/>
                <w:sz w:val="20"/>
                <w:szCs w:val="20"/>
                <w:lang w:val="en-US"/>
              </w:rPr>
            </w:pPr>
            <w:r>
              <w:rPr>
                <w:b/>
                <w:sz w:val="20"/>
                <w:szCs w:val="20"/>
              </w:rPr>
              <w:t>тайлбар</w:t>
            </w:r>
            <w:r w:rsidRPr="003C1E2E">
              <w:rPr>
                <w:b/>
                <w:sz w:val="20"/>
                <w:szCs w:val="20"/>
                <w:lang w:val="en-US"/>
              </w:rPr>
              <w:t xml:space="preserve"> </w:t>
            </w:r>
          </w:p>
        </w:tc>
        <w:tc>
          <w:tcPr>
            <w:tcW w:w="3115" w:type="dxa"/>
          </w:tcPr>
          <w:p w:rsidR="003C1E2E" w:rsidRPr="003C1E2E" w:rsidRDefault="003C1E2E" w:rsidP="00CD1812">
            <w:pPr>
              <w:tabs>
                <w:tab w:val="left" w:pos="142"/>
              </w:tabs>
              <w:ind w:left="0" w:firstLine="0"/>
              <w:jc w:val="center"/>
              <w:rPr>
                <w:b/>
                <w:sz w:val="20"/>
                <w:szCs w:val="20"/>
                <w:lang w:val="en-US"/>
              </w:rPr>
            </w:pPr>
            <w:r w:rsidRPr="003C1E2E">
              <w:rPr>
                <w:b/>
                <w:sz w:val="20"/>
                <w:szCs w:val="20"/>
                <w:lang w:val="en-US"/>
              </w:rPr>
              <w:t>m/o</w:t>
            </w:r>
          </w:p>
        </w:tc>
      </w:tr>
      <w:tr w:rsidR="003C1E2E" w:rsidTr="00CD1812">
        <w:tc>
          <w:tcPr>
            <w:tcW w:w="3114" w:type="dxa"/>
          </w:tcPr>
          <w:p w:rsidR="003C1E2E" w:rsidRPr="003C1E2E" w:rsidRDefault="003C1E2E" w:rsidP="00CD1812">
            <w:pPr>
              <w:tabs>
                <w:tab w:val="left" w:pos="142"/>
              </w:tabs>
              <w:ind w:left="0" w:firstLine="0"/>
              <w:jc w:val="center"/>
              <w:rPr>
                <w:sz w:val="20"/>
                <w:szCs w:val="20"/>
                <w:lang w:val="en-US"/>
              </w:rPr>
            </w:pPr>
            <w:r w:rsidRPr="003C1E2E">
              <w:rPr>
                <w:sz w:val="20"/>
                <w:szCs w:val="20"/>
                <w:lang w:val="en-US"/>
              </w:rPr>
              <w:t>RFC 791</w:t>
            </w:r>
          </w:p>
        </w:tc>
        <w:tc>
          <w:tcPr>
            <w:tcW w:w="3115" w:type="dxa"/>
          </w:tcPr>
          <w:p w:rsidR="003C1E2E" w:rsidRPr="003C1E2E" w:rsidRDefault="00B70A0D" w:rsidP="00CD1812">
            <w:pPr>
              <w:tabs>
                <w:tab w:val="left" w:pos="142"/>
              </w:tabs>
              <w:ind w:left="0" w:firstLine="0"/>
              <w:jc w:val="center"/>
              <w:rPr>
                <w:sz w:val="20"/>
                <w:szCs w:val="20"/>
                <w:lang w:val="en-US"/>
              </w:rPr>
            </w:pPr>
            <w:r w:rsidRPr="00B70A0D">
              <w:rPr>
                <w:sz w:val="20"/>
                <w:szCs w:val="20"/>
                <w:lang w:val="en-US"/>
              </w:rPr>
              <w:t>Дотоод сүлжээний протокол</w:t>
            </w:r>
          </w:p>
        </w:tc>
        <w:tc>
          <w:tcPr>
            <w:tcW w:w="3115" w:type="dxa"/>
          </w:tcPr>
          <w:p w:rsidR="003C1E2E" w:rsidRPr="003C1E2E" w:rsidRDefault="003C1E2E" w:rsidP="00CD1812">
            <w:pPr>
              <w:tabs>
                <w:tab w:val="left" w:pos="142"/>
              </w:tabs>
              <w:ind w:left="0" w:firstLine="0"/>
              <w:jc w:val="center"/>
              <w:rPr>
                <w:sz w:val="20"/>
                <w:szCs w:val="20"/>
                <w:lang w:val="en-US"/>
              </w:rPr>
            </w:pPr>
            <w:r w:rsidRPr="003C1E2E">
              <w:rPr>
                <w:sz w:val="20"/>
                <w:szCs w:val="20"/>
                <w:lang w:val="en-US"/>
              </w:rPr>
              <w:t>m</w:t>
            </w:r>
          </w:p>
        </w:tc>
      </w:tr>
      <w:tr w:rsidR="003C1E2E" w:rsidTr="00CD1812">
        <w:tc>
          <w:tcPr>
            <w:tcW w:w="3114" w:type="dxa"/>
          </w:tcPr>
          <w:p w:rsidR="003C1E2E" w:rsidRPr="003C1E2E" w:rsidRDefault="003C1E2E" w:rsidP="00CD1812">
            <w:pPr>
              <w:tabs>
                <w:tab w:val="left" w:pos="142"/>
              </w:tabs>
              <w:ind w:left="0" w:firstLine="0"/>
              <w:jc w:val="center"/>
              <w:rPr>
                <w:sz w:val="20"/>
                <w:szCs w:val="20"/>
                <w:lang w:val="en-US"/>
              </w:rPr>
            </w:pPr>
            <w:r>
              <w:rPr>
                <w:sz w:val="20"/>
                <w:szCs w:val="20"/>
                <w:lang w:val="en-US"/>
              </w:rPr>
              <w:t>RFC 826</w:t>
            </w:r>
          </w:p>
        </w:tc>
        <w:tc>
          <w:tcPr>
            <w:tcW w:w="3115" w:type="dxa"/>
          </w:tcPr>
          <w:p w:rsidR="003C1E2E" w:rsidRPr="003C1E2E" w:rsidRDefault="00B70A0D" w:rsidP="00CD1812">
            <w:pPr>
              <w:tabs>
                <w:tab w:val="left" w:pos="142"/>
              </w:tabs>
              <w:ind w:left="0" w:firstLine="0"/>
              <w:jc w:val="center"/>
              <w:rPr>
                <w:sz w:val="20"/>
                <w:szCs w:val="20"/>
                <w:lang w:val="en-US"/>
              </w:rPr>
            </w:pPr>
            <w:r w:rsidRPr="00B70A0D">
              <w:rPr>
                <w:sz w:val="20"/>
                <w:szCs w:val="20"/>
                <w:lang w:val="en-US"/>
              </w:rPr>
              <w:t>Этернэт хаяг тодорхойлох протокол</w:t>
            </w:r>
          </w:p>
        </w:tc>
        <w:tc>
          <w:tcPr>
            <w:tcW w:w="3115" w:type="dxa"/>
          </w:tcPr>
          <w:p w:rsidR="003C1E2E" w:rsidRPr="003C1E2E" w:rsidRDefault="003C1E2E" w:rsidP="00CD1812">
            <w:pPr>
              <w:tabs>
                <w:tab w:val="left" w:pos="142"/>
              </w:tabs>
              <w:ind w:left="0" w:firstLine="0"/>
              <w:jc w:val="center"/>
              <w:rPr>
                <w:sz w:val="20"/>
                <w:szCs w:val="20"/>
                <w:lang w:val="en-US"/>
              </w:rPr>
            </w:pPr>
            <w:r>
              <w:rPr>
                <w:sz w:val="20"/>
                <w:szCs w:val="20"/>
                <w:lang w:val="en-US"/>
              </w:rPr>
              <w:t>m</w:t>
            </w:r>
          </w:p>
        </w:tc>
      </w:tr>
      <w:tr w:rsidR="003C1E2E" w:rsidTr="00CD1812">
        <w:tc>
          <w:tcPr>
            <w:tcW w:w="3114" w:type="dxa"/>
          </w:tcPr>
          <w:p w:rsidR="003C1E2E" w:rsidRPr="003C1E2E" w:rsidRDefault="003C1E2E" w:rsidP="00CD1812">
            <w:pPr>
              <w:tabs>
                <w:tab w:val="left" w:pos="142"/>
              </w:tabs>
              <w:ind w:left="0" w:firstLine="0"/>
              <w:jc w:val="center"/>
              <w:rPr>
                <w:sz w:val="20"/>
                <w:szCs w:val="20"/>
                <w:lang w:val="en-US"/>
              </w:rPr>
            </w:pPr>
            <w:r>
              <w:rPr>
                <w:sz w:val="20"/>
                <w:szCs w:val="20"/>
                <w:lang w:val="en-US"/>
              </w:rPr>
              <w:t>RFC 894</w:t>
            </w:r>
          </w:p>
        </w:tc>
        <w:tc>
          <w:tcPr>
            <w:tcW w:w="3115" w:type="dxa"/>
          </w:tcPr>
          <w:p w:rsidR="003C1E2E" w:rsidRPr="003C1E2E" w:rsidRDefault="00B70A0D" w:rsidP="00CD1812">
            <w:pPr>
              <w:tabs>
                <w:tab w:val="left" w:pos="142"/>
              </w:tabs>
              <w:ind w:left="0" w:firstLine="0"/>
              <w:jc w:val="center"/>
              <w:rPr>
                <w:sz w:val="20"/>
                <w:szCs w:val="20"/>
                <w:lang w:val="en-US"/>
              </w:rPr>
            </w:pPr>
            <w:r w:rsidRPr="00B70A0D">
              <w:rPr>
                <w:sz w:val="20"/>
                <w:szCs w:val="20"/>
                <w:lang w:val="en-US"/>
              </w:rPr>
              <w:t>IP Datagram-ыг Этернэтээр дамжуулах стандарт</w:t>
            </w:r>
          </w:p>
        </w:tc>
        <w:tc>
          <w:tcPr>
            <w:tcW w:w="3115" w:type="dxa"/>
          </w:tcPr>
          <w:p w:rsidR="003C1E2E" w:rsidRPr="003C1E2E" w:rsidRDefault="003C1E2E" w:rsidP="00CD1812">
            <w:pPr>
              <w:tabs>
                <w:tab w:val="left" w:pos="142"/>
              </w:tabs>
              <w:ind w:left="0" w:firstLine="0"/>
              <w:jc w:val="center"/>
              <w:rPr>
                <w:sz w:val="20"/>
                <w:szCs w:val="20"/>
                <w:lang w:val="en-US"/>
              </w:rPr>
            </w:pPr>
            <w:r>
              <w:rPr>
                <w:sz w:val="20"/>
                <w:szCs w:val="20"/>
                <w:lang w:val="en-US"/>
              </w:rPr>
              <w:t>m</w:t>
            </w:r>
          </w:p>
        </w:tc>
      </w:tr>
      <w:tr w:rsidR="003C1E2E" w:rsidTr="00CD1812">
        <w:tc>
          <w:tcPr>
            <w:tcW w:w="3114" w:type="dxa"/>
          </w:tcPr>
          <w:p w:rsidR="003C1E2E" w:rsidRPr="003C1E2E" w:rsidRDefault="003C1E2E" w:rsidP="00CD1812">
            <w:pPr>
              <w:tabs>
                <w:tab w:val="left" w:pos="142"/>
              </w:tabs>
              <w:ind w:left="0" w:firstLine="0"/>
              <w:jc w:val="center"/>
              <w:rPr>
                <w:sz w:val="20"/>
                <w:szCs w:val="20"/>
                <w:lang w:val="en-US"/>
              </w:rPr>
            </w:pPr>
            <w:r>
              <w:rPr>
                <w:sz w:val="20"/>
                <w:szCs w:val="20"/>
                <w:lang w:val="en-US"/>
              </w:rPr>
              <w:t>RFC 3168</w:t>
            </w:r>
          </w:p>
        </w:tc>
        <w:tc>
          <w:tcPr>
            <w:tcW w:w="3115" w:type="dxa"/>
          </w:tcPr>
          <w:p w:rsidR="003C1E2E" w:rsidRPr="003C1E2E" w:rsidRDefault="00B70A0D" w:rsidP="00CD1812">
            <w:pPr>
              <w:tabs>
                <w:tab w:val="left" w:pos="142"/>
              </w:tabs>
              <w:ind w:left="0" w:firstLine="0"/>
              <w:jc w:val="center"/>
              <w:rPr>
                <w:sz w:val="20"/>
                <w:szCs w:val="20"/>
                <w:lang w:val="en-US"/>
              </w:rPr>
            </w:pPr>
            <w:r w:rsidRPr="00B70A0D">
              <w:rPr>
                <w:sz w:val="20"/>
                <w:szCs w:val="20"/>
                <w:lang w:val="en-US"/>
              </w:rPr>
              <w:t>IP-ийн хэт ачааллын талаарх анхааруулгын нэмэлт</w:t>
            </w:r>
          </w:p>
        </w:tc>
        <w:tc>
          <w:tcPr>
            <w:tcW w:w="3115" w:type="dxa"/>
          </w:tcPr>
          <w:p w:rsidR="003C1E2E" w:rsidRPr="003C1E2E" w:rsidRDefault="003C1E2E" w:rsidP="00CD1812">
            <w:pPr>
              <w:tabs>
                <w:tab w:val="left" w:pos="142"/>
              </w:tabs>
              <w:ind w:left="0" w:firstLine="0"/>
              <w:jc w:val="center"/>
              <w:rPr>
                <w:sz w:val="20"/>
                <w:szCs w:val="20"/>
                <w:lang w:val="en-US"/>
              </w:rPr>
            </w:pPr>
            <w:r>
              <w:rPr>
                <w:sz w:val="20"/>
                <w:szCs w:val="20"/>
                <w:lang w:val="en-US"/>
              </w:rPr>
              <w:t>m</w:t>
            </w:r>
          </w:p>
        </w:tc>
      </w:tr>
    </w:tbl>
    <w:p w:rsidR="00966D1C" w:rsidRDefault="00966D1C" w:rsidP="00095C1D">
      <w:pPr>
        <w:tabs>
          <w:tab w:val="left" w:pos="142"/>
        </w:tabs>
        <w:ind w:left="142"/>
        <w:jc w:val="center"/>
        <w:rPr>
          <w:b/>
        </w:rPr>
      </w:pPr>
    </w:p>
    <w:p w:rsidR="003C1E2E" w:rsidRPr="003C1E2E" w:rsidRDefault="003C1E2E" w:rsidP="00095C1D">
      <w:pPr>
        <w:tabs>
          <w:tab w:val="left" w:pos="142"/>
        </w:tabs>
        <w:ind w:left="142"/>
        <w:jc w:val="center"/>
        <w:rPr>
          <w:lang w:val="en-US"/>
        </w:rPr>
      </w:pPr>
      <w:r>
        <w:rPr>
          <w:b/>
          <w:lang w:val="en-US"/>
        </w:rPr>
        <w:t xml:space="preserve">Table 16 – Network protocol </w:t>
      </w:r>
      <w:r w:rsidRPr="003C1E2E">
        <w:rPr>
          <w:b/>
          <w:lang w:val="en-US"/>
        </w:rPr>
        <w:t>conformance implementation statement (PICS)</w:t>
      </w:r>
      <w:r w:rsidRPr="003C1E2E">
        <w:t xml:space="preserve"> </w:t>
      </w:r>
      <w:r w:rsidRPr="003C1E2E">
        <w:rPr>
          <w:b/>
          <w:lang w:val="en-US"/>
        </w:rPr>
        <w:t>for IPv4 based T-Profiles</w:t>
      </w:r>
    </w:p>
    <w:tbl>
      <w:tblPr>
        <w:tblStyle w:val="TableGrid"/>
        <w:tblW w:w="0" w:type="auto"/>
        <w:tblInd w:w="142" w:type="dxa"/>
        <w:tblLook w:val="04A0" w:firstRow="1" w:lastRow="0" w:firstColumn="1" w:lastColumn="0" w:noHBand="0" w:noVBand="1"/>
      </w:tblPr>
      <w:tblGrid>
        <w:gridCol w:w="3066"/>
        <w:gridCol w:w="3080"/>
        <w:gridCol w:w="3056"/>
      </w:tblGrid>
      <w:tr w:rsidR="003C1E2E" w:rsidTr="003C1E2E">
        <w:tc>
          <w:tcPr>
            <w:tcW w:w="3114" w:type="dxa"/>
          </w:tcPr>
          <w:p w:rsidR="003C1E2E" w:rsidRPr="003C1E2E" w:rsidRDefault="003C1E2E" w:rsidP="00095C1D">
            <w:pPr>
              <w:tabs>
                <w:tab w:val="left" w:pos="142"/>
              </w:tabs>
              <w:ind w:left="0" w:firstLine="0"/>
              <w:jc w:val="center"/>
              <w:rPr>
                <w:b/>
                <w:sz w:val="20"/>
                <w:szCs w:val="20"/>
                <w:lang w:val="en-US"/>
              </w:rPr>
            </w:pPr>
            <w:r w:rsidRPr="003C1E2E">
              <w:rPr>
                <w:b/>
                <w:sz w:val="20"/>
                <w:szCs w:val="20"/>
                <w:lang w:val="en-US"/>
              </w:rPr>
              <w:t>Protocol</w:t>
            </w:r>
          </w:p>
        </w:tc>
        <w:tc>
          <w:tcPr>
            <w:tcW w:w="3115" w:type="dxa"/>
          </w:tcPr>
          <w:p w:rsidR="003C1E2E" w:rsidRPr="003C1E2E" w:rsidRDefault="003C1E2E" w:rsidP="00095C1D">
            <w:pPr>
              <w:tabs>
                <w:tab w:val="left" w:pos="142"/>
              </w:tabs>
              <w:ind w:left="0" w:firstLine="0"/>
              <w:jc w:val="center"/>
              <w:rPr>
                <w:b/>
                <w:sz w:val="20"/>
                <w:szCs w:val="20"/>
                <w:lang w:val="en-US"/>
              </w:rPr>
            </w:pPr>
            <w:r w:rsidRPr="003C1E2E">
              <w:rPr>
                <w:b/>
                <w:sz w:val="20"/>
                <w:szCs w:val="20"/>
                <w:lang w:val="en-US"/>
              </w:rPr>
              <w:t xml:space="preserve">description </w:t>
            </w:r>
          </w:p>
        </w:tc>
        <w:tc>
          <w:tcPr>
            <w:tcW w:w="3115" w:type="dxa"/>
          </w:tcPr>
          <w:p w:rsidR="003C1E2E" w:rsidRPr="003C1E2E" w:rsidRDefault="003C1E2E" w:rsidP="00095C1D">
            <w:pPr>
              <w:tabs>
                <w:tab w:val="left" w:pos="142"/>
              </w:tabs>
              <w:ind w:left="0" w:firstLine="0"/>
              <w:jc w:val="center"/>
              <w:rPr>
                <w:b/>
                <w:sz w:val="20"/>
                <w:szCs w:val="20"/>
                <w:lang w:val="en-US"/>
              </w:rPr>
            </w:pPr>
            <w:r w:rsidRPr="003C1E2E">
              <w:rPr>
                <w:b/>
                <w:sz w:val="20"/>
                <w:szCs w:val="20"/>
                <w:lang w:val="en-US"/>
              </w:rPr>
              <w:t>m/o</w:t>
            </w:r>
          </w:p>
        </w:tc>
      </w:tr>
      <w:tr w:rsidR="003C1E2E" w:rsidTr="003C1E2E">
        <w:tc>
          <w:tcPr>
            <w:tcW w:w="3114" w:type="dxa"/>
          </w:tcPr>
          <w:p w:rsidR="003C1E2E" w:rsidRPr="003C1E2E" w:rsidRDefault="003C1E2E" w:rsidP="00095C1D">
            <w:pPr>
              <w:tabs>
                <w:tab w:val="left" w:pos="142"/>
              </w:tabs>
              <w:ind w:left="0" w:firstLine="0"/>
              <w:jc w:val="center"/>
              <w:rPr>
                <w:sz w:val="20"/>
                <w:szCs w:val="20"/>
                <w:lang w:val="en-US"/>
              </w:rPr>
            </w:pPr>
            <w:r w:rsidRPr="003C1E2E">
              <w:rPr>
                <w:sz w:val="20"/>
                <w:szCs w:val="20"/>
                <w:lang w:val="en-US"/>
              </w:rPr>
              <w:t>RFC 791</w:t>
            </w:r>
          </w:p>
        </w:tc>
        <w:tc>
          <w:tcPr>
            <w:tcW w:w="3115" w:type="dxa"/>
          </w:tcPr>
          <w:p w:rsidR="003C1E2E" w:rsidRPr="003C1E2E" w:rsidRDefault="003C1E2E" w:rsidP="00095C1D">
            <w:pPr>
              <w:tabs>
                <w:tab w:val="left" w:pos="142"/>
              </w:tabs>
              <w:ind w:left="0" w:firstLine="0"/>
              <w:jc w:val="center"/>
              <w:rPr>
                <w:sz w:val="20"/>
                <w:szCs w:val="20"/>
                <w:lang w:val="en-US"/>
              </w:rPr>
            </w:pPr>
            <w:r w:rsidRPr="003C1E2E">
              <w:rPr>
                <w:sz w:val="20"/>
                <w:szCs w:val="20"/>
                <w:lang w:val="en-US"/>
              </w:rPr>
              <w:t>internetworking Protocol</w:t>
            </w:r>
          </w:p>
        </w:tc>
        <w:tc>
          <w:tcPr>
            <w:tcW w:w="3115" w:type="dxa"/>
          </w:tcPr>
          <w:p w:rsidR="003C1E2E" w:rsidRPr="003C1E2E" w:rsidRDefault="003C1E2E" w:rsidP="00095C1D">
            <w:pPr>
              <w:tabs>
                <w:tab w:val="left" w:pos="142"/>
              </w:tabs>
              <w:ind w:left="0" w:firstLine="0"/>
              <w:jc w:val="center"/>
              <w:rPr>
                <w:sz w:val="20"/>
                <w:szCs w:val="20"/>
                <w:lang w:val="en-US"/>
              </w:rPr>
            </w:pPr>
            <w:r w:rsidRPr="003C1E2E">
              <w:rPr>
                <w:sz w:val="20"/>
                <w:szCs w:val="20"/>
                <w:lang w:val="en-US"/>
              </w:rPr>
              <w:t>m</w:t>
            </w:r>
          </w:p>
        </w:tc>
      </w:tr>
      <w:tr w:rsidR="003C1E2E" w:rsidTr="003C1E2E">
        <w:tc>
          <w:tcPr>
            <w:tcW w:w="3114" w:type="dxa"/>
          </w:tcPr>
          <w:p w:rsidR="003C1E2E" w:rsidRPr="003C1E2E" w:rsidRDefault="003C1E2E" w:rsidP="00095C1D">
            <w:pPr>
              <w:tabs>
                <w:tab w:val="left" w:pos="142"/>
              </w:tabs>
              <w:ind w:left="0" w:firstLine="0"/>
              <w:jc w:val="center"/>
              <w:rPr>
                <w:sz w:val="20"/>
                <w:szCs w:val="20"/>
                <w:lang w:val="en-US"/>
              </w:rPr>
            </w:pPr>
            <w:r>
              <w:rPr>
                <w:sz w:val="20"/>
                <w:szCs w:val="20"/>
                <w:lang w:val="en-US"/>
              </w:rPr>
              <w:t>RFC 826</w:t>
            </w:r>
          </w:p>
        </w:tc>
        <w:tc>
          <w:tcPr>
            <w:tcW w:w="3115" w:type="dxa"/>
          </w:tcPr>
          <w:p w:rsidR="003C1E2E" w:rsidRPr="003C1E2E" w:rsidRDefault="003C1E2E" w:rsidP="00095C1D">
            <w:pPr>
              <w:tabs>
                <w:tab w:val="left" w:pos="142"/>
              </w:tabs>
              <w:ind w:left="0" w:firstLine="0"/>
              <w:jc w:val="center"/>
              <w:rPr>
                <w:sz w:val="20"/>
                <w:szCs w:val="20"/>
                <w:lang w:val="en-US"/>
              </w:rPr>
            </w:pPr>
            <w:r>
              <w:rPr>
                <w:sz w:val="20"/>
                <w:szCs w:val="20"/>
                <w:lang w:val="en-US"/>
              </w:rPr>
              <w:t>An Ethernet address resolution protocol</w:t>
            </w:r>
          </w:p>
        </w:tc>
        <w:tc>
          <w:tcPr>
            <w:tcW w:w="3115" w:type="dxa"/>
          </w:tcPr>
          <w:p w:rsidR="003C1E2E" w:rsidRPr="003C1E2E" w:rsidRDefault="003C1E2E" w:rsidP="00095C1D">
            <w:pPr>
              <w:tabs>
                <w:tab w:val="left" w:pos="142"/>
              </w:tabs>
              <w:ind w:left="0" w:firstLine="0"/>
              <w:jc w:val="center"/>
              <w:rPr>
                <w:sz w:val="20"/>
                <w:szCs w:val="20"/>
                <w:lang w:val="en-US"/>
              </w:rPr>
            </w:pPr>
            <w:r>
              <w:rPr>
                <w:sz w:val="20"/>
                <w:szCs w:val="20"/>
                <w:lang w:val="en-US"/>
              </w:rPr>
              <w:t>m</w:t>
            </w:r>
          </w:p>
        </w:tc>
      </w:tr>
      <w:tr w:rsidR="003C1E2E" w:rsidTr="003C1E2E">
        <w:tc>
          <w:tcPr>
            <w:tcW w:w="3114" w:type="dxa"/>
          </w:tcPr>
          <w:p w:rsidR="003C1E2E" w:rsidRPr="003C1E2E" w:rsidRDefault="003C1E2E" w:rsidP="00095C1D">
            <w:pPr>
              <w:tabs>
                <w:tab w:val="left" w:pos="142"/>
              </w:tabs>
              <w:ind w:left="0" w:firstLine="0"/>
              <w:jc w:val="center"/>
              <w:rPr>
                <w:sz w:val="20"/>
                <w:szCs w:val="20"/>
                <w:lang w:val="en-US"/>
              </w:rPr>
            </w:pPr>
            <w:r>
              <w:rPr>
                <w:sz w:val="20"/>
                <w:szCs w:val="20"/>
                <w:lang w:val="en-US"/>
              </w:rPr>
              <w:t>RFC 894</w:t>
            </w:r>
          </w:p>
        </w:tc>
        <w:tc>
          <w:tcPr>
            <w:tcW w:w="3115" w:type="dxa"/>
          </w:tcPr>
          <w:p w:rsidR="003C1E2E" w:rsidRPr="003C1E2E" w:rsidRDefault="003C1E2E" w:rsidP="00095C1D">
            <w:pPr>
              <w:tabs>
                <w:tab w:val="left" w:pos="142"/>
              </w:tabs>
              <w:ind w:left="0" w:firstLine="0"/>
              <w:jc w:val="center"/>
              <w:rPr>
                <w:sz w:val="20"/>
                <w:szCs w:val="20"/>
                <w:lang w:val="en-US"/>
              </w:rPr>
            </w:pPr>
            <w:r>
              <w:rPr>
                <w:sz w:val="20"/>
                <w:szCs w:val="20"/>
                <w:lang w:val="en-US"/>
              </w:rPr>
              <w:t xml:space="preserve">Standard for the transmission of </w:t>
            </w:r>
            <w:r>
              <w:rPr>
                <w:sz w:val="20"/>
                <w:szCs w:val="20"/>
                <w:lang w:val="en-US"/>
              </w:rPr>
              <w:br/>
              <w:t>IP datagrams over Etjernet Networks</w:t>
            </w:r>
          </w:p>
        </w:tc>
        <w:tc>
          <w:tcPr>
            <w:tcW w:w="3115" w:type="dxa"/>
          </w:tcPr>
          <w:p w:rsidR="003C1E2E" w:rsidRPr="003C1E2E" w:rsidRDefault="003C1E2E" w:rsidP="00095C1D">
            <w:pPr>
              <w:tabs>
                <w:tab w:val="left" w:pos="142"/>
              </w:tabs>
              <w:ind w:left="0" w:firstLine="0"/>
              <w:jc w:val="center"/>
              <w:rPr>
                <w:sz w:val="20"/>
                <w:szCs w:val="20"/>
                <w:lang w:val="en-US"/>
              </w:rPr>
            </w:pPr>
            <w:r>
              <w:rPr>
                <w:sz w:val="20"/>
                <w:szCs w:val="20"/>
                <w:lang w:val="en-US"/>
              </w:rPr>
              <w:t>m</w:t>
            </w:r>
          </w:p>
        </w:tc>
      </w:tr>
      <w:tr w:rsidR="003C1E2E" w:rsidTr="003C1E2E">
        <w:tc>
          <w:tcPr>
            <w:tcW w:w="3114" w:type="dxa"/>
          </w:tcPr>
          <w:p w:rsidR="003C1E2E" w:rsidRPr="003C1E2E" w:rsidRDefault="003C1E2E" w:rsidP="00095C1D">
            <w:pPr>
              <w:tabs>
                <w:tab w:val="left" w:pos="142"/>
              </w:tabs>
              <w:ind w:left="0" w:firstLine="0"/>
              <w:jc w:val="center"/>
              <w:rPr>
                <w:sz w:val="20"/>
                <w:szCs w:val="20"/>
                <w:lang w:val="en-US"/>
              </w:rPr>
            </w:pPr>
            <w:r>
              <w:rPr>
                <w:sz w:val="20"/>
                <w:szCs w:val="20"/>
                <w:lang w:val="en-US"/>
              </w:rPr>
              <w:t>RFC 3168</w:t>
            </w:r>
          </w:p>
        </w:tc>
        <w:tc>
          <w:tcPr>
            <w:tcW w:w="3115" w:type="dxa"/>
          </w:tcPr>
          <w:p w:rsidR="003C1E2E" w:rsidRPr="003C1E2E" w:rsidRDefault="003C1E2E" w:rsidP="00095C1D">
            <w:pPr>
              <w:tabs>
                <w:tab w:val="left" w:pos="142"/>
              </w:tabs>
              <w:ind w:left="0" w:firstLine="0"/>
              <w:jc w:val="center"/>
              <w:rPr>
                <w:sz w:val="20"/>
                <w:szCs w:val="20"/>
                <w:lang w:val="en-US"/>
              </w:rPr>
            </w:pPr>
            <w:r>
              <w:rPr>
                <w:sz w:val="20"/>
                <w:szCs w:val="20"/>
                <w:lang w:val="en-US"/>
              </w:rPr>
              <w:t>The addition of explicit congestion notification (ECN) to IP</w:t>
            </w:r>
          </w:p>
        </w:tc>
        <w:tc>
          <w:tcPr>
            <w:tcW w:w="3115" w:type="dxa"/>
          </w:tcPr>
          <w:p w:rsidR="003C1E2E" w:rsidRPr="003C1E2E" w:rsidRDefault="003C1E2E" w:rsidP="00095C1D">
            <w:pPr>
              <w:tabs>
                <w:tab w:val="left" w:pos="142"/>
              </w:tabs>
              <w:ind w:left="0" w:firstLine="0"/>
              <w:jc w:val="center"/>
              <w:rPr>
                <w:sz w:val="20"/>
                <w:szCs w:val="20"/>
                <w:lang w:val="en-US"/>
              </w:rPr>
            </w:pPr>
            <w:r>
              <w:rPr>
                <w:sz w:val="20"/>
                <w:szCs w:val="20"/>
                <w:lang w:val="en-US"/>
              </w:rPr>
              <w:t>m</w:t>
            </w:r>
          </w:p>
        </w:tc>
      </w:tr>
    </w:tbl>
    <w:p w:rsidR="003C1E2E" w:rsidRDefault="003C1E2E" w:rsidP="00095C1D">
      <w:pPr>
        <w:tabs>
          <w:tab w:val="left" w:pos="142"/>
        </w:tabs>
        <w:ind w:left="142"/>
        <w:jc w:val="center"/>
        <w:rPr>
          <w:b/>
        </w:rPr>
      </w:pPr>
    </w:p>
    <w:p w:rsidR="003C1E2E" w:rsidRDefault="003C1E2E"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7"/>
        <w:gridCol w:w="4595"/>
      </w:tblGrid>
      <w:tr w:rsidR="003C1E2E" w:rsidTr="003C1E2E">
        <w:tc>
          <w:tcPr>
            <w:tcW w:w="4672" w:type="dxa"/>
          </w:tcPr>
          <w:p w:rsidR="003C1E2E" w:rsidRPr="003C1E2E" w:rsidRDefault="003C1E2E" w:rsidP="003C1E2E">
            <w:pPr>
              <w:tabs>
                <w:tab w:val="left" w:pos="142"/>
              </w:tabs>
              <w:ind w:left="0" w:firstLine="0"/>
              <w:rPr>
                <w:rFonts w:eastAsia="Calibri"/>
                <w:bCs/>
                <w:szCs w:val="22"/>
              </w:rPr>
            </w:pPr>
            <w:r w:rsidRPr="00966D1C">
              <w:rPr>
                <w:rFonts w:eastAsia="Calibri"/>
                <w:bCs/>
                <w:szCs w:val="22"/>
              </w:rPr>
              <w:t>Дараах дэд бүлгүүдэд энэхүү Техникийн тайланд нийцэхийг шаардсан хэрэгжүүлэлтүүдэд хэрэгжүүлэх нэмэлт хязгаарлалтуудыг тодорхойлсон.</w:t>
            </w:r>
          </w:p>
        </w:tc>
        <w:tc>
          <w:tcPr>
            <w:tcW w:w="4672" w:type="dxa"/>
          </w:tcPr>
          <w:p w:rsidR="003C1E2E" w:rsidRPr="003C1E2E" w:rsidRDefault="003C1E2E" w:rsidP="003C1E2E">
            <w:pPr>
              <w:tabs>
                <w:tab w:val="left" w:pos="142"/>
              </w:tabs>
              <w:ind w:left="0" w:firstLine="0"/>
              <w:rPr>
                <w:rFonts w:eastAsia="Calibri"/>
                <w:bCs/>
                <w:szCs w:val="22"/>
              </w:rPr>
            </w:pPr>
            <w:r w:rsidRPr="00966D1C">
              <w:rPr>
                <w:rFonts w:eastAsia="Calibri"/>
                <w:bCs/>
                <w:szCs w:val="22"/>
              </w:rPr>
              <w:t>The following subclauses specify additional constraints based upon that shall be implemented for by implementations claiming conformance to this Technical Report.</w:t>
            </w:r>
          </w:p>
        </w:tc>
      </w:tr>
    </w:tbl>
    <w:p w:rsidR="003C1E2E" w:rsidRDefault="003C1E2E" w:rsidP="00095C1D">
      <w:pPr>
        <w:tabs>
          <w:tab w:val="left" w:pos="142"/>
        </w:tabs>
        <w:ind w:left="142"/>
        <w:jc w:val="center"/>
        <w:rPr>
          <w:b/>
        </w:rPr>
      </w:pPr>
    </w:p>
    <w:p w:rsidR="00B70A0D" w:rsidRPr="00731F96" w:rsidRDefault="00B70A0D" w:rsidP="00B70A0D"/>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824"/>
        <w:gridCol w:w="1647"/>
        <w:gridCol w:w="823"/>
        <w:gridCol w:w="2470"/>
      </w:tblGrid>
      <w:tr w:rsidR="00B70A0D" w:rsidRPr="00EF2D2B" w:rsidTr="00CD1812">
        <w:trPr>
          <w:trHeight w:val="310"/>
        </w:trPr>
        <w:tc>
          <w:tcPr>
            <w:tcW w:w="824" w:type="dxa"/>
            <w:tcBorders>
              <w:top w:val="nil"/>
            </w:tcBorders>
          </w:tcPr>
          <w:p w:rsidR="00B70A0D" w:rsidRPr="00EF2D2B" w:rsidRDefault="00B70A0D" w:rsidP="00CD1812">
            <w:pPr>
              <w:pStyle w:val="TableParagraph"/>
              <w:tabs>
                <w:tab w:val="left" w:pos="0"/>
                <w:tab w:val="right" w:pos="755"/>
              </w:tabs>
              <w:spacing w:before="174" w:line="276" w:lineRule="auto"/>
              <w:ind w:right="33"/>
              <w:jc w:val="center"/>
              <w:rPr>
                <w:b/>
                <w:sz w:val="20"/>
                <w:szCs w:val="20"/>
                <w:lang w:val="mn-MN"/>
              </w:rPr>
            </w:pPr>
            <w:r w:rsidRPr="00EF2D2B">
              <w:rPr>
                <w:b/>
                <w:w w:val="105"/>
                <w:sz w:val="20"/>
                <w:szCs w:val="20"/>
                <w:lang w:val="mn-MN"/>
              </w:rPr>
              <w:t>Бит</w:t>
            </w:r>
            <w:r w:rsidRPr="00EF2D2B">
              <w:rPr>
                <w:w w:val="105"/>
                <w:sz w:val="20"/>
                <w:szCs w:val="20"/>
                <w:lang w:val="mn-MN"/>
              </w:rPr>
              <w:t>:</w:t>
            </w:r>
            <w:r w:rsidRPr="00EF2D2B">
              <w:rPr>
                <w:w w:val="105"/>
                <w:sz w:val="20"/>
                <w:szCs w:val="20"/>
                <w:lang w:val="mn-MN"/>
              </w:rPr>
              <w:tab/>
            </w:r>
            <w:r w:rsidRPr="00EF2D2B">
              <w:rPr>
                <w:b/>
                <w:w w:val="105"/>
                <w:sz w:val="20"/>
                <w:szCs w:val="20"/>
                <w:lang w:val="mn-MN"/>
              </w:rPr>
              <w:t>4</w:t>
            </w:r>
          </w:p>
        </w:tc>
        <w:tc>
          <w:tcPr>
            <w:tcW w:w="824" w:type="dxa"/>
            <w:tcBorders>
              <w:top w:val="nil"/>
            </w:tcBorders>
          </w:tcPr>
          <w:p w:rsidR="00B70A0D" w:rsidRPr="00EF2D2B" w:rsidRDefault="00B70A0D" w:rsidP="00CD1812">
            <w:pPr>
              <w:pStyle w:val="TableParagraph"/>
              <w:tabs>
                <w:tab w:val="left" w:pos="0"/>
              </w:tabs>
              <w:spacing w:before="0" w:line="276" w:lineRule="auto"/>
              <w:ind w:right="50"/>
              <w:jc w:val="center"/>
              <w:rPr>
                <w:b/>
                <w:w w:val="105"/>
                <w:sz w:val="20"/>
                <w:szCs w:val="20"/>
                <w:lang w:val="mn-MN"/>
              </w:rPr>
            </w:pPr>
          </w:p>
          <w:p w:rsidR="00B70A0D" w:rsidRPr="00EF2D2B" w:rsidRDefault="00B70A0D" w:rsidP="00CD1812">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8</w:t>
            </w:r>
          </w:p>
        </w:tc>
        <w:tc>
          <w:tcPr>
            <w:tcW w:w="1647" w:type="dxa"/>
            <w:tcBorders>
              <w:top w:val="nil"/>
            </w:tcBorders>
          </w:tcPr>
          <w:p w:rsidR="00B70A0D" w:rsidRPr="00EF2D2B" w:rsidRDefault="00B70A0D" w:rsidP="00CD1812">
            <w:pPr>
              <w:pStyle w:val="TableParagraph"/>
              <w:tabs>
                <w:tab w:val="left" w:pos="0"/>
              </w:tabs>
              <w:spacing w:before="0" w:line="276" w:lineRule="auto"/>
              <w:ind w:right="50"/>
              <w:jc w:val="center"/>
              <w:rPr>
                <w:b/>
                <w:w w:val="105"/>
                <w:sz w:val="20"/>
                <w:szCs w:val="20"/>
                <w:lang w:val="mn-MN"/>
              </w:rPr>
            </w:pPr>
          </w:p>
          <w:p w:rsidR="00B70A0D" w:rsidRPr="00EF2D2B" w:rsidRDefault="00B70A0D" w:rsidP="00CD1812">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16</w:t>
            </w:r>
          </w:p>
        </w:tc>
        <w:tc>
          <w:tcPr>
            <w:tcW w:w="823" w:type="dxa"/>
            <w:tcBorders>
              <w:top w:val="nil"/>
            </w:tcBorders>
          </w:tcPr>
          <w:p w:rsidR="00B70A0D" w:rsidRPr="00EF2D2B" w:rsidRDefault="00B70A0D" w:rsidP="00CD1812">
            <w:pPr>
              <w:pStyle w:val="TableParagraph"/>
              <w:tabs>
                <w:tab w:val="left" w:pos="0"/>
              </w:tabs>
              <w:spacing w:before="0" w:line="276" w:lineRule="auto"/>
              <w:ind w:right="50"/>
              <w:jc w:val="center"/>
              <w:rPr>
                <w:b/>
                <w:w w:val="105"/>
                <w:sz w:val="20"/>
                <w:szCs w:val="20"/>
                <w:lang w:val="mn-MN"/>
              </w:rPr>
            </w:pPr>
          </w:p>
          <w:p w:rsidR="00B70A0D" w:rsidRPr="00EF2D2B" w:rsidRDefault="00B70A0D" w:rsidP="00CD1812">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20</w:t>
            </w:r>
          </w:p>
        </w:tc>
        <w:tc>
          <w:tcPr>
            <w:tcW w:w="2470" w:type="dxa"/>
            <w:tcBorders>
              <w:top w:val="nil"/>
            </w:tcBorders>
          </w:tcPr>
          <w:p w:rsidR="00B70A0D" w:rsidRPr="00EF2D2B" w:rsidRDefault="00B70A0D" w:rsidP="00CD1812">
            <w:pPr>
              <w:pStyle w:val="TableParagraph"/>
              <w:tabs>
                <w:tab w:val="left" w:pos="0"/>
              </w:tabs>
              <w:spacing w:before="0" w:line="276" w:lineRule="auto"/>
              <w:ind w:right="50"/>
              <w:jc w:val="center"/>
              <w:rPr>
                <w:b/>
                <w:w w:val="105"/>
                <w:sz w:val="20"/>
                <w:szCs w:val="20"/>
                <w:lang w:val="mn-MN"/>
              </w:rPr>
            </w:pPr>
          </w:p>
          <w:p w:rsidR="00B70A0D" w:rsidRPr="00EF2D2B" w:rsidRDefault="00B70A0D" w:rsidP="00CD1812">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32</w:t>
            </w:r>
          </w:p>
        </w:tc>
      </w:tr>
      <w:tr w:rsidR="00B70A0D" w:rsidRPr="00EF2D2B" w:rsidTr="00CD1812">
        <w:trPr>
          <w:trHeight w:val="305"/>
        </w:trPr>
        <w:tc>
          <w:tcPr>
            <w:tcW w:w="824" w:type="dxa"/>
            <w:shd w:val="clear" w:color="auto" w:fill="BADFE2"/>
          </w:tcPr>
          <w:p w:rsidR="00B70A0D" w:rsidRPr="00EF2D2B" w:rsidRDefault="00B70A0D" w:rsidP="00CD1812">
            <w:pPr>
              <w:pStyle w:val="TableParagraph"/>
              <w:tabs>
                <w:tab w:val="left" w:pos="0"/>
              </w:tabs>
              <w:spacing w:before="44" w:line="276" w:lineRule="auto"/>
              <w:ind w:left="24" w:right="18"/>
              <w:jc w:val="both"/>
              <w:rPr>
                <w:sz w:val="20"/>
                <w:szCs w:val="20"/>
                <w:lang w:val="mn-MN"/>
              </w:rPr>
            </w:pPr>
            <w:r w:rsidRPr="00EF2D2B">
              <w:rPr>
                <w:sz w:val="20"/>
                <w:szCs w:val="20"/>
                <w:lang w:val="mn-MN"/>
              </w:rPr>
              <w:t>Version (</w:t>
            </w:r>
            <w:r w:rsidRPr="00731F96">
              <w:rPr>
                <w:sz w:val="20"/>
                <w:szCs w:val="20"/>
                <w:lang w:val="mn-MN"/>
              </w:rPr>
              <w:t>Хувилбар</w:t>
            </w:r>
            <w:r w:rsidRPr="00EF2D2B">
              <w:rPr>
                <w:sz w:val="20"/>
                <w:szCs w:val="20"/>
                <w:lang w:val="mn-MN"/>
              </w:rPr>
              <w:t>)</w:t>
            </w:r>
          </w:p>
        </w:tc>
        <w:tc>
          <w:tcPr>
            <w:tcW w:w="824" w:type="dxa"/>
            <w:shd w:val="clear" w:color="auto" w:fill="BADFE2"/>
          </w:tcPr>
          <w:p w:rsidR="00B70A0D" w:rsidRPr="00EF2D2B" w:rsidRDefault="00B70A0D" w:rsidP="00CD1812">
            <w:pPr>
              <w:pStyle w:val="TableParagraph"/>
              <w:tabs>
                <w:tab w:val="left" w:pos="0"/>
              </w:tabs>
              <w:spacing w:before="44" w:line="276" w:lineRule="auto"/>
              <w:ind w:right="16"/>
              <w:jc w:val="both"/>
              <w:rPr>
                <w:sz w:val="20"/>
                <w:szCs w:val="20"/>
                <w:lang w:val="mn-MN"/>
              </w:rPr>
            </w:pPr>
            <w:r w:rsidRPr="00EF2D2B">
              <w:rPr>
                <w:sz w:val="20"/>
                <w:szCs w:val="20"/>
                <w:lang w:val="mn-MN"/>
              </w:rPr>
              <w:t xml:space="preserve">H.Length (Урт) </w:t>
            </w:r>
          </w:p>
        </w:tc>
        <w:tc>
          <w:tcPr>
            <w:tcW w:w="1647" w:type="dxa"/>
            <w:shd w:val="clear" w:color="auto" w:fill="BADFE2"/>
          </w:tcPr>
          <w:p w:rsidR="00B70A0D" w:rsidRPr="00EF2D2B" w:rsidRDefault="00B70A0D" w:rsidP="00CD1812">
            <w:pPr>
              <w:pStyle w:val="TableParagraph"/>
              <w:tabs>
                <w:tab w:val="left" w:pos="0"/>
              </w:tabs>
              <w:spacing w:before="44" w:line="276" w:lineRule="auto"/>
              <w:ind w:left="604" w:right="602"/>
              <w:jc w:val="both"/>
              <w:rPr>
                <w:sz w:val="20"/>
                <w:szCs w:val="20"/>
                <w:lang w:val="mn-MN"/>
              </w:rPr>
            </w:pPr>
            <w:r w:rsidRPr="00EF2D2B">
              <w:rPr>
                <w:sz w:val="20"/>
                <w:szCs w:val="20"/>
                <w:lang w:val="mn-MN"/>
              </w:rPr>
              <w:t>TOS</w:t>
            </w:r>
          </w:p>
        </w:tc>
        <w:tc>
          <w:tcPr>
            <w:tcW w:w="3293" w:type="dxa"/>
            <w:gridSpan w:val="2"/>
            <w:shd w:val="clear" w:color="auto" w:fill="BADFE2"/>
          </w:tcPr>
          <w:p w:rsidR="00B70A0D" w:rsidRPr="00EF2D2B" w:rsidRDefault="00B70A0D" w:rsidP="00CD1812">
            <w:pPr>
              <w:pStyle w:val="TableParagraph"/>
              <w:tabs>
                <w:tab w:val="left" w:pos="0"/>
              </w:tabs>
              <w:spacing w:before="44" w:line="276" w:lineRule="auto"/>
              <w:ind w:left="547"/>
              <w:jc w:val="both"/>
              <w:rPr>
                <w:sz w:val="20"/>
                <w:szCs w:val="20"/>
                <w:lang w:val="mn-MN"/>
              </w:rPr>
            </w:pPr>
            <w:r w:rsidRPr="00EF2D2B">
              <w:rPr>
                <w:sz w:val="20"/>
                <w:szCs w:val="20"/>
                <w:lang w:val="mn-MN"/>
              </w:rPr>
              <w:t xml:space="preserve">Total Length (Нийт </w:t>
            </w:r>
          </w:p>
          <w:p w:rsidR="00B70A0D" w:rsidRPr="00EF2D2B" w:rsidRDefault="00B70A0D" w:rsidP="00CD1812">
            <w:pPr>
              <w:pStyle w:val="TableParagraph"/>
              <w:tabs>
                <w:tab w:val="left" w:pos="0"/>
              </w:tabs>
              <w:spacing w:before="44" w:line="276" w:lineRule="auto"/>
              <w:ind w:left="547"/>
              <w:jc w:val="both"/>
              <w:rPr>
                <w:sz w:val="20"/>
                <w:szCs w:val="20"/>
                <w:lang w:val="mn-MN"/>
              </w:rPr>
            </w:pPr>
            <w:r w:rsidRPr="00EF2D2B">
              <w:rPr>
                <w:sz w:val="20"/>
                <w:szCs w:val="20"/>
                <w:lang w:val="mn-MN"/>
              </w:rPr>
              <w:t>Урт )</w:t>
            </w:r>
          </w:p>
        </w:tc>
      </w:tr>
      <w:tr w:rsidR="00B70A0D" w:rsidRPr="00EF2D2B" w:rsidTr="00CD1812">
        <w:trPr>
          <w:trHeight w:val="305"/>
        </w:trPr>
        <w:tc>
          <w:tcPr>
            <w:tcW w:w="3295" w:type="dxa"/>
            <w:gridSpan w:val="3"/>
            <w:shd w:val="clear" w:color="auto" w:fill="BADFE2"/>
          </w:tcPr>
          <w:p w:rsidR="00B70A0D" w:rsidRPr="00731F96" w:rsidRDefault="00B70A0D" w:rsidP="00CD1812">
            <w:pPr>
              <w:pStyle w:val="TableParagraph"/>
              <w:tabs>
                <w:tab w:val="left" w:pos="0"/>
              </w:tabs>
              <w:spacing w:before="44" w:line="276" w:lineRule="auto"/>
              <w:ind w:left="547"/>
              <w:jc w:val="both"/>
              <w:rPr>
                <w:sz w:val="20"/>
                <w:szCs w:val="20"/>
                <w:lang w:val="mn-MN"/>
              </w:rPr>
            </w:pPr>
            <w:r w:rsidRPr="00EF2D2B">
              <w:rPr>
                <w:sz w:val="20"/>
                <w:szCs w:val="20"/>
                <w:lang w:val="mn-MN"/>
              </w:rPr>
              <w:t>Identification (Тэмдэглэгээ)</w:t>
            </w:r>
          </w:p>
        </w:tc>
        <w:tc>
          <w:tcPr>
            <w:tcW w:w="823" w:type="dxa"/>
            <w:shd w:val="clear" w:color="auto" w:fill="BADFE2"/>
          </w:tcPr>
          <w:p w:rsidR="00B70A0D" w:rsidRPr="00EF2D2B" w:rsidRDefault="00B70A0D" w:rsidP="00CD1812">
            <w:pPr>
              <w:pStyle w:val="TableParagraph"/>
              <w:tabs>
                <w:tab w:val="left" w:pos="0"/>
              </w:tabs>
              <w:spacing w:before="44" w:line="276" w:lineRule="auto"/>
              <w:ind w:left="177"/>
              <w:jc w:val="both"/>
              <w:rPr>
                <w:sz w:val="20"/>
                <w:szCs w:val="20"/>
                <w:lang w:val="mn-MN"/>
              </w:rPr>
            </w:pPr>
            <w:r w:rsidRPr="00EF2D2B">
              <w:rPr>
                <w:sz w:val="20"/>
                <w:szCs w:val="20"/>
                <w:lang w:val="mn-MN"/>
              </w:rPr>
              <w:t>Flags (Сэнж)</w:t>
            </w:r>
          </w:p>
        </w:tc>
        <w:tc>
          <w:tcPr>
            <w:tcW w:w="2470" w:type="dxa"/>
            <w:shd w:val="clear" w:color="auto" w:fill="BADFE2"/>
          </w:tcPr>
          <w:p w:rsidR="00B70A0D" w:rsidRPr="00EF2D2B" w:rsidRDefault="00B70A0D" w:rsidP="00CD1812">
            <w:pPr>
              <w:pStyle w:val="TableParagraph"/>
              <w:tabs>
                <w:tab w:val="left" w:pos="0"/>
              </w:tabs>
              <w:spacing w:before="44" w:line="276" w:lineRule="auto"/>
              <w:jc w:val="both"/>
              <w:rPr>
                <w:sz w:val="20"/>
                <w:szCs w:val="20"/>
                <w:lang w:val="mn-MN"/>
              </w:rPr>
            </w:pPr>
            <w:r w:rsidRPr="00EF2D2B">
              <w:rPr>
                <w:sz w:val="20"/>
                <w:szCs w:val="20"/>
                <w:lang w:val="mn-MN"/>
              </w:rPr>
              <w:t xml:space="preserve">Fragment Offset (Хэсгийн Тохируулга) </w:t>
            </w:r>
          </w:p>
        </w:tc>
      </w:tr>
      <w:tr w:rsidR="00B70A0D" w:rsidRPr="00EF2D2B" w:rsidTr="00CD1812">
        <w:trPr>
          <w:trHeight w:val="305"/>
        </w:trPr>
        <w:tc>
          <w:tcPr>
            <w:tcW w:w="1648" w:type="dxa"/>
            <w:gridSpan w:val="2"/>
            <w:shd w:val="clear" w:color="auto" w:fill="BADFE2"/>
          </w:tcPr>
          <w:p w:rsidR="00B70A0D" w:rsidRPr="00731F96" w:rsidRDefault="00B70A0D" w:rsidP="00CD1812">
            <w:pPr>
              <w:pStyle w:val="TableParagraph"/>
              <w:tabs>
                <w:tab w:val="left" w:pos="0"/>
              </w:tabs>
              <w:spacing w:before="44" w:line="276" w:lineRule="auto"/>
              <w:ind w:left="272"/>
              <w:jc w:val="both"/>
              <w:rPr>
                <w:sz w:val="20"/>
                <w:szCs w:val="20"/>
                <w:lang w:val="mn-MN"/>
              </w:rPr>
            </w:pPr>
            <w:r w:rsidRPr="00EF2D2B">
              <w:rPr>
                <w:sz w:val="20"/>
                <w:szCs w:val="20"/>
                <w:highlight w:val="yellow"/>
                <w:lang w:val="mn-MN"/>
              </w:rPr>
              <w:lastRenderedPageBreak/>
              <w:t>Time To Live</w:t>
            </w:r>
          </w:p>
        </w:tc>
        <w:tc>
          <w:tcPr>
            <w:tcW w:w="1647" w:type="dxa"/>
            <w:shd w:val="clear" w:color="auto" w:fill="BADFE2"/>
          </w:tcPr>
          <w:p w:rsidR="00B70A0D" w:rsidRPr="00EF2D2B" w:rsidRDefault="00B70A0D" w:rsidP="00CD1812">
            <w:pPr>
              <w:pStyle w:val="TableParagraph"/>
              <w:tabs>
                <w:tab w:val="left" w:pos="0"/>
              </w:tabs>
              <w:spacing w:before="44" w:line="276" w:lineRule="auto"/>
              <w:jc w:val="both"/>
              <w:rPr>
                <w:sz w:val="20"/>
                <w:szCs w:val="20"/>
                <w:lang w:val="mn-MN"/>
              </w:rPr>
            </w:pPr>
            <w:r w:rsidRPr="00EF2D2B">
              <w:rPr>
                <w:sz w:val="20"/>
                <w:szCs w:val="20"/>
                <w:lang w:val="mn-MN"/>
              </w:rPr>
              <w:t>Protocol (Протокол)</w:t>
            </w:r>
          </w:p>
        </w:tc>
        <w:tc>
          <w:tcPr>
            <w:tcW w:w="3293" w:type="dxa"/>
            <w:gridSpan w:val="2"/>
            <w:shd w:val="clear" w:color="auto" w:fill="BADFE2"/>
          </w:tcPr>
          <w:p w:rsidR="00B70A0D" w:rsidRPr="00EF2D2B" w:rsidRDefault="00B70A0D" w:rsidP="00CD1812">
            <w:pPr>
              <w:pStyle w:val="TableParagraph"/>
              <w:tabs>
                <w:tab w:val="left" w:pos="0"/>
              </w:tabs>
              <w:spacing w:before="44" w:line="276" w:lineRule="auto"/>
              <w:ind w:left="272"/>
              <w:jc w:val="both"/>
              <w:rPr>
                <w:sz w:val="20"/>
                <w:szCs w:val="20"/>
                <w:lang w:val="mn-MN"/>
              </w:rPr>
            </w:pPr>
            <w:r w:rsidRPr="00EF2D2B">
              <w:rPr>
                <w:sz w:val="20"/>
                <w:szCs w:val="20"/>
                <w:highlight w:val="yellow"/>
                <w:lang w:val="mn-MN"/>
              </w:rPr>
              <w:t>Header Cheksum</w:t>
            </w:r>
          </w:p>
        </w:tc>
      </w:tr>
      <w:tr w:rsidR="00B70A0D" w:rsidRPr="00EF2D2B" w:rsidTr="00CD1812">
        <w:trPr>
          <w:trHeight w:val="305"/>
        </w:trPr>
        <w:tc>
          <w:tcPr>
            <w:tcW w:w="6588" w:type="dxa"/>
            <w:gridSpan w:val="5"/>
            <w:shd w:val="clear" w:color="auto" w:fill="BADFE2"/>
          </w:tcPr>
          <w:p w:rsidR="00B70A0D" w:rsidRPr="00EF2D2B" w:rsidRDefault="00B70A0D" w:rsidP="00CD1812">
            <w:pPr>
              <w:pStyle w:val="TableParagraph"/>
              <w:tabs>
                <w:tab w:val="left" w:pos="0"/>
              </w:tabs>
              <w:spacing w:before="44" w:line="276" w:lineRule="auto"/>
              <w:ind w:left="2117" w:right="2107"/>
              <w:jc w:val="center"/>
              <w:rPr>
                <w:sz w:val="20"/>
                <w:szCs w:val="20"/>
                <w:lang w:val="mn-MN"/>
              </w:rPr>
            </w:pPr>
            <w:r w:rsidRPr="00EF2D2B">
              <w:rPr>
                <w:sz w:val="20"/>
                <w:szCs w:val="20"/>
                <w:lang w:val="mn-MN"/>
              </w:rPr>
              <w:t>32 bits Source Address (32 битийн Эх Х</w:t>
            </w:r>
            <w:r w:rsidRPr="00731F96">
              <w:rPr>
                <w:sz w:val="20"/>
                <w:szCs w:val="20"/>
                <w:lang w:val="mn-MN"/>
              </w:rPr>
              <w:t>аяг</w:t>
            </w:r>
            <w:r w:rsidRPr="00EF2D2B">
              <w:rPr>
                <w:sz w:val="20"/>
                <w:szCs w:val="20"/>
                <w:lang w:val="mn-MN"/>
              </w:rPr>
              <w:t>)</w:t>
            </w:r>
          </w:p>
        </w:tc>
      </w:tr>
      <w:tr w:rsidR="00B70A0D" w:rsidRPr="00EF2D2B" w:rsidTr="00CD1812">
        <w:trPr>
          <w:trHeight w:val="305"/>
        </w:trPr>
        <w:tc>
          <w:tcPr>
            <w:tcW w:w="6588" w:type="dxa"/>
            <w:gridSpan w:val="5"/>
            <w:shd w:val="clear" w:color="auto" w:fill="BADFE2"/>
          </w:tcPr>
          <w:p w:rsidR="00B70A0D" w:rsidRPr="00731F96" w:rsidRDefault="00B70A0D" w:rsidP="00CD1812">
            <w:pPr>
              <w:pStyle w:val="TableParagraph"/>
              <w:tabs>
                <w:tab w:val="left" w:pos="0"/>
              </w:tabs>
              <w:spacing w:before="44" w:line="276" w:lineRule="auto"/>
              <w:ind w:left="2117" w:right="2107"/>
              <w:jc w:val="center"/>
              <w:rPr>
                <w:sz w:val="20"/>
                <w:szCs w:val="20"/>
                <w:lang w:val="mn-MN"/>
              </w:rPr>
            </w:pPr>
            <w:r w:rsidRPr="00EF2D2B">
              <w:rPr>
                <w:sz w:val="20"/>
                <w:szCs w:val="20"/>
                <w:lang w:val="mn-MN"/>
              </w:rPr>
              <w:t>32 bits Destination Address</w:t>
            </w:r>
          </w:p>
          <w:p w:rsidR="00B70A0D" w:rsidRPr="00EF2D2B" w:rsidRDefault="00B70A0D" w:rsidP="00CD1812">
            <w:pPr>
              <w:pStyle w:val="TableParagraph"/>
              <w:tabs>
                <w:tab w:val="left" w:pos="0"/>
              </w:tabs>
              <w:spacing w:before="44" w:line="276" w:lineRule="auto"/>
              <w:ind w:left="2117" w:right="2107"/>
              <w:jc w:val="center"/>
              <w:rPr>
                <w:sz w:val="20"/>
                <w:szCs w:val="20"/>
                <w:lang w:val="mn-MN"/>
              </w:rPr>
            </w:pPr>
            <w:r w:rsidRPr="00EF2D2B">
              <w:rPr>
                <w:sz w:val="20"/>
                <w:szCs w:val="20"/>
                <w:lang w:val="mn-MN"/>
              </w:rPr>
              <w:t>(32 битийн Хүрэх газрын Хаяг )</w:t>
            </w:r>
          </w:p>
        </w:tc>
      </w:tr>
      <w:tr w:rsidR="00B70A0D" w:rsidRPr="00EF2D2B" w:rsidTr="00CD1812">
        <w:trPr>
          <w:trHeight w:val="305"/>
        </w:trPr>
        <w:tc>
          <w:tcPr>
            <w:tcW w:w="6588" w:type="dxa"/>
            <w:gridSpan w:val="5"/>
            <w:shd w:val="clear" w:color="auto" w:fill="BADFE2"/>
          </w:tcPr>
          <w:p w:rsidR="00B70A0D" w:rsidRPr="00EF2D2B" w:rsidRDefault="00B70A0D" w:rsidP="00CD1812">
            <w:pPr>
              <w:pStyle w:val="TableParagraph"/>
              <w:tabs>
                <w:tab w:val="left" w:pos="0"/>
              </w:tabs>
              <w:spacing w:before="44" w:line="276" w:lineRule="auto"/>
              <w:ind w:left="2115" w:right="2107"/>
              <w:jc w:val="both"/>
              <w:rPr>
                <w:sz w:val="20"/>
                <w:szCs w:val="20"/>
                <w:lang w:val="mn-MN"/>
              </w:rPr>
            </w:pPr>
            <w:r w:rsidRPr="00EF2D2B">
              <w:rPr>
                <w:sz w:val="20"/>
                <w:szCs w:val="20"/>
                <w:lang w:val="mn-MN"/>
              </w:rPr>
              <w:t>Options (</w:t>
            </w:r>
            <w:r w:rsidRPr="00731F96">
              <w:rPr>
                <w:sz w:val="20"/>
                <w:szCs w:val="20"/>
                <w:lang w:val="mn-MN"/>
              </w:rPr>
              <w:t>Тохируулга</w:t>
            </w:r>
            <w:r w:rsidRPr="00EF2D2B">
              <w:rPr>
                <w:sz w:val="20"/>
                <w:szCs w:val="20"/>
                <w:lang w:val="mn-MN"/>
              </w:rPr>
              <w:t>)</w:t>
            </w:r>
          </w:p>
        </w:tc>
      </w:tr>
    </w:tbl>
    <w:p w:rsidR="00B70A0D" w:rsidRPr="00B70A0D" w:rsidRDefault="00B70A0D" w:rsidP="00B70A0D">
      <w:pPr>
        <w:tabs>
          <w:tab w:val="left" w:pos="142"/>
        </w:tabs>
        <w:ind w:left="0" w:firstLine="0"/>
        <w:rPr>
          <w:b/>
        </w:rPr>
      </w:pPr>
    </w:p>
    <w:p w:rsidR="00B70A0D" w:rsidRDefault="00B70A0D" w:rsidP="00B70A0D">
      <w:pPr>
        <w:tabs>
          <w:tab w:val="left" w:pos="142"/>
        </w:tabs>
        <w:ind w:left="142"/>
        <w:jc w:val="center"/>
        <w:rPr>
          <w:b/>
        </w:rPr>
      </w:pPr>
      <w:r w:rsidRPr="00B70A0D">
        <w:rPr>
          <w:b/>
        </w:rPr>
        <w:t>34</w:t>
      </w:r>
      <w:r>
        <w:rPr>
          <w:b/>
          <w:lang w:val="en-US"/>
        </w:rPr>
        <w:t>-</w:t>
      </w:r>
      <w:r>
        <w:rPr>
          <w:b/>
        </w:rPr>
        <w:t>р зураг</w:t>
      </w:r>
      <w:r w:rsidRPr="00B70A0D">
        <w:rPr>
          <w:b/>
        </w:rPr>
        <w:t xml:space="preserve"> –IP гарчгийн формат</w:t>
      </w:r>
    </w:p>
    <w:p w:rsidR="00B70A0D" w:rsidRDefault="00B70A0D" w:rsidP="00B70A0D">
      <w:pPr>
        <w:tabs>
          <w:tab w:val="left" w:pos="142"/>
        </w:tabs>
        <w:ind w:left="142"/>
        <w:jc w:val="center"/>
        <w:rPr>
          <w:b/>
        </w:rPr>
      </w:pPr>
      <w:r>
        <w:rPr>
          <w:noProof/>
          <w:lang w:val="en-US"/>
        </w:rPr>
        <w:drawing>
          <wp:inline distT="0" distB="0" distL="0" distR="0" wp14:anchorId="46028EB7" wp14:editId="4F19B9C7">
            <wp:extent cx="5572125" cy="2114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72125" cy="2114550"/>
                    </a:xfrm>
                    <a:prstGeom prst="rect">
                      <a:avLst/>
                    </a:prstGeom>
                  </pic:spPr>
                </pic:pic>
              </a:graphicData>
            </a:graphic>
          </wp:inline>
        </w:drawing>
      </w:r>
    </w:p>
    <w:p w:rsidR="00B70A0D" w:rsidRDefault="00B70A0D" w:rsidP="00B70A0D">
      <w:pPr>
        <w:jc w:val="center"/>
        <w:rPr>
          <w:b/>
        </w:rPr>
      </w:pPr>
      <w:r w:rsidRPr="00731F96">
        <w:rPr>
          <w:b/>
        </w:rPr>
        <w:t>Figure 34 – Format of IP</w:t>
      </w:r>
      <w:r w:rsidRPr="00EF2D2B">
        <w:rPr>
          <w:b/>
        </w:rPr>
        <w:t xml:space="preserve"> header</w:t>
      </w:r>
    </w:p>
    <w:tbl>
      <w:tblPr>
        <w:tblStyle w:val="TableGrid"/>
        <w:tblW w:w="0" w:type="auto"/>
        <w:tblInd w:w="142" w:type="dxa"/>
        <w:tblLook w:val="04A0" w:firstRow="1" w:lastRow="0" w:firstColumn="1" w:lastColumn="0" w:noHBand="0" w:noVBand="1"/>
      </w:tblPr>
      <w:tblGrid>
        <w:gridCol w:w="4607"/>
        <w:gridCol w:w="4595"/>
      </w:tblGrid>
      <w:tr w:rsidR="00B70A0D" w:rsidTr="00B70A0D">
        <w:tc>
          <w:tcPr>
            <w:tcW w:w="4672" w:type="dxa"/>
          </w:tcPr>
          <w:p w:rsidR="00B70A0D" w:rsidRPr="00B70A0D" w:rsidRDefault="00B70A0D" w:rsidP="00B70A0D">
            <w:pPr>
              <w:tabs>
                <w:tab w:val="left" w:pos="142"/>
              </w:tabs>
              <w:ind w:left="0" w:firstLine="0"/>
              <w:rPr>
                <w:rFonts w:eastAsia="Calibri"/>
                <w:bCs/>
                <w:szCs w:val="22"/>
              </w:rPr>
            </w:pPr>
            <w:r w:rsidRPr="00966D1C">
              <w:rPr>
                <w:rFonts w:eastAsia="Calibri"/>
                <w:bCs/>
                <w:szCs w:val="22"/>
              </w:rPr>
              <w:t>RFC 791-д тодорхойлсон IP гарчгийн талбаруудыг Зураг 34-т харуулав. Багцуудын бөөгнөрлийн боловсруулалтыг TOS (Сервисийн төрөл) талбар (8 бит урт) гэж нэрлэгддэг мэдээллийг ашиглан дохио өгч болно. Энэ талбарыг одоо DSCP (Differentiated Services Code Point) ба ECN (Explicit Congestion Notification) гэсэн хоёр дэд талбараас боловсруулсан гэж үздэг. TOS талбарын форматыг Зураг 35-т үзүүлэв.</w:t>
            </w:r>
          </w:p>
        </w:tc>
        <w:tc>
          <w:tcPr>
            <w:tcW w:w="4672" w:type="dxa"/>
          </w:tcPr>
          <w:p w:rsidR="00B70A0D" w:rsidRPr="00B70A0D" w:rsidRDefault="00B70A0D" w:rsidP="00B70A0D">
            <w:pPr>
              <w:tabs>
                <w:tab w:val="left" w:pos="142"/>
              </w:tabs>
              <w:ind w:left="0" w:firstLine="0"/>
              <w:rPr>
                <w:rFonts w:eastAsia="Calibri"/>
                <w:bCs/>
                <w:szCs w:val="22"/>
              </w:rPr>
            </w:pPr>
            <w:r w:rsidRPr="00966D1C">
              <w:rPr>
                <w:rFonts w:eastAsia="Calibri"/>
                <w:bCs/>
                <w:szCs w:val="22"/>
              </w:rPr>
              <w:t xml:space="preserve">The fields of the IP Header, as defined in RFC 791, are shown  </w:t>
            </w:r>
            <w:hyperlink w:anchor="_bookmark67" w:history="1">
              <w:r w:rsidRPr="00966D1C">
                <w:rPr>
                  <w:rFonts w:eastAsia="Calibri"/>
                  <w:bCs/>
                  <w:szCs w:val="22"/>
                </w:rPr>
                <w:t>Figure 34.</w:t>
              </w:r>
            </w:hyperlink>
            <w:r w:rsidRPr="00966D1C">
              <w:rPr>
                <w:rFonts w:eastAsia="Calibri"/>
                <w:bCs/>
                <w:szCs w:val="22"/>
              </w:rPr>
              <w:t xml:space="preserve">  Treatment of packets under congestion can be signalled using information contained in what was originally referred to as the TOS (Type of Service) field (8-bits in length). This field is now treated as consisting of two sub-fields, DSCP (Differentiated Services Code Point) and ECN (Explicit Congestion Notification). The format for the TOS field is shown in </w:t>
            </w:r>
            <w:hyperlink w:anchor="_bookmark68" w:history="1">
              <w:r w:rsidRPr="00966D1C">
                <w:rPr>
                  <w:rFonts w:eastAsia="Calibri"/>
                  <w:bCs/>
                  <w:szCs w:val="22"/>
                </w:rPr>
                <w:t>Figure 35.</w:t>
              </w:r>
            </w:hyperlink>
          </w:p>
        </w:tc>
      </w:tr>
    </w:tbl>
    <w:p w:rsidR="00B70A0D" w:rsidRDefault="00B70A0D" w:rsidP="00095C1D">
      <w:pPr>
        <w:tabs>
          <w:tab w:val="left" w:pos="142"/>
        </w:tabs>
        <w:ind w:left="142"/>
        <w:jc w:val="center"/>
        <w:rPr>
          <w:b/>
        </w:rPr>
      </w:pPr>
    </w:p>
    <w:p w:rsidR="00B70A0D" w:rsidRDefault="00B70A0D" w:rsidP="00B70A0D">
      <w:pPr>
        <w:tabs>
          <w:tab w:val="left" w:pos="142"/>
        </w:tabs>
        <w:ind w:left="142"/>
        <w:jc w:val="center"/>
        <w:rPr>
          <w:b/>
        </w:rPr>
      </w:pPr>
      <w:r>
        <w:rPr>
          <w:noProof/>
          <w:lang w:val="en-US"/>
        </w:rPr>
        <w:drawing>
          <wp:inline distT="0" distB="0" distL="0" distR="0" wp14:anchorId="2541B7CA" wp14:editId="65347BA6">
            <wp:extent cx="4724400" cy="1000125"/>
            <wp:effectExtent l="0" t="0" r="0"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24400" cy="1000125"/>
                    </a:xfrm>
                    <a:prstGeom prst="rect">
                      <a:avLst/>
                    </a:prstGeom>
                  </pic:spPr>
                </pic:pic>
              </a:graphicData>
            </a:graphic>
          </wp:inline>
        </w:drawing>
      </w:r>
    </w:p>
    <w:p w:rsidR="00B70A0D" w:rsidRDefault="00B70A0D" w:rsidP="00B70A0D">
      <w:pPr>
        <w:tabs>
          <w:tab w:val="left" w:pos="142"/>
        </w:tabs>
        <w:ind w:left="142"/>
        <w:jc w:val="center"/>
        <w:rPr>
          <w:b/>
        </w:rPr>
      </w:pPr>
      <w:r w:rsidRPr="00B70A0D">
        <w:rPr>
          <w:b/>
        </w:rPr>
        <w:t>35</w:t>
      </w:r>
      <w:r>
        <w:rPr>
          <w:b/>
        </w:rPr>
        <w:t>-р зураг</w:t>
      </w:r>
      <w:r w:rsidRPr="00B70A0D">
        <w:rPr>
          <w:b/>
        </w:rPr>
        <w:t xml:space="preserve"> – ToS байтын талбарын тодорхойлолт RFC-2474 ба RFC-3168</w:t>
      </w:r>
    </w:p>
    <w:p w:rsidR="00B70A0D" w:rsidRDefault="00B70A0D" w:rsidP="00B70A0D">
      <w:pPr>
        <w:jc w:val="center"/>
        <w:rPr>
          <w:b/>
        </w:rPr>
      </w:pPr>
      <w:r w:rsidRPr="00731F96">
        <w:rPr>
          <w:b/>
        </w:rPr>
        <w:t>Figure 35 – ToS byte field definition RFC-2474 and RFC-3168</w:t>
      </w:r>
    </w:p>
    <w:p w:rsidR="00B70A0D" w:rsidRDefault="00B70A0D"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B70A0D" w:rsidTr="00B70A0D">
        <w:tc>
          <w:tcPr>
            <w:tcW w:w="4601" w:type="dxa"/>
          </w:tcPr>
          <w:p w:rsidR="00B70A0D" w:rsidRPr="00B70A0D" w:rsidRDefault="00B70A0D" w:rsidP="00B70A0D">
            <w:pPr>
              <w:tabs>
                <w:tab w:val="left" w:pos="142"/>
              </w:tabs>
              <w:ind w:left="0" w:firstLine="0"/>
              <w:rPr>
                <w:rFonts w:eastAsia="Calibri"/>
                <w:bCs/>
                <w:szCs w:val="22"/>
              </w:rPr>
            </w:pPr>
            <w:r w:rsidRPr="00B70A0D">
              <w:rPr>
                <w:rFonts w:eastAsia="Calibri"/>
                <w:bCs/>
                <w:szCs w:val="22"/>
              </w:rPr>
              <w:lastRenderedPageBreak/>
              <w:t>DSCP талбарыг сүлжээгээр дамжуулж буй төгсгөлөөс төгсгөл зам дагуу тодорхой багцад тодорхой боловсруулалтын дохиог ашиглаж болно.Үсрэлт эсвэл чиглүүлэгч бүрд DSCP-ийг багцад тохирох per-hop-behaviour(нэгж-үсрэлт-шинж) (PHB)-ийг хэрэгжүүлэхэд ашиглаж болно.DSCP талбарыг багцыг анхдагч хостоос дамжуулж байх үед эсвэл сүлжээнд өөр өөр цэгүүд (ж.нь домэйн доторх захын хил эсвэл домэйний хил дээр). дээр байгаа бусад багцуудтай (эсвэл шилжүүлэлт) холбоотой тодорхой багцын хамаарлыг өөрчлөх үүднээс хэрэгжүүлэлтээс хамааран сүлжээнд байгаа бүх hop хэсэгт өөрчилж болно.</w:t>
            </w:r>
          </w:p>
          <w:p w:rsidR="00B70A0D" w:rsidRPr="00B70A0D" w:rsidRDefault="00B70A0D" w:rsidP="00B70A0D">
            <w:pPr>
              <w:tabs>
                <w:tab w:val="left" w:pos="142"/>
              </w:tabs>
              <w:ind w:left="0" w:firstLine="0"/>
              <w:rPr>
                <w:rFonts w:eastAsia="Calibri"/>
                <w:bCs/>
                <w:szCs w:val="22"/>
              </w:rPr>
            </w:pPr>
            <w:r w:rsidRPr="00B70A0D">
              <w:rPr>
                <w:rFonts w:eastAsia="Calibri"/>
                <w:bCs/>
                <w:szCs w:val="22"/>
              </w:rPr>
              <w:t>Тодорхой домэйн дотор шилжүүлэлтийн янз бүрийн төрлийг хэрхэн зохицуулж байгаа нь тухайн домэйнд заасан удирдамжтай холбоотой байх ёстой. Шилжүүлэлтийн тодорхой ангилалд DSCP утгуудад суурь тохиргоо хийх талаар янз бүрийн чиглүүлэгч борлуулагчдаас зөвлөмж авах боломжтой (ж.нь VoIP, Video, Data, Best Effort Traffic ба бусад).</w:t>
            </w:r>
          </w:p>
          <w:p w:rsidR="00B70A0D" w:rsidRPr="00B70A0D" w:rsidRDefault="00B70A0D" w:rsidP="00B70A0D">
            <w:pPr>
              <w:tabs>
                <w:tab w:val="left" w:pos="142"/>
              </w:tabs>
              <w:ind w:left="0" w:firstLine="0"/>
              <w:rPr>
                <w:rFonts w:eastAsia="Calibri"/>
                <w:bCs/>
                <w:szCs w:val="22"/>
              </w:rPr>
            </w:pPr>
            <w:r w:rsidRPr="00B70A0D">
              <w:rPr>
                <w:rFonts w:eastAsia="Calibri"/>
                <w:bCs/>
                <w:szCs w:val="22"/>
              </w:rPr>
              <w:t>ECN битийг завсрын системээр RFC 3168 тутамд тохируулахыг зөвлөж байна. Үүнээс гадна, бөөгнөрлийг харуулсан захиалагчдад хүргэгдсэн IP багцууд нь багц алдагдсан тухай мэдэгдэл өгөх ёстой. Бодит мэдэгдлийн механизм нь энэхүү Техникийн тайланд тусгагдаагүй болно.</w:t>
            </w:r>
          </w:p>
          <w:p w:rsidR="00B70A0D" w:rsidRPr="00B70A0D" w:rsidRDefault="00B70A0D" w:rsidP="00B70A0D">
            <w:pPr>
              <w:tabs>
                <w:tab w:val="left" w:pos="142"/>
              </w:tabs>
              <w:ind w:left="0" w:firstLine="0"/>
              <w:rPr>
                <w:rFonts w:eastAsia="Calibri"/>
                <w:bCs/>
                <w:szCs w:val="22"/>
              </w:rPr>
            </w:pPr>
            <w:r w:rsidRPr="00B70A0D">
              <w:rPr>
                <w:rFonts w:eastAsia="Calibri"/>
                <w:bCs/>
                <w:szCs w:val="22"/>
              </w:rPr>
              <w:t xml:space="preserve">Т- ба A-Профайлуудыг хоёуланг нь RFC 3246-д тодорхойлсон Expedited  Forwarding(Хурдасгасан дамжуулалт)(EF)гэж тэмдэглэсэн байдаг. Бусад траффиктэй харьцуулахад хурдасгахын тулд энэ трафикийг бага хоцролтын дарааллаар хуваарилдаг.Мөн энэ шилжүүлэлтийг бусад төрлийн шилжүүлэлттэй </w:t>
            </w:r>
            <w:r w:rsidRPr="00B70A0D">
              <w:rPr>
                <w:rFonts w:eastAsia="Calibri"/>
                <w:bCs/>
                <w:szCs w:val="22"/>
              </w:rPr>
              <w:lastRenderedPageBreak/>
              <w:t>харьцуулахад хурдасгах үүднээс бага хоцролтын дараалалд (Low Latency Queues) оруулах хуваарийг зааж өгсөн болно.</w:t>
            </w:r>
          </w:p>
          <w:p w:rsidR="00B70A0D" w:rsidRPr="00B70A0D" w:rsidRDefault="00B70A0D" w:rsidP="00B70A0D">
            <w:pPr>
              <w:tabs>
                <w:tab w:val="left" w:pos="142"/>
              </w:tabs>
              <w:ind w:left="0" w:firstLine="0"/>
              <w:rPr>
                <w:rFonts w:eastAsia="Calibri"/>
                <w:bCs/>
                <w:szCs w:val="22"/>
              </w:rPr>
            </w:pPr>
            <w:r w:rsidRPr="00B70A0D">
              <w:rPr>
                <w:rFonts w:eastAsia="Calibri"/>
                <w:bCs/>
                <w:szCs w:val="22"/>
              </w:rPr>
              <w:t>Ангиллын бодит нөхцлүүд нь ашиглалтын сүлжээний домэйнд байгаа A- ба T-Профайл шилжүүлэлтийн тодорхой холимог ба зохих хэрэгжүүлэлт, тэдгээрийн асуудлыг шийдвэрлэхэд харьцангуй ач холбогдлоос хамааруулна. Солбицсон-домэйн(cross-domain) нөхцөл байдалд шилжүүлэлт хэрхэн зохицуулагдахыг төрөл бүрийн домэйн админууд хоорондоо тохиролцох шаардлагатай.</w:t>
            </w:r>
          </w:p>
          <w:p w:rsidR="00B70A0D" w:rsidRPr="00B70A0D" w:rsidRDefault="00B70A0D" w:rsidP="00B70A0D">
            <w:pPr>
              <w:tabs>
                <w:tab w:val="left" w:pos="142"/>
              </w:tabs>
              <w:ind w:left="0" w:firstLine="0"/>
              <w:rPr>
                <w:rFonts w:eastAsia="Calibri"/>
                <w:bCs/>
                <w:szCs w:val="22"/>
              </w:rPr>
            </w:pPr>
            <w:r w:rsidRPr="00B70A0D">
              <w:rPr>
                <w:rFonts w:eastAsia="Calibri"/>
                <w:bCs/>
                <w:szCs w:val="22"/>
              </w:rPr>
              <w:t>Мөн RFC 791 нь нэмэлт Аюулгүй Байдлын Талбарыг (ж.нь IP Сонголт Талбаруудын нэг) агуулдаг. Гэвч энэ талбарын формат ба хэрэглээг RFC 1108-ээр орлуулсан.Энэ талбар нь RFC 791 дээр сонгогддог боловч энэхүү Техникийн тайланд нийцэхийг шаардсан хэрэгжүүлэлтүүдийг Зураг 36-т харуулсны дагуу энэ талбарыг RFC 1108 тутамд энэ талбарыг илгээнэ.</w:t>
            </w:r>
          </w:p>
        </w:tc>
        <w:tc>
          <w:tcPr>
            <w:tcW w:w="4601" w:type="dxa"/>
          </w:tcPr>
          <w:p w:rsidR="00B70A0D" w:rsidRPr="00B70A0D" w:rsidRDefault="00B70A0D" w:rsidP="00B70A0D">
            <w:pPr>
              <w:tabs>
                <w:tab w:val="left" w:pos="142"/>
              </w:tabs>
              <w:ind w:left="0" w:firstLine="0"/>
              <w:rPr>
                <w:rFonts w:eastAsia="Calibri"/>
                <w:bCs/>
                <w:szCs w:val="22"/>
              </w:rPr>
            </w:pPr>
            <w:r w:rsidRPr="00B70A0D">
              <w:rPr>
                <w:rFonts w:eastAsia="Calibri"/>
                <w:bCs/>
                <w:szCs w:val="22"/>
              </w:rPr>
              <w:lastRenderedPageBreak/>
              <w:t>The DSCP field can be used to signal a particular treatment for a specific packet along its end-end path through the network. At each hop, or router, the DSCP can be used  to  implement a particular per-hop-behaviour (PHB) for the packet. The DSCP field can be set when the packet is first transmitted by the originating host or it can be changed at any hop in  the network, depending on the implementation, in order to change the relevance  of  a  particular packet with regard to other packets (or traffic) at different points in the network (e.g.  at edge-core boundary within a domain or at a domain boundary).</w:t>
            </w:r>
          </w:p>
          <w:p w:rsidR="00B70A0D" w:rsidRPr="00B70A0D" w:rsidRDefault="00B70A0D" w:rsidP="00B70A0D">
            <w:pPr>
              <w:tabs>
                <w:tab w:val="left" w:pos="142"/>
              </w:tabs>
              <w:ind w:left="0" w:firstLine="0"/>
              <w:rPr>
                <w:rFonts w:eastAsia="Calibri"/>
                <w:bCs/>
                <w:szCs w:val="22"/>
              </w:rPr>
            </w:pPr>
            <w:r w:rsidRPr="00B70A0D">
              <w:rPr>
                <w:rFonts w:eastAsia="Calibri"/>
                <w:bCs/>
                <w:szCs w:val="22"/>
              </w:rPr>
              <w:t>How different types of traffic are treated within a particular domain must be relevant to the policy set forth in the domain. Recommendations are available from various router vendors regarding baseline settings for DSCP values for particular traffic classes (e.g. VoIP, Video, Data, Best Effort Traffic and others).</w:t>
            </w:r>
          </w:p>
          <w:p w:rsidR="00B70A0D" w:rsidRPr="00B70A0D" w:rsidRDefault="00B70A0D" w:rsidP="00B70A0D">
            <w:pPr>
              <w:tabs>
                <w:tab w:val="left" w:pos="142"/>
              </w:tabs>
              <w:ind w:left="0" w:firstLine="0"/>
              <w:rPr>
                <w:rFonts w:eastAsia="Calibri"/>
                <w:bCs/>
                <w:szCs w:val="22"/>
              </w:rPr>
            </w:pPr>
            <w:r w:rsidRPr="00B70A0D">
              <w:rPr>
                <w:rFonts w:eastAsia="Calibri"/>
                <w:bCs/>
                <w:szCs w:val="22"/>
              </w:rPr>
              <w:t>It is recommended that ECN bits are set per RFC 3168 by the intermediate systems. Furthermore, it is recommended that IP packets, delivered to a subscriber, indicating  congestion should provide a notification to the application of packet  loss. The actual notification mechanism is out of the scope of this Technical Report.</w:t>
            </w:r>
          </w:p>
          <w:p w:rsidR="00B70A0D" w:rsidRPr="00B70A0D" w:rsidRDefault="00B70A0D" w:rsidP="00B70A0D">
            <w:pPr>
              <w:tabs>
                <w:tab w:val="left" w:pos="142"/>
              </w:tabs>
              <w:ind w:left="0" w:firstLine="0"/>
              <w:rPr>
                <w:rFonts w:eastAsia="Calibri"/>
                <w:bCs/>
                <w:szCs w:val="22"/>
              </w:rPr>
            </w:pPr>
            <w:r w:rsidRPr="00B70A0D">
              <w:rPr>
                <w:rFonts w:eastAsia="Calibri"/>
                <w:bCs/>
                <w:szCs w:val="22"/>
              </w:rPr>
              <w:t>Both T- and  A-Profiles  merit  are  marked  as  Expedited  Forwarding  (EF),  described  in RFC 3246. Additionally, scheduling of this traffic into Low Latency Queues in order  to  expedite its handling versus other types of traffic is indicated.</w:t>
            </w:r>
          </w:p>
          <w:p w:rsidR="00B70A0D" w:rsidRPr="00B70A0D" w:rsidRDefault="00B70A0D" w:rsidP="00B70A0D">
            <w:pPr>
              <w:tabs>
                <w:tab w:val="left" w:pos="142"/>
              </w:tabs>
              <w:ind w:left="0" w:firstLine="0"/>
              <w:rPr>
                <w:rFonts w:eastAsia="Calibri"/>
                <w:bCs/>
                <w:szCs w:val="22"/>
              </w:rPr>
            </w:pPr>
            <w:r w:rsidRPr="00B70A0D">
              <w:rPr>
                <w:rFonts w:eastAsia="Calibri"/>
                <w:bCs/>
                <w:szCs w:val="22"/>
              </w:rPr>
              <w:t xml:space="preserve">The actual specifics for classification will depend on the particular  implementation  and specific mix of A- and T-Profile traffic within a utility network domain and their relative importance to problem resolution. How traffic is  handled in cross-domain </w:t>
            </w:r>
            <w:r w:rsidRPr="00B70A0D">
              <w:rPr>
                <w:rFonts w:eastAsia="Calibri"/>
                <w:bCs/>
                <w:szCs w:val="22"/>
              </w:rPr>
              <w:lastRenderedPageBreak/>
              <w:t>situations  will need  to be negotiated between the various domain administrations.</w:t>
            </w:r>
          </w:p>
          <w:p w:rsidR="00B70A0D" w:rsidRPr="00B70A0D" w:rsidRDefault="00B70A0D" w:rsidP="00B70A0D">
            <w:pPr>
              <w:tabs>
                <w:tab w:val="left" w:pos="142"/>
              </w:tabs>
              <w:ind w:left="0" w:firstLine="0"/>
              <w:rPr>
                <w:rFonts w:eastAsia="Calibri"/>
                <w:bCs/>
                <w:szCs w:val="22"/>
              </w:rPr>
            </w:pPr>
            <w:r w:rsidRPr="00B70A0D">
              <w:rPr>
                <w:rFonts w:eastAsia="Calibri"/>
                <w:bCs/>
                <w:szCs w:val="22"/>
              </w:rPr>
              <w:t>Additionally, RFC 791 includes the provision of an optional Security Field (e.g. one of the IP Option fields). However, the format and use of this field has been superseded by RFC 1108. Although this field is optional in RFC 791, implementations claiming conformance to this Technical Report shall implement and send this field per RFC 1108, as shown in Figure 36.</w:t>
            </w:r>
          </w:p>
        </w:tc>
      </w:tr>
    </w:tbl>
    <w:p w:rsidR="00B70A0D" w:rsidRDefault="00B70A0D" w:rsidP="00095C1D">
      <w:pPr>
        <w:tabs>
          <w:tab w:val="left" w:pos="142"/>
        </w:tabs>
        <w:ind w:left="142"/>
        <w:jc w:val="center"/>
        <w:rPr>
          <w:b/>
        </w:rPr>
      </w:pPr>
    </w:p>
    <w:p w:rsidR="00B70A0D" w:rsidRDefault="00B70A0D" w:rsidP="00B70A0D">
      <w:pPr>
        <w:tabs>
          <w:tab w:val="left" w:pos="142"/>
        </w:tabs>
        <w:ind w:left="142"/>
        <w:jc w:val="center"/>
        <w:rPr>
          <w:b/>
        </w:rPr>
      </w:pPr>
      <w:r>
        <w:rPr>
          <w:noProof/>
          <w:lang w:val="en-US"/>
        </w:rPr>
        <w:drawing>
          <wp:inline distT="0" distB="0" distL="0" distR="0" wp14:anchorId="591D4700" wp14:editId="5339B579">
            <wp:extent cx="4991100" cy="97155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91100" cy="971550"/>
                    </a:xfrm>
                    <a:prstGeom prst="rect">
                      <a:avLst/>
                    </a:prstGeom>
                  </pic:spPr>
                </pic:pic>
              </a:graphicData>
            </a:graphic>
          </wp:inline>
        </w:drawing>
      </w:r>
    </w:p>
    <w:p w:rsidR="00B70A0D" w:rsidRDefault="00B70A0D" w:rsidP="00B70A0D">
      <w:pPr>
        <w:tabs>
          <w:tab w:val="left" w:pos="142"/>
        </w:tabs>
        <w:ind w:left="142"/>
        <w:jc w:val="center"/>
        <w:rPr>
          <w:b/>
        </w:rPr>
      </w:pPr>
      <w:r w:rsidRPr="00B70A0D">
        <w:rPr>
          <w:b/>
        </w:rPr>
        <w:t>36</w:t>
      </w:r>
      <w:r>
        <w:rPr>
          <w:b/>
        </w:rPr>
        <w:t>-р зураг</w:t>
      </w:r>
      <w:r w:rsidRPr="00B70A0D">
        <w:rPr>
          <w:b/>
        </w:rPr>
        <w:t xml:space="preserve"> – RFC 1108-ээс Аюулгүй байдлын талбарын тодорхойлолт</w:t>
      </w:r>
    </w:p>
    <w:p w:rsidR="00B70A0D" w:rsidRDefault="00B70A0D" w:rsidP="00B70A0D">
      <w:pPr>
        <w:tabs>
          <w:tab w:val="left" w:pos="142"/>
        </w:tabs>
        <w:ind w:left="142"/>
        <w:jc w:val="center"/>
        <w:rPr>
          <w:b/>
        </w:rPr>
      </w:pPr>
      <w:r w:rsidRPr="00B70A0D">
        <w:rPr>
          <w:b/>
        </w:rPr>
        <w:t>Figure 36 – Security field definition from RFC 1108</w:t>
      </w:r>
    </w:p>
    <w:p w:rsidR="00B70A0D" w:rsidRDefault="00B70A0D"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B70A0D" w:rsidTr="00B70A0D">
        <w:tc>
          <w:tcPr>
            <w:tcW w:w="4601" w:type="dxa"/>
          </w:tcPr>
          <w:p w:rsidR="00B70A0D" w:rsidRPr="00B70A0D" w:rsidRDefault="00B70A0D" w:rsidP="00B70A0D">
            <w:pPr>
              <w:tabs>
                <w:tab w:val="left" w:pos="142"/>
              </w:tabs>
              <w:ind w:left="0" w:firstLine="0"/>
              <w:rPr>
                <w:rFonts w:eastAsia="Calibri"/>
                <w:bCs/>
                <w:szCs w:val="22"/>
              </w:rPr>
            </w:pPr>
            <w:r w:rsidRPr="00B70A0D">
              <w:rPr>
                <w:rFonts w:eastAsia="Calibri"/>
                <w:bCs/>
                <w:szCs w:val="22"/>
              </w:rPr>
              <w:t>Хэрэгжүүлэлт нь аюулгүй байдлын талбарт зориулж олон тооны утгатай тохируулагдах боломжтой байх ёстой. Гэхдээ анхдагч утга нь:</w:t>
            </w:r>
          </w:p>
          <w:p w:rsidR="00B70A0D" w:rsidRPr="00B70A0D" w:rsidRDefault="00B70A0D" w:rsidP="00472036">
            <w:pPr>
              <w:pStyle w:val="ListParagraph"/>
              <w:widowControl w:val="0"/>
              <w:numPr>
                <w:ilvl w:val="0"/>
                <w:numId w:val="24"/>
              </w:numPr>
              <w:tabs>
                <w:tab w:val="left" w:pos="142"/>
                <w:tab w:val="left" w:pos="899"/>
                <w:tab w:val="left" w:pos="900"/>
              </w:tabs>
              <w:autoSpaceDE w:val="0"/>
              <w:autoSpaceDN w:val="0"/>
              <w:spacing w:before="196" w:after="0"/>
              <w:ind w:left="0" w:firstLine="0"/>
              <w:contextualSpacing w:val="0"/>
              <w:jc w:val="left"/>
              <w:rPr>
                <w:rFonts w:eastAsia="Calibri"/>
                <w:bCs/>
                <w:szCs w:val="22"/>
              </w:rPr>
            </w:pPr>
            <w:r w:rsidRPr="00B70A0D">
              <w:rPr>
                <w:rFonts w:eastAsia="Calibri"/>
                <w:bCs/>
                <w:szCs w:val="22"/>
              </w:rPr>
              <w:t>Classification Level:Confidential,</w:t>
            </w:r>
          </w:p>
          <w:p w:rsidR="00B70A0D" w:rsidRPr="00B70A0D" w:rsidRDefault="00B70A0D" w:rsidP="00472036">
            <w:pPr>
              <w:pStyle w:val="ListParagraph"/>
              <w:widowControl w:val="0"/>
              <w:numPr>
                <w:ilvl w:val="0"/>
                <w:numId w:val="24"/>
              </w:numPr>
              <w:tabs>
                <w:tab w:val="left" w:pos="142"/>
                <w:tab w:val="left" w:pos="899"/>
                <w:tab w:val="left" w:pos="900"/>
              </w:tabs>
              <w:autoSpaceDE w:val="0"/>
              <w:autoSpaceDN w:val="0"/>
              <w:spacing w:before="99" w:after="0"/>
              <w:ind w:left="0" w:firstLine="0"/>
              <w:contextualSpacing w:val="0"/>
              <w:jc w:val="left"/>
              <w:rPr>
                <w:rFonts w:eastAsia="Calibri"/>
                <w:bCs/>
                <w:szCs w:val="22"/>
              </w:rPr>
            </w:pPr>
            <w:r w:rsidRPr="00B70A0D">
              <w:rPr>
                <w:rFonts w:eastAsia="Calibri"/>
                <w:bCs/>
                <w:szCs w:val="22"/>
              </w:rPr>
              <w:t>Protection Authority Bits:Field Termination Indicator(7).</w:t>
            </w:r>
          </w:p>
          <w:p w:rsidR="00B70A0D" w:rsidRPr="00B70A0D" w:rsidRDefault="00B70A0D" w:rsidP="00B70A0D">
            <w:pPr>
              <w:tabs>
                <w:tab w:val="left" w:pos="142"/>
              </w:tabs>
              <w:ind w:left="0" w:firstLine="0"/>
              <w:rPr>
                <w:rFonts w:eastAsia="Calibri"/>
                <w:bCs/>
                <w:szCs w:val="22"/>
              </w:rPr>
            </w:pPr>
            <w:r w:rsidRPr="00B70A0D">
              <w:rPr>
                <w:rFonts w:eastAsia="Calibri"/>
                <w:bCs/>
                <w:szCs w:val="22"/>
              </w:rPr>
              <w:lastRenderedPageBreak/>
              <w:t>ЭнэхүүТехникийн тайланд нийцэхийг шаардсан хэрэгжүүлэлтүүд нь unicastбаmulticast  IP хаягийг дэмжих боломжтой. Multicast IP хаягуудын дэмжлэг нь RFC 5771-тэй нийцэж байх ёстой.</w:t>
            </w:r>
          </w:p>
          <w:p w:rsidR="00B70A0D" w:rsidRPr="00B70A0D" w:rsidRDefault="00B70A0D" w:rsidP="00B70A0D">
            <w:pPr>
              <w:tabs>
                <w:tab w:val="left" w:pos="142"/>
              </w:tabs>
              <w:ind w:left="0" w:firstLine="0"/>
              <w:rPr>
                <w:rFonts w:eastAsia="Calibri"/>
                <w:bCs/>
                <w:sz w:val="20"/>
                <w:szCs w:val="20"/>
              </w:rPr>
            </w:pPr>
            <w:r w:rsidRPr="00B70A0D">
              <w:rPr>
                <w:rFonts w:eastAsia="Calibri"/>
                <w:bCs/>
                <w:sz w:val="20"/>
                <w:szCs w:val="20"/>
              </w:rPr>
              <w:t>ТАЙЛБАР: Зарим үйлдлийн системүүдэд UDP/IP Time to Live (TTL) параметрийн утга нэг (1) гэсэн утгатай байдаг ба энэ нь багцыг чиглүүлэхээс сэргийлдэг. Чиглүүлэлтийн багцтай байх зорилготой тул зөвшөөрөгдсөн TTL-ийн хамгийн бага хэмжээг тодорхой заах шаардлагатай.</w:t>
            </w:r>
          </w:p>
          <w:p w:rsidR="00B70A0D" w:rsidRPr="00B70A0D" w:rsidRDefault="00B70A0D" w:rsidP="00B70A0D">
            <w:pPr>
              <w:tabs>
                <w:tab w:val="left" w:pos="142"/>
              </w:tabs>
              <w:ind w:left="0" w:firstLine="0"/>
              <w:rPr>
                <w:rFonts w:eastAsia="Calibri"/>
                <w:bCs/>
                <w:szCs w:val="22"/>
              </w:rPr>
            </w:pPr>
            <w:r w:rsidRPr="00B70A0D">
              <w:rPr>
                <w:rFonts w:eastAsia="Calibri"/>
                <w:bCs/>
                <w:szCs w:val="22"/>
              </w:rPr>
              <w:t>Ашиглалтын Хугацааны параметрүүд UDP/IP багцуудын чиглэлийг зөвшөөрөхийн тулд гучин хоёр (32) буюу түүнээс дээш утгыг тохируулах ёстой. 255-ийн утгыг ашиглахгүй. Утгыг хэрэгжүүлэх PIXIT-д тодорхой зааж өгнө.</w:t>
            </w:r>
          </w:p>
          <w:p w:rsidR="00B70A0D" w:rsidRPr="00941037" w:rsidRDefault="00B70A0D" w:rsidP="00B70A0D">
            <w:pPr>
              <w:tabs>
                <w:tab w:val="left" w:pos="142"/>
              </w:tabs>
              <w:ind w:left="0" w:firstLine="0"/>
              <w:rPr>
                <w:rFonts w:eastAsia="Calibri"/>
                <w:b/>
                <w:bCs/>
                <w:szCs w:val="22"/>
              </w:rPr>
            </w:pPr>
            <w:r w:rsidRPr="00941037">
              <w:rPr>
                <w:rFonts w:eastAsia="Calibri"/>
                <w:b/>
                <w:bCs/>
                <w:szCs w:val="22"/>
              </w:rPr>
              <w:t>11.6.5.3 Data linklayer(Өгөгдлийн холбоосын давхарга)</w:t>
            </w:r>
          </w:p>
          <w:p w:rsidR="00B70A0D" w:rsidRPr="00B70A0D" w:rsidRDefault="00B70A0D" w:rsidP="00B70A0D">
            <w:pPr>
              <w:tabs>
                <w:tab w:val="left" w:pos="142"/>
              </w:tabs>
              <w:ind w:left="0" w:firstLine="0"/>
              <w:rPr>
                <w:rFonts w:eastAsia="Calibri"/>
                <w:bCs/>
                <w:szCs w:val="22"/>
              </w:rPr>
            </w:pPr>
            <w:r w:rsidRPr="00B70A0D">
              <w:rPr>
                <w:rFonts w:eastAsia="Calibri"/>
                <w:bCs/>
                <w:szCs w:val="22"/>
              </w:rPr>
              <w:t>IEC 61850-8-1-д тодорхойлсон.</w:t>
            </w:r>
          </w:p>
          <w:p w:rsidR="00B70A0D" w:rsidRPr="00B70A0D" w:rsidRDefault="00B70A0D" w:rsidP="00B70A0D">
            <w:pPr>
              <w:tabs>
                <w:tab w:val="left" w:pos="142"/>
              </w:tabs>
              <w:ind w:left="0" w:firstLine="0"/>
              <w:rPr>
                <w:rFonts w:eastAsia="Calibri"/>
                <w:bCs/>
                <w:szCs w:val="22"/>
              </w:rPr>
            </w:pPr>
            <w:r w:rsidRPr="00B70A0D">
              <w:rPr>
                <w:rFonts w:eastAsia="Calibri"/>
                <w:bCs/>
                <w:szCs w:val="22"/>
              </w:rPr>
              <w:t>Мөн GOOSE ба SV A-Профайлийг дэмждэг T-Профайл нь IEC 61850-8-1 тутамд IEEE 802.1Q-ийг хэрэгжүүлнэ.</w:t>
            </w:r>
          </w:p>
          <w:p w:rsidR="00B70A0D" w:rsidRPr="009B5B32" w:rsidRDefault="00B70A0D" w:rsidP="00B70A0D">
            <w:pPr>
              <w:tabs>
                <w:tab w:val="left" w:pos="142"/>
              </w:tabs>
              <w:ind w:left="0" w:firstLine="0"/>
              <w:rPr>
                <w:rFonts w:eastAsia="Calibri"/>
                <w:b/>
                <w:bCs/>
                <w:szCs w:val="22"/>
              </w:rPr>
            </w:pPr>
            <w:r w:rsidRPr="009B5B32">
              <w:rPr>
                <w:rFonts w:eastAsia="Calibri"/>
                <w:b/>
                <w:bCs/>
                <w:szCs w:val="22"/>
              </w:rPr>
              <w:t>11.6.5.4 Physical</w:t>
            </w:r>
            <w:r w:rsidR="009B5B32">
              <w:rPr>
                <w:rFonts w:eastAsia="Calibri"/>
                <w:b/>
                <w:bCs/>
                <w:szCs w:val="22"/>
                <w:lang w:val="en-US"/>
              </w:rPr>
              <w:t xml:space="preserve"> </w:t>
            </w:r>
            <w:r w:rsidRPr="009B5B32">
              <w:rPr>
                <w:rFonts w:eastAsia="Calibri"/>
                <w:b/>
                <w:bCs/>
                <w:szCs w:val="22"/>
              </w:rPr>
              <w:t>layer(Физик давхарга)</w:t>
            </w:r>
          </w:p>
          <w:p w:rsidR="00B70A0D" w:rsidRPr="00B70A0D" w:rsidRDefault="00B70A0D" w:rsidP="00B70A0D">
            <w:pPr>
              <w:tabs>
                <w:tab w:val="left" w:pos="142"/>
              </w:tabs>
              <w:ind w:left="0" w:firstLine="0"/>
              <w:rPr>
                <w:rFonts w:eastAsia="Calibri"/>
                <w:bCs/>
                <w:szCs w:val="22"/>
              </w:rPr>
            </w:pPr>
            <w:r w:rsidRPr="00B70A0D">
              <w:rPr>
                <w:rFonts w:eastAsia="Calibri"/>
                <w:bCs/>
                <w:szCs w:val="22"/>
              </w:rPr>
              <w:t>IEC 61850-8-1-д тодорхойлсон.</w:t>
            </w:r>
          </w:p>
          <w:p w:rsidR="00B70A0D" w:rsidRPr="009B5B32" w:rsidRDefault="00B70A0D" w:rsidP="00B70A0D">
            <w:pPr>
              <w:tabs>
                <w:tab w:val="left" w:pos="142"/>
              </w:tabs>
              <w:ind w:left="0" w:firstLine="0"/>
              <w:rPr>
                <w:rFonts w:eastAsia="Calibri"/>
                <w:b/>
                <w:bCs/>
                <w:szCs w:val="22"/>
              </w:rPr>
            </w:pPr>
            <w:r w:rsidRPr="009B5B32">
              <w:rPr>
                <w:rFonts w:eastAsia="Calibri"/>
                <w:b/>
                <w:bCs/>
                <w:szCs w:val="22"/>
              </w:rPr>
              <w:t>12 Effects on IEC61850-5</w:t>
            </w:r>
          </w:p>
          <w:p w:rsidR="00B70A0D" w:rsidRPr="00B70A0D" w:rsidRDefault="00B70A0D" w:rsidP="00B70A0D">
            <w:pPr>
              <w:tabs>
                <w:tab w:val="left" w:pos="142"/>
              </w:tabs>
              <w:ind w:left="0" w:firstLine="0"/>
              <w:rPr>
                <w:rFonts w:eastAsia="Calibri"/>
                <w:bCs/>
                <w:szCs w:val="22"/>
              </w:rPr>
            </w:pPr>
            <w:r w:rsidRPr="00B70A0D">
              <w:rPr>
                <w:rFonts w:eastAsia="Calibri"/>
                <w:bCs/>
                <w:szCs w:val="22"/>
              </w:rPr>
              <w:t>Одоогийн IEC 61850-5 стандарт нь энэхүү баримт бичигт заасан синхрофазорын хэрэглээг дэмжих хангалттай хугацааны ангилалгүй байна. Тиймээс дараах гүйцэтгэлийн ангиудыг IEC 61850-5-т нэмж оруулах шаардлагатай.</w:t>
            </w:r>
          </w:p>
          <w:p w:rsidR="00B70A0D" w:rsidRPr="00B70A0D" w:rsidRDefault="00B70A0D" w:rsidP="00B70A0D">
            <w:pPr>
              <w:tabs>
                <w:tab w:val="left" w:pos="142"/>
              </w:tabs>
              <w:ind w:left="0" w:firstLine="0"/>
              <w:rPr>
                <w:rFonts w:eastAsia="Calibri"/>
                <w:bCs/>
                <w:szCs w:val="22"/>
              </w:rPr>
            </w:pPr>
            <w:r w:rsidRPr="00B70A0D">
              <w:rPr>
                <w:rFonts w:eastAsia="Calibri"/>
                <w:bCs/>
                <w:szCs w:val="22"/>
              </w:rPr>
              <w:t>Энэ мессежний төрөл нь тооцоолох ба синхрончлохын аргаас үл хамааран синхрон хэмжих хэрэгслүүдийн гаралтын өгөгдлийг агуулдаг. Өгөгдөл нь бусад IED-ийн өгөгдлүүдтэй хоорондоо холбогдсон IED бүрээс синхрончлогдсон хэмжилтийн тасралтгүй урсгалуудаас бүрдэнэ.</w:t>
            </w:r>
          </w:p>
          <w:p w:rsidR="00B70A0D" w:rsidRPr="00B70A0D" w:rsidRDefault="00B70A0D" w:rsidP="00B70A0D">
            <w:pPr>
              <w:tabs>
                <w:tab w:val="left" w:pos="142"/>
              </w:tabs>
              <w:ind w:left="0" w:firstLine="0"/>
              <w:rPr>
                <w:rFonts w:eastAsia="Calibri"/>
                <w:bCs/>
                <w:szCs w:val="22"/>
              </w:rPr>
            </w:pPr>
            <w:r w:rsidRPr="00B70A0D">
              <w:rPr>
                <w:rFonts w:eastAsia="Calibri"/>
                <w:bCs/>
                <w:szCs w:val="22"/>
              </w:rPr>
              <w:lastRenderedPageBreak/>
              <w:t>Дамжуулах хугацаа гэдэг нь хэмжилт ашиглан функцийг саатуулахад хүргэдэг тогтмол хэмжигдэхүүний хэмжилтийн урсгалын үргэлжлэх хугацаа юм(ж.нь хамгаалах, дүрслэх болон бусад).</w:t>
            </w:r>
            <w:r w:rsidR="009B5B32">
              <w:rPr>
                <w:rFonts w:eastAsia="Calibri"/>
                <w:bCs/>
                <w:szCs w:val="22"/>
              </w:rPr>
              <w:t xml:space="preserve"> </w:t>
            </w:r>
            <w:r w:rsidRPr="00B70A0D">
              <w:rPr>
                <w:rFonts w:eastAsia="Calibri"/>
                <w:bCs/>
                <w:szCs w:val="22"/>
              </w:rPr>
              <w:t>Тиймээс энэхүү дамжуулалтын хугацаа нь хэрэглээний шаардлагаас хамаарна. Хамгаалалтын аппликейшиний хувьд энэ нь бага байх ёстой тул хэрэглээний үйл ажиллагаанд сөрөг нөлөө үзүүлэхгүй.</w:t>
            </w:r>
          </w:p>
        </w:tc>
        <w:tc>
          <w:tcPr>
            <w:tcW w:w="4601" w:type="dxa"/>
          </w:tcPr>
          <w:p w:rsidR="00B70A0D" w:rsidRPr="00B70A0D" w:rsidRDefault="00B70A0D" w:rsidP="00B70A0D">
            <w:pPr>
              <w:tabs>
                <w:tab w:val="left" w:pos="142"/>
              </w:tabs>
              <w:ind w:left="0" w:firstLine="0"/>
              <w:rPr>
                <w:rFonts w:eastAsia="Calibri"/>
                <w:bCs/>
                <w:szCs w:val="22"/>
              </w:rPr>
            </w:pPr>
            <w:r w:rsidRPr="00B70A0D">
              <w:rPr>
                <w:rFonts w:eastAsia="Calibri"/>
                <w:bCs/>
                <w:szCs w:val="22"/>
              </w:rPr>
              <w:lastRenderedPageBreak/>
              <w:t>Implementations should be able to be configured with a range of values for the security field. However, the default values shall be:</w:t>
            </w:r>
          </w:p>
          <w:p w:rsidR="00B70A0D" w:rsidRPr="00B70A0D" w:rsidRDefault="00B70A0D" w:rsidP="00472036">
            <w:pPr>
              <w:pStyle w:val="ListParagraph"/>
              <w:widowControl w:val="0"/>
              <w:numPr>
                <w:ilvl w:val="0"/>
                <w:numId w:val="25"/>
              </w:numPr>
              <w:tabs>
                <w:tab w:val="left" w:pos="142"/>
                <w:tab w:val="left" w:pos="899"/>
                <w:tab w:val="left" w:pos="900"/>
              </w:tabs>
              <w:autoSpaceDE w:val="0"/>
              <w:autoSpaceDN w:val="0"/>
              <w:spacing w:before="196" w:after="0"/>
              <w:ind w:left="0" w:firstLine="0"/>
              <w:contextualSpacing w:val="0"/>
              <w:jc w:val="left"/>
              <w:rPr>
                <w:rFonts w:eastAsia="Calibri"/>
                <w:bCs/>
                <w:szCs w:val="22"/>
              </w:rPr>
            </w:pPr>
            <w:r w:rsidRPr="00B70A0D">
              <w:rPr>
                <w:rFonts w:eastAsia="Calibri"/>
                <w:bCs/>
                <w:szCs w:val="22"/>
              </w:rPr>
              <w:t>Classification Level: Confidential,</w:t>
            </w:r>
          </w:p>
          <w:p w:rsidR="00B70A0D" w:rsidRPr="00B70A0D" w:rsidRDefault="00B70A0D" w:rsidP="00472036">
            <w:pPr>
              <w:pStyle w:val="ListParagraph"/>
              <w:widowControl w:val="0"/>
              <w:numPr>
                <w:ilvl w:val="0"/>
                <w:numId w:val="25"/>
              </w:numPr>
              <w:tabs>
                <w:tab w:val="left" w:pos="142"/>
                <w:tab w:val="left" w:pos="899"/>
                <w:tab w:val="left" w:pos="900"/>
              </w:tabs>
              <w:autoSpaceDE w:val="0"/>
              <w:autoSpaceDN w:val="0"/>
              <w:spacing w:before="99" w:after="0"/>
              <w:ind w:left="0" w:firstLine="0"/>
              <w:contextualSpacing w:val="0"/>
              <w:jc w:val="left"/>
              <w:rPr>
                <w:rFonts w:eastAsia="Calibri"/>
                <w:bCs/>
                <w:szCs w:val="22"/>
              </w:rPr>
            </w:pPr>
            <w:r w:rsidRPr="00B70A0D">
              <w:rPr>
                <w:rFonts w:eastAsia="Calibri"/>
                <w:bCs/>
                <w:szCs w:val="22"/>
              </w:rPr>
              <w:t>Protection Authority Bits: Field Termination Indicator (7).</w:t>
            </w:r>
          </w:p>
          <w:p w:rsidR="00B70A0D" w:rsidRPr="00B70A0D" w:rsidRDefault="00B70A0D" w:rsidP="00B70A0D">
            <w:pPr>
              <w:tabs>
                <w:tab w:val="left" w:pos="142"/>
              </w:tabs>
              <w:ind w:left="0" w:firstLine="0"/>
              <w:rPr>
                <w:rFonts w:eastAsia="Calibri"/>
                <w:bCs/>
                <w:szCs w:val="22"/>
              </w:rPr>
            </w:pPr>
            <w:r w:rsidRPr="00B70A0D">
              <w:rPr>
                <w:rFonts w:eastAsia="Calibri"/>
                <w:bCs/>
                <w:szCs w:val="22"/>
              </w:rPr>
              <w:lastRenderedPageBreak/>
              <w:t>Implementations claiming conformance to this Technical Report shall be able to support  unicast and multicast IP addresses. The support of IP multicast addresses shall conform to  RFC 5771.</w:t>
            </w:r>
          </w:p>
          <w:p w:rsidR="00B70A0D" w:rsidRPr="00B70A0D" w:rsidRDefault="00B70A0D" w:rsidP="00B70A0D">
            <w:pPr>
              <w:tabs>
                <w:tab w:val="left" w:pos="142"/>
              </w:tabs>
              <w:ind w:left="0" w:firstLine="0"/>
              <w:rPr>
                <w:rFonts w:eastAsia="Calibri"/>
                <w:bCs/>
                <w:sz w:val="20"/>
                <w:szCs w:val="20"/>
              </w:rPr>
            </w:pPr>
            <w:r w:rsidRPr="00B70A0D">
              <w:rPr>
                <w:rFonts w:eastAsia="Calibri"/>
                <w:bCs/>
                <w:sz w:val="20"/>
                <w:szCs w:val="20"/>
              </w:rPr>
              <w:t>NOTE Some operating systems default the UDP/IP Time to Live (TTL) parameter value to a value of one (1) that prevents the packet from being routed. Since the intent is to  have  routable packets,  the  minimum  allowed  TTL needs to be specified</w:t>
            </w:r>
          </w:p>
          <w:p w:rsidR="00B70A0D" w:rsidRPr="00B70A0D" w:rsidRDefault="00B70A0D" w:rsidP="00B70A0D">
            <w:pPr>
              <w:tabs>
                <w:tab w:val="left" w:pos="142"/>
              </w:tabs>
              <w:ind w:left="0" w:firstLine="0"/>
              <w:rPr>
                <w:rFonts w:eastAsia="Calibri"/>
                <w:bCs/>
                <w:szCs w:val="22"/>
              </w:rPr>
            </w:pPr>
            <w:r w:rsidRPr="00B70A0D">
              <w:rPr>
                <w:rFonts w:eastAsia="Calibri"/>
                <w:bCs/>
                <w:szCs w:val="22"/>
              </w:rPr>
              <w:t>The Time to Live parameter shall be set to a value of thirty-two (32), or greater, to allow the routing of the UDP/IP packets. The value of 255 shall not be used. The  value  shall  be specified in the implementation’s PIXIT.</w:t>
            </w:r>
          </w:p>
          <w:p w:rsidR="00B70A0D" w:rsidRPr="00941037" w:rsidRDefault="00B70A0D" w:rsidP="00B70A0D">
            <w:pPr>
              <w:tabs>
                <w:tab w:val="left" w:pos="142"/>
              </w:tabs>
              <w:ind w:left="0" w:firstLine="0"/>
              <w:rPr>
                <w:rFonts w:eastAsia="Calibri"/>
                <w:b/>
                <w:bCs/>
                <w:szCs w:val="22"/>
              </w:rPr>
            </w:pPr>
            <w:r w:rsidRPr="00941037">
              <w:rPr>
                <w:rFonts w:eastAsia="Calibri"/>
                <w:b/>
                <w:bCs/>
                <w:szCs w:val="22"/>
              </w:rPr>
              <w:t>11.6.5.3 Data link layer</w:t>
            </w:r>
          </w:p>
          <w:p w:rsidR="00B70A0D" w:rsidRPr="00B70A0D" w:rsidRDefault="00B70A0D" w:rsidP="00B70A0D">
            <w:pPr>
              <w:tabs>
                <w:tab w:val="left" w:pos="142"/>
              </w:tabs>
              <w:ind w:left="0" w:firstLine="0"/>
              <w:rPr>
                <w:rFonts w:eastAsia="Calibri"/>
                <w:bCs/>
                <w:szCs w:val="22"/>
              </w:rPr>
            </w:pPr>
            <w:r w:rsidRPr="00B70A0D">
              <w:rPr>
                <w:rFonts w:eastAsia="Calibri"/>
                <w:bCs/>
                <w:szCs w:val="22"/>
              </w:rPr>
              <w:t>Shall be as specified in IEC 61850-8-1.</w:t>
            </w:r>
          </w:p>
          <w:p w:rsidR="00B70A0D" w:rsidRPr="00B70A0D" w:rsidRDefault="00B70A0D" w:rsidP="00B70A0D">
            <w:pPr>
              <w:tabs>
                <w:tab w:val="left" w:pos="142"/>
              </w:tabs>
              <w:ind w:left="0" w:firstLine="0"/>
              <w:rPr>
                <w:rFonts w:eastAsia="Calibri"/>
                <w:bCs/>
                <w:szCs w:val="22"/>
              </w:rPr>
            </w:pPr>
            <w:r w:rsidRPr="00B70A0D">
              <w:rPr>
                <w:rFonts w:eastAsia="Calibri"/>
                <w:bCs/>
                <w:szCs w:val="22"/>
              </w:rPr>
              <w:t>Additionally, the  T-Profile  supporting  the  GOOSE  and   SV  A-Profile  shall  implement  IEEE 802.1Q per IEC 61850-8-1.</w:t>
            </w:r>
          </w:p>
          <w:p w:rsidR="00B70A0D" w:rsidRPr="00941037" w:rsidRDefault="00B70A0D" w:rsidP="00B70A0D">
            <w:pPr>
              <w:tabs>
                <w:tab w:val="left" w:pos="142"/>
              </w:tabs>
              <w:ind w:left="0" w:firstLine="0"/>
              <w:rPr>
                <w:rFonts w:eastAsia="Calibri"/>
                <w:b/>
                <w:bCs/>
                <w:szCs w:val="22"/>
              </w:rPr>
            </w:pPr>
            <w:r w:rsidRPr="00941037">
              <w:rPr>
                <w:rFonts w:eastAsia="Calibri"/>
                <w:b/>
                <w:bCs/>
                <w:szCs w:val="22"/>
              </w:rPr>
              <w:t>11.6.5.4 Physical layer</w:t>
            </w:r>
          </w:p>
          <w:p w:rsidR="00B70A0D" w:rsidRPr="00B70A0D" w:rsidRDefault="00B70A0D" w:rsidP="00B70A0D">
            <w:pPr>
              <w:tabs>
                <w:tab w:val="left" w:pos="142"/>
              </w:tabs>
              <w:ind w:left="0" w:firstLine="0"/>
              <w:rPr>
                <w:rFonts w:eastAsia="Calibri"/>
                <w:bCs/>
                <w:szCs w:val="22"/>
              </w:rPr>
            </w:pPr>
            <w:r w:rsidRPr="00B70A0D">
              <w:rPr>
                <w:rFonts w:eastAsia="Calibri"/>
                <w:bCs/>
                <w:szCs w:val="22"/>
              </w:rPr>
              <w:t>Shall be as specified in IEC 61850-8-1.</w:t>
            </w:r>
          </w:p>
          <w:p w:rsidR="00B70A0D" w:rsidRPr="009B5B32" w:rsidRDefault="00B70A0D" w:rsidP="00B70A0D">
            <w:pPr>
              <w:tabs>
                <w:tab w:val="left" w:pos="142"/>
              </w:tabs>
              <w:ind w:left="0" w:firstLine="0"/>
              <w:rPr>
                <w:rFonts w:eastAsia="Calibri"/>
                <w:b/>
                <w:bCs/>
                <w:szCs w:val="22"/>
              </w:rPr>
            </w:pPr>
            <w:bookmarkStart w:id="62" w:name="_TOC_250006"/>
            <w:r w:rsidRPr="009B5B32">
              <w:rPr>
                <w:rFonts w:eastAsia="Calibri"/>
                <w:b/>
                <w:bCs/>
                <w:szCs w:val="22"/>
              </w:rPr>
              <w:t xml:space="preserve">12 Effects on IEC </w:t>
            </w:r>
            <w:bookmarkEnd w:id="62"/>
            <w:r w:rsidRPr="009B5B32">
              <w:rPr>
                <w:rFonts w:eastAsia="Calibri"/>
                <w:b/>
                <w:bCs/>
                <w:szCs w:val="22"/>
              </w:rPr>
              <w:t>61850-5</w:t>
            </w:r>
          </w:p>
          <w:p w:rsidR="00B70A0D" w:rsidRPr="00B70A0D" w:rsidRDefault="00B70A0D" w:rsidP="00B70A0D">
            <w:pPr>
              <w:tabs>
                <w:tab w:val="left" w:pos="142"/>
              </w:tabs>
              <w:ind w:left="0" w:firstLine="0"/>
              <w:rPr>
                <w:rFonts w:eastAsia="Calibri"/>
                <w:bCs/>
                <w:szCs w:val="22"/>
              </w:rPr>
            </w:pPr>
            <w:r w:rsidRPr="00B70A0D">
              <w:rPr>
                <w:rFonts w:eastAsia="Calibri"/>
                <w:bCs/>
                <w:szCs w:val="22"/>
              </w:rPr>
              <w:t>The current IEC 61850-5 standard does not  have sufficient time class definitions to  support  the synchrophasor use cases set forth within this document. Therefore, the following performance classes should be added to IEC 61850-5.</w:t>
            </w:r>
          </w:p>
          <w:p w:rsidR="00B70A0D" w:rsidRPr="00B70A0D" w:rsidRDefault="00B70A0D" w:rsidP="00B70A0D">
            <w:pPr>
              <w:tabs>
                <w:tab w:val="left" w:pos="142"/>
              </w:tabs>
              <w:ind w:left="0" w:firstLine="0"/>
              <w:rPr>
                <w:rFonts w:eastAsia="Calibri"/>
                <w:bCs/>
                <w:szCs w:val="22"/>
              </w:rPr>
            </w:pPr>
            <w:r w:rsidRPr="00B70A0D">
              <w:rPr>
                <w:rFonts w:eastAsia="Calibri"/>
                <w:bCs/>
                <w:szCs w:val="22"/>
              </w:rPr>
              <w:t>This message type includes  the output data  from synchronized measuring  devices independent from the calculation and synchronization methods. The data will consist of continuous streams of synchronized measurements from each IED, interleaved with data from other IEDs.</w:t>
            </w:r>
          </w:p>
          <w:p w:rsidR="00B70A0D" w:rsidRPr="00B70A0D" w:rsidRDefault="00B70A0D" w:rsidP="00B70A0D">
            <w:pPr>
              <w:tabs>
                <w:tab w:val="left" w:pos="142"/>
              </w:tabs>
              <w:ind w:left="0" w:firstLine="0"/>
              <w:rPr>
                <w:rFonts w:eastAsia="Calibri"/>
                <w:bCs/>
                <w:szCs w:val="22"/>
              </w:rPr>
            </w:pPr>
            <w:r w:rsidRPr="00B70A0D">
              <w:rPr>
                <w:rFonts w:eastAsia="Calibri"/>
                <w:bCs/>
                <w:szCs w:val="22"/>
              </w:rPr>
              <w:t xml:space="preserve">Transfer time means for the stream of synchronized measurements a  constant delay resulting  in a delay for the functions using the measurements (e.g. for protection, visualization or other). </w:t>
            </w:r>
            <w:r w:rsidRPr="00B70A0D">
              <w:rPr>
                <w:rFonts w:eastAsia="Calibri"/>
                <w:bCs/>
                <w:szCs w:val="22"/>
              </w:rPr>
              <w:lastRenderedPageBreak/>
              <w:t>Therefore, this transfer time shall be dependent on the requirements of the application. For protection applications, it should be small, so no negative impact on an application function is experienced.</w:t>
            </w:r>
          </w:p>
          <w:p w:rsidR="00B70A0D" w:rsidRPr="00B70A0D" w:rsidRDefault="00B70A0D" w:rsidP="00B70A0D">
            <w:pPr>
              <w:tabs>
                <w:tab w:val="left" w:pos="142"/>
              </w:tabs>
              <w:ind w:left="0" w:firstLine="0"/>
              <w:rPr>
                <w:rFonts w:eastAsia="Calibri"/>
                <w:bCs/>
                <w:szCs w:val="22"/>
              </w:rPr>
            </w:pPr>
          </w:p>
        </w:tc>
      </w:tr>
    </w:tbl>
    <w:p w:rsidR="00B70A0D" w:rsidRDefault="00B70A0D"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1583"/>
        <w:gridCol w:w="3111"/>
        <w:gridCol w:w="1446"/>
        <w:gridCol w:w="1367"/>
        <w:gridCol w:w="1695"/>
      </w:tblGrid>
      <w:tr w:rsidR="003738D7" w:rsidTr="003738D7">
        <w:tc>
          <w:tcPr>
            <w:tcW w:w="1413" w:type="dxa"/>
          </w:tcPr>
          <w:p w:rsidR="009B5B32" w:rsidRPr="00731F96" w:rsidRDefault="009B5B32" w:rsidP="003738D7">
            <w:pPr>
              <w:pStyle w:val="TableParagraph"/>
              <w:tabs>
                <w:tab w:val="left" w:pos="0"/>
              </w:tabs>
              <w:spacing w:before="53" w:line="276" w:lineRule="auto"/>
              <w:rPr>
                <w:b/>
                <w:sz w:val="20"/>
                <w:szCs w:val="20"/>
                <w:lang w:val="mn-MN"/>
              </w:rPr>
            </w:pPr>
            <w:r w:rsidRPr="00731F96">
              <w:rPr>
                <w:b/>
                <w:sz w:val="20"/>
                <w:szCs w:val="20"/>
                <w:lang w:val="mn-MN"/>
              </w:rPr>
              <w:t>Гүйцэтгэлийн анги</w:t>
            </w:r>
          </w:p>
        </w:tc>
        <w:tc>
          <w:tcPr>
            <w:tcW w:w="3239" w:type="dxa"/>
          </w:tcPr>
          <w:p w:rsidR="009B5B32" w:rsidRPr="00EF2D2B" w:rsidRDefault="009B5B32" w:rsidP="003738D7">
            <w:pPr>
              <w:pStyle w:val="TableParagraph"/>
              <w:tabs>
                <w:tab w:val="left" w:pos="0"/>
              </w:tabs>
              <w:spacing w:before="53" w:line="276" w:lineRule="auto"/>
              <w:rPr>
                <w:b/>
                <w:sz w:val="20"/>
                <w:szCs w:val="20"/>
                <w:lang w:val="mn-MN"/>
              </w:rPr>
            </w:pPr>
            <w:r w:rsidRPr="00EF2D2B">
              <w:rPr>
                <w:b/>
                <w:sz w:val="20"/>
                <w:szCs w:val="20"/>
                <w:lang w:val="mn-MN"/>
              </w:rPr>
              <w:t>Шаардлага</w:t>
            </w:r>
          </w:p>
        </w:tc>
        <w:tc>
          <w:tcPr>
            <w:tcW w:w="1446" w:type="dxa"/>
          </w:tcPr>
          <w:p w:rsidR="009B5B32" w:rsidRPr="00EF2D2B" w:rsidRDefault="009B5B32" w:rsidP="003738D7">
            <w:pPr>
              <w:pStyle w:val="TableParagraph"/>
              <w:tabs>
                <w:tab w:val="left" w:pos="0"/>
              </w:tabs>
              <w:spacing w:before="53" w:line="276" w:lineRule="auto"/>
              <w:ind w:left="50" w:right="64"/>
              <w:rPr>
                <w:b/>
                <w:sz w:val="20"/>
                <w:szCs w:val="20"/>
                <w:lang w:val="mn-MN"/>
              </w:rPr>
            </w:pPr>
            <w:r w:rsidRPr="00EF2D2B">
              <w:rPr>
                <w:b/>
                <w:sz w:val="20"/>
                <w:szCs w:val="20"/>
                <w:lang w:val="mn-MN"/>
              </w:rPr>
              <w:t>Дамжуулах хугацааны анги</w:t>
            </w:r>
          </w:p>
        </w:tc>
        <w:tc>
          <w:tcPr>
            <w:tcW w:w="1370" w:type="dxa"/>
          </w:tcPr>
          <w:p w:rsidR="009B5B32" w:rsidRPr="00EF2D2B" w:rsidRDefault="009B5B32" w:rsidP="003738D7">
            <w:pPr>
              <w:pStyle w:val="TableParagraph"/>
              <w:tabs>
                <w:tab w:val="left" w:pos="0"/>
              </w:tabs>
              <w:spacing w:before="53" w:line="276" w:lineRule="auto"/>
              <w:rPr>
                <w:b/>
                <w:sz w:val="20"/>
                <w:szCs w:val="20"/>
                <w:lang w:val="mn-MN"/>
              </w:rPr>
            </w:pPr>
            <w:r w:rsidRPr="00EF2D2B">
              <w:rPr>
                <w:b/>
                <w:sz w:val="20"/>
                <w:szCs w:val="20"/>
                <w:lang w:val="mn-MN"/>
              </w:rPr>
              <w:t>Дамжуулах хугацаа</w:t>
            </w:r>
          </w:p>
        </w:tc>
        <w:tc>
          <w:tcPr>
            <w:tcW w:w="1734" w:type="dxa"/>
          </w:tcPr>
          <w:p w:rsidR="009B5B32" w:rsidRPr="00EF2D2B" w:rsidRDefault="009B5B32" w:rsidP="003738D7">
            <w:pPr>
              <w:pStyle w:val="TableParagraph"/>
              <w:tabs>
                <w:tab w:val="left" w:pos="0"/>
              </w:tabs>
              <w:spacing w:before="53" w:line="276" w:lineRule="auto"/>
              <w:rPr>
                <w:b/>
                <w:sz w:val="20"/>
                <w:szCs w:val="20"/>
                <w:lang w:val="mn-MN"/>
              </w:rPr>
            </w:pPr>
            <w:r w:rsidRPr="00EF2D2B">
              <w:rPr>
                <w:b/>
                <w:sz w:val="20"/>
                <w:szCs w:val="20"/>
                <w:lang w:val="mn-MN"/>
              </w:rPr>
              <w:t>Нийтлэг интерфейс (IF)</w:t>
            </w:r>
          </w:p>
        </w:tc>
      </w:tr>
      <w:tr w:rsidR="009B5B32" w:rsidTr="003738D7">
        <w:tc>
          <w:tcPr>
            <w:tcW w:w="1413" w:type="dxa"/>
          </w:tcPr>
          <w:p w:rsidR="009B5B32" w:rsidRPr="003738D7" w:rsidRDefault="009B5B32" w:rsidP="009B5B32">
            <w:pPr>
              <w:pStyle w:val="TableParagraph"/>
              <w:tabs>
                <w:tab w:val="left" w:pos="0"/>
              </w:tabs>
              <w:spacing w:line="276" w:lineRule="auto"/>
              <w:ind w:left="105"/>
              <w:rPr>
                <w:rFonts w:eastAsia="Calibri"/>
                <w:sz w:val="20"/>
                <w:szCs w:val="20"/>
                <w:lang w:val="mn-MN"/>
              </w:rPr>
            </w:pPr>
            <w:r w:rsidRPr="003738D7">
              <w:rPr>
                <w:rFonts w:eastAsia="Calibri"/>
                <w:sz w:val="20"/>
                <w:szCs w:val="20"/>
                <w:lang w:val="mn-MN"/>
              </w:rPr>
              <w:t>P13</w:t>
            </w:r>
          </w:p>
        </w:tc>
        <w:tc>
          <w:tcPr>
            <w:tcW w:w="3239" w:type="dxa"/>
          </w:tcPr>
          <w:p w:rsidR="009B5B32" w:rsidRPr="003738D7" w:rsidRDefault="009B5B32" w:rsidP="003738D7">
            <w:pPr>
              <w:pStyle w:val="TableParagraph"/>
              <w:tabs>
                <w:tab w:val="left" w:pos="0"/>
              </w:tabs>
              <w:spacing w:before="1" w:line="276" w:lineRule="auto"/>
              <w:ind w:right="302"/>
              <w:rPr>
                <w:rFonts w:eastAsia="Calibri"/>
                <w:sz w:val="20"/>
                <w:szCs w:val="20"/>
                <w:lang w:val="mn-MN"/>
              </w:rPr>
            </w:pPr>
            <w:r w:rsidRPr="003738D7">
              <w:rPr>
                <w:rFonts w:eastAsia="Calibri"/>
                <w:sz w:val="20"/>
                <w:szCs w:val="20"/>
                <w:lang w:val="mn-MN"/>
              </w:rPr>
              <w:t>Дэд станц дахь хэмжилтийг ашиглан хамгаалалтын функцийг зохих хугацаагаар саатуулах</w:t>
            </w:r>
          </w:p>
        </w:tc>
        <w:tc>
          <w:tcPr>
            <w:tcW w:w="1446" w:type="dxa"/>
          </w:tcPr>
          <w:p w:rsidR="009B5B32" w:rsidRPr="003738D7" w:rsidRDefault="009B5B32" w:rsidP="009B5B32">
            <w:pPr>
              <w:pStyle w:val="TableParagraph"/>
              <w:tabs>
                <w:tab w:val="left" w:pos="0"/>
              </w:tabs>
              <w:spacing w:line="276" w:lineRule="auto"/>
              <w:ind w:left="108"/>
              <w:rPr>
                <w:rFonts w:eastAsia="Calibri"/>
                <w:sz w:val="20"/>
                <w:szCs w:val="20"/>
                <w:lang w:val="mn-MN"/>
              </w:rPr>
            </w:pPr>
            <w:r w:rsidRPr="003738D7">
              <w:rPr>
                <w:rFonts w:eastAsia="Calibri"/>
                <w:sz w:val="20"/>
                <w:szCs w:val="20"/>
                <w:lang w:val="mn-MN"/>
              </w:rPr>
              <w:t>TT6</w:t>
            </w:r>
          </w:p>
        </w:tc>
        <w:tc>
          <w:tcPr>
            <w:tcW w:w="1370" w:type="dxa"/>
          </w:tcPr>
          <w:p w:rsidR="009B5B32" w:rsidRPr="003738D7" w:rsidRDefault="009B5B32" w:rsidP="009B5B32">
            <w:pPr>
              <w:pStyle w:val="TableParagraph"/>
              <w:tabs>
                <w:tab w:val="left" w:pos="0"/>
              </w:tabs>
              <w:spacing w:before="57" w:line="276" w:lineRule="auto"/>
              <w:ind w:left="106"/>
              <w:rPr>
                <w:rFonts w:eastAsia="Calibri"/>
                <w:sz w:val="20"/>
                <w:szCs w:val="20"/>
                <w:lang w:val="mn-MN"/>
              </w:rPr>
            </w:pPr>
            <w:r w:rsidRPr="003738D7">
              <w:rPr>
                <w:rFonts w:eastAsia="Calibri"/>
                <w:sz w:val="20"/>
                <w:szCs w:val="20"/>
                <w:lang w:val="mn-MN"/>
              </w:rPr>
              <w:t>&lt; 3мс</w:t>
            </w:r>
          </w:p>
        </w:tc>
        <w:tc>
          <w:tcPr>
            <w:tcW w:w="1734" w:type="dxa"/>
          </w:tcPr>
          <w:p w:rsidR="009B5B32" w:rsidRPr="003738D7" w:rsidRDefault="009B5B32" w:rsidP="009B5B32">
            <w:pPr>
              <w:pStyle w:val="TableParagraph"/>
              <w:tabs>
                <w:tab w:val="left" w:pos="0"/>
              </w:tabs>
              <w:spacing w:line="276" w:lineRule="auto"/>
              <w:ind w:left="109"/>
              <w:rPr>
                <w:rFonts w:eastAsia="Calibri"/>
                <w:sz w:val="20"/>
                <w:szCs w:val="20"/>
                <w:lang w:val="mn-MN"/>
              </w:rPr>
            </w:pPr>
            <w:r w:rsidRPr="003738D7">
              <w:rPr>
                <w:rFonts w:eastAsia="Calibri"/>
                <w:sz w:val="20"/>
                <w:szCs w:val="20"/>
                <w:lang w:val="mn-MN"/>
              </w:rPr>
              <w:t>IF8</w:t>
            </w:r>
          </w:p>
        </w:tc>
      </w:tr>
      <w:tr w:rsidR="009B5B32" w:rsidTr="003738D7">
        <w:tc>
          <w:tcPr>
            <w:tcW w:w="1413" w:type="dxa"/>
          </w:tcPr>
          <w:p w:rsidR="009B5B32" w:rsidRPr="003738D7" w:rsidRDefault="009B5B32" w:rsidP="009B5B32">
            <w:pPr>
              <w:pStyle w:val="TableParagraph"/>
              <w:tabs>
                <w:tab w:val="left" w:pos="0"/>
              </w:tabs>
              <w:spacing w:line="276" w:lineRule="auto"/>
              <w:ind w:left="105"/>
              <w:rPr>
                <w:rFonts w:eastAsia="Calibri"/>
                <w:sz w:val="20"/>
                <w:szCs w:val="20"/>
                <w:lang w:val="mn-MN"/>
              </w:rPr>
            </w:pPr>
            <w:r w:rsidRPr="003738D7">
              <w:rPr>
                <w:rFonts w:eastAsia="Calibri"/>
                <w:sz w:val="20"/>
                <w:szCs w:val="20"/>
                <w:lang w:val="mn-MN"/>
              </w:rPr>
              <w:t>P14</w:t>
            </w:r>
          </w:p>
        </w:tc>
        <w:tc>
          <w:tcPr>
            <w:tcW w:w="3239" w:type="dxa"/>
          </w:tcPr>
          <w:p w:rsidR="009B5B32" w:rsidRPr="003738D7" w:rsidRDefault="009B5B32" w:rsidP="003738D7">
            <w:pPr>
              <w:pStyle w:val="TableParagraph"/>
              <w:tabs>
                <w:tab w:val="left" w:pos="0"/>
              </w:tabs>
              <w:spacing w:before="0" w:line="276" w:lineRule="auto"/>
              <w:ind w:right="302"/>
              <w:rPr>
                <w:rFonts w:eastAsia="Calibri"/>
                <w:sz w:val="20"/>
                <w:szCs w:val="20"/>
                <w:lang w:val="mn-MN"/>
              </w:rPr>
            </w:pPr>
            <w:r w:rsidRPr="003738D7">
              <w:rPr>
                <w:rFonts w:eastAsia="Calibri"/>
                <w:sz w:val="20"/>
                <w:szCs w:val="20"/>
                <w:lang w:val="mn-MN"/>
              </w:rPr>
              <w:t>Дэд станц дахь хэмжилтийг ашиглан бусад функцийг зохих хугацаагаар саатуулах</w:t>
            </w:r>
          </w:p>
        </w:tc>
        <w:tc>
          <w:tcPr>
            <w:tcW w:w="1446" w:type="dxa"/>
          </w:tcPr>
          <w:p w:rsidR="009B5B32" w:rsidRPr="003738D7" w:rsidRDefault="009B5B32" w:rsidP="009B5B32">
            <w:pPr>
              <w:pStyle w:val="TableParagraph"/>
              <w:tabs>
                <w:tab w:val="left" w:pos="0"/>
              </w:tabs>
              <w:spacing w:line="276" w:lineRule="auto"/>
              <w:ind w:left="108"/>
              <w:rPr>
                <w:rFonts w:eastAsia="Calibri"/>
                <w:sz w:val="20"/>
                <w:szCs w:val="20"/>
                <w:lang w:val="mn-MN"/>
              </w:rPr>
            </w:pPr>
            <w:r w:rsidRPr="003738D7">
              <w:rPr>
                <w:rFonts w:eastAsia="Calibri"/>
                <w:sz w:val="20"/>
                <w:szCs w:val="20"/>
                <w:lang w:val="mn-MN"/>
              </w:rPr>
              <w:t>TT5</w:t>
            </w:r>
          </w:p>
        </w:tc>
        <w:tc>
          <w:tcPr>
            <w:tcW w:w="1370" w:type="dxa"/>
          </w:tcPr>
          <w:p w:rsidR="009B5B32" w:rsidRPr="003738D7" w:rsidRDefault="009B5B32" w:rsidP="009B5B32">
            <w:pPr>
              <w:pStyle w:val="TableParagraph"/>
              <w:tabs>
                <w:tab w:val="left" w:pos="0"/>
              </w:tabs>
              <w:spacing w:before="57" w:line="276" w:lineRule="auto"/>
              <w:ind w:left="106"/>
              <w:rPr>
                <w:rFonts w:eastAsia="Calibri"/>
                <w:sz w:val="20"/>
                <w:szCs w:val="20"/>
                <w:lang w:val="mn-MN"/>
              </w:rPr>
            </w:pPr>
            <w:r w:rsidRPr="003738D7">
              <w:rPr>
                <w:rFonts w:eastAsia="Calibri"/>
                <w:sz w:val="20"/>
                <w:szCs w:val="20"/>
                <w:lang w:val="mn-MN"/>
              </w:rPr>
              <w:t>&lt; 10 мс</w:t>
            </w:r>
          </w:p>
        </w:tc>
        <w:tc>
          <w:tcPr>
            <w:tcW w:w="1734" w:type="dxa"/>
          </w:tcPr>
          <w:p w:rsidR="009B5B32" w:rsidRPr="003738D7" w:rsidRDefault="009B5B32" w:rsidP="009B5B32">
            <w:pPr>
              <w:pStyle w:val="TableParagraph"/>
              <w:tabs>
                <w:tab w:val="left" w:pos="0"/>
              </w:tabs>
              <w:spacing w:line="276" w:lineRule="auto"/>
              <w:ind w:left="109"/>
              <w:rPr>
                <w:rFonts w:eastAsia="Calibri"/>
                <w:sz w:val="20"/>
                <w:szCs w:val="20"/>
                <w:lang w:val="mn-MN"/>
              </w:rPr>
            </w:pPr>
            <w:r w:rsidRPr="003738D7">
              <w:rPr>
                <w:rFonts w:eastAsia="Calibri"/>
                <w:sz w:val="20"/>
                <w:szCs w:val="20"/>
                <w:lang w:val="mn-MN"/>
              </w:rPr>
              <w:t>IF8</w:t>
            </w:r>
          </w:p>
        </w:tc>
      </w:tr>
      <w:tr w:rsidR="009B5B32" w:rsidTr="003738D7">
        <w:tc>
          <w:tcPr>
            <w:tcW w:w="1413" w:type="dxa"/>
          </w:tcPr>
          <w:p w:rsidR="009B5B32" w:rsidRPr="003738D7" w:rsidRDefault="009B5B32" w:rsidP="009B5B32">
            <w:pPr>
              <w:pStyle w:val="TableParagraph"/>
              <w:tabs>
                <w:tab w:val="left" w:pos="0"/>
              </w:tabs>
              <w:spacing w:line="276" w:lineRule="auto"/>
              <w:ind w:left="105"/>
              <w:rPr>
                <w:rFonts w:eastAsia="Calibri"/>
                <w:sz w:val="20"/>
                <w:szCs w:val="20"/>
                <w:lang w:val="mn-MN"/>
              </w:rPr>
            </w:pPr>
            <w:r w:rsidRPr="003738D7">
              <w:rPr>
                <w:rFonts w:eastAsia="Calibri"/>
                <w:sz w:val="20"/>
                <w:szCs w:val="20"/>
                <w:lang w:val="mn-MN"/>
              </w:rPr>
              <w:t>P15</w:t>
            </w:r>
          </w:p>
        </w:tc>
        <w:tc>
          <w:tcPr>
            <w:tcW w:w="3239" w:type="dxa"/>
          </w:tcPr>
          <w:p w:rsidR="009B5B32" w:rsidRPr="003738D7" w:rsidRDefault="009B5B32"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Дэд станцуудын хоорондох хэмжилтийг ашиглан хамгаалалтын функцийг зохих хугацаагаар саатуулах</w:t>
            </w:r>
          </w:p>
        </w:tc>
        <w:tc>
          <w:tcPr>
            <w:tcW w:w="1446" w:type="dxa"/>
          </w:tcPr>
          <w:p w:rsidR="009B5B32" w:rsidRPr="003738D7" w:rsidRDefault="009B5B32" w:rsidP="009B5B32">
            <w:pPr>
              <w:pStyle w:val="TableParagraph"/>
              <w:tabs>
                <w:tab w:val="left" w:pos="0"/>
              </w:tabs>
              <w:spacing w:line="276" w:lineRule="auto"/>
              <w:ind w:left="108"/>
              <w:rPr>
                <w:rFonts w:eastAsia="Calibri"/>
                <w:sz w:val="20"/>
                <w:szCs w:val="20"/>
                <w:lang w:val="mn-MN"/>
              </w:rPr>
            </w:pPr>
            <w:r w:rsidRPr="003738D7">
              <w:rPr>
                <w:rFonts w:eastAsia="Calibri"/>
                <w:sz w:val="20"/>
                <w:szCs w:val="20"/>
                <w:lang w:val="mn-MN"/>
              </w:rPr>
              <w:t>TT6</w:t>
            </w:r>
          </w:p>
        </w:tc>
        <w:tc>
          <w:tcPr>
            <w:tcW w:w="1370" w:type="dxa"/>
          </w:tcPr>
          <w:p w:rsidR="009B5B32" w:rsidRPr="003738D7" w:rsidRDefault="009B5B32" w:rsidP="009B5B32">
            <w:pPr>
              <w:pStyle w:val="TableParagraph"/>
              <w:tabs>
                <w:tab w:val="left" w:pos="0"/>
              </w:tabs>
              <w:spacing w:before="57" w:line="276" w:lineRule="auto"/>
              <w:ind w:left="106"/>
              <w:rPr>
                <w:rFonts w:eastAsia="Calibri"/>
                <w:sz w:val="20"/>
                <w:szCs w:val="20"/>
                <w:lang w:val="mn-MN"/>
              </w:rPr>
            </w:pPr>
            <w:r w:rsidRPr="003738D7">
              <w:rPr>
                <w:rFonts w:eastAsia="Calibri"/>
                <w:sz w:val="20"/>
                <w:szCs w:val="20"/>
                <w:lang w:val="mn-MN"/>
              </w:rPr>
              <w:t>&lt; 3 мс</w:t>
            </w:r>
          </w:p>
        </w:tc>
        <w:tc>
          <w:tcPr>
            <w:tcW w:w="1734" w:type="dxa"/>
          </w:tcPr>
          <w:p w:rsidR="009B5B32" w:rsidRPr="003738D7" w:rsidRDefault="009B5B32" w:rsidP="009B5B32">
            <w:pPr>
              <w:pStyle w:val="TableParagraph"/>
              <w:tabs>
                <w:tab w:val="left" w:pos="0"/>
              </w:tabs>
              <w:spacing w:line="276" w:lineRule="auto"/>
              <w:ind w:left="109"/>
              <w:rPr>
                <w:rFonts w:eastAsia="Calibri"/>
                <w:sz w:val="20"/>
                <w:szCs w:val="20"/>
                <w:lang w:val="mn-MN"/>
              </w:rPr>
            </w:pPr>
            <w:r w:rsidRPr="003738D7">
              <w:rPr>
                <w:rFonts w:eastAsia="Calibri"/>
                <w:sz w:val="20"/>
                <w:szCs w:val="20"/>
                <w:lang w:val="mn-MN"/>
              </w:rPr>
              <w:t>IF11</w:t>
            </w:r>
          </w:p>
        </w:tc>
      </w:tr>
      <w:tr w:rsidR="009B5B32" w:rsidTr="003738D7">
        <w:tc>
          <w:tcPr>
            <w:tcW w:w="1413" w:type="dxa"/>
          </w:tcPr>
          <w:p w:rsidR="009B5B32" w:rsidRPr="003738D7" w:rsidRDefault="009B5B32" w:rsidP="009B5B32">
            <w:pPr>
              <w:pStyle w:val="TableParagraph"/>
              <w:tabs>
                <w:tab w:val="left" w:pos="0"/>
              </w:tabs>
              <w:spacing w:line="276" w:lineRule="auto"/>
              <w:ind w:left="105"/>
              <w:rPr>
                <w:rFonts w:eastAsia="Calibri"/>
                <w:sz w:val="20"/>
                <w:szCs w:val="20"/>
                <w:lang w:val="mn-MN"/>
              </w:rPr>
            </w:pPr>
            <w:r w:rsidRPr="003738D7">
              <w:rPr>
                <w:rFonts w:eastAsia="Calibri"/>
                <w:sz w:val="20"/>
                <w:szCs w:val="20"/>
                <w:lang w:val="mn-MN"/>
              </w:rPr>
              <w:t>P16</w:t>
            </w:r>
          </w:p>
        </w:tc>
        <w:tc>
          <w:tcPr>
            <w:tcW w:w="3239" w:type="dxa"/>
          </w:tcPr>
          <w:p w:rsidR="009B5B32" w:rsidRPr="003738D7" w:rsidRDefault="009B5B32"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Дэд станцуудын хоорондох хэмжилтийг ашиглан бусад функцийг зохих хугацаагаар саатуулах</w:t>
            </w:r>
          </w:p>
        </w:tc>
        <w:tc>
          <w:tcPr>
            <w:tcW w:w="1446" w:type="dxa"/>
          </w:tcPr>
          <w:p w:rsidR="009B5B32" w:rsidRPr="003738D7" w:rsidRDefault="009B5B32" w:rsidP="009B5B32">
            <w:pPr>
              <w:pStyle w:val="TableParagraph"/>
              <w:tabs>
                <w:tab w:val="left" w:pos="0"/>
              </w:tabs>
              <w:spacing w:line="276" w:lineRule="auto"/>
              <w:ind w:left="108"/>
              <w:rPr>
                <w:rFonts w:eastAsia="Calibri"/>
                <w:sz w:val="20"/>
                <w:szCs w:val="20"/>
                <w:lang w:val="mn-MN"/>
              </w:rPr>
            </w:pPr>
            <w:r w:rsidRPr="003738D7">
              <w:rPr>
                <w:rFonts w:eastAsia="Calibri"/>
                <w:sz w:val="20"/>
                <w:szCs w:val="20"/>
                <w:lang w:val="mn-MN"/>
              </w:rPr>
              <w:t>TT5</w:t>
            </w:r>
          </w:p>
        </w:tc>
        <w:tc>
          <w:tcPr>
            <w:tcW w:w="1370" w:type="dxa"/>
          </w:tcPr>
          <w:p w:rsidR="009B5B32" w:rsidRPr="003738D7" w:rsidRDefault="009B5B32" w:rsidP="009B5B32">
            <w:pPr>
              <w:pStyle w:val="TableParagraph"/>
              <w:tabs>
                <w:tab w:val="left" w:pos="0"/>
              </w:tabs>
              <w:spacing w:before="57" w:line="276" w:lineRule="auto"/>
              <w:ind w:left="106"/>
              <w:rPr>
                <w:rFonts w:eastAsia="Calibri"/>
                <w:sz w:val="20"/>
                <w:szCs w:val="20"/>
                <w:lang w:val="mn-MN"/>
              </w:rPr>
            </w:pPr>
            <w:r w:rsidRPr="003738D7">
              <w:rPr>
                <w:rFonts w:eastAsia="Calibri"/>
                <w:sz w:val="20"/>
                <w:szCs w:val="20"/>
                <w:lang w:val="mn-MN"/>
              </w:rPr>
              <w:t>&lt; 10 мс</w:t>
            </w:r>
          </w:p>
        </w:tc>
        <w:tc>
          <w:tcPr>
            <w:tcW w:w="1734" w:type="dxa"/>
          </w:tcPr>
          <w:p w:rsidR="009B5B32" w:rsidRPr="003738D7" w:rsidRDefault="009B5B32" w:rsidP="009B5B32">
            <w:pPr>
              <w:pStyle w:val="TableParagraph"/>
              <w:tabs>
                <w:tab w:val="left" w:pos="0"/>
              </w:tabs>
              <w:spacing w:line="276" w:lineRule="auto"/>
              <w:ind w:left="109"/>
              <w:rPr>
                <w:rFonts w:eastAsia="Calibri"/>
                <w:sz w:val="20"/>
                <w:szCs w:val="20"/>
                <w:lang w:val="mn-MN"/>
              </w:rPr>
            </w:pPr>
            <w:r w:rsidRPr="003738D7">
              <w:rPr>
                <w:rFonts w:eastAsia="Calibri"/>
                <w:sz w:val="20"/>
                <w:szCs w:val="20"/>
                <w:lang w:val="mn-MN"/>
              </w:rPr>
              <w:t>IF11</w:t>
            </w:r>
          </w:p>
        </w:tc>
      </w:tr>
    </w:tbl>
    <w:p w:rsidR="009B5B32" w:rsidRDefault="009B5B32"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1583"/>
        <w:gridCol w:w="3111"/>
        <w:gridCol w:w="1446"/>
        <w:gridCol w:w="1367"/>
        <w:gridCol w:w="1695"/>
      </w:tblGrid>
      <w:tr w:rsidR="003738D7" w:rsidRPr="00EF2D2B" w:rsidTr="003738D7">
        <w:tc>
          <w:tcPr>
            <w:tcW w:w="1583" w:type="dxa"/>
          </w:tcPr>
          <w:p w:rsidR="003738D7" w:rsidRPr="00731F96" w:rsidRDefault="003738D7" w:rsidP="003738D7">
            <w:pPr>
              <w:pStyle w:val="TableParagraph"/>
              <w:tabs>
                <w:tab w:val="left" w:pos="0"/>
              </w:tabs>
              <w:spacing w:before="53" w:line="276" w:lineRule="auto"/>
              <w:rPr>
                <w:b/>
                <w:sz w:val="20"/>
                <w:szCs w:val="20"/>
                <w:lang w:val="mn-MN"/>
              </w:rPr>
            </w:pPr>
            <w:r w:rsidRPr="00731F96">
              <w:rPr>
                <w:b/>
                <w:sz w:val="20"/>
                <w:szCs w:val="20"/>
                <w:lang w:val="mn-MN"/>
              </w:rPr>
              <w:t>Performance class</w:t>
            </w:r>
          </w:p>
        </w:tc>
        <w:tc>
          <w:tcPr>
            <w:tcW w:w="3111" w:type="dxa"/>
          </w:tcPr>
          <w:p w:rsidR="003738D7" w:rsidRPr="00EF2D2B" w:rsidRDefault="003738D7" w:rsidP="003738D7">
            <w:pPr>
              <w:pStyle w:val="TableParagraph"/>
              <w:tabs>
                <w:tab w:val="left" w:pos="0"/>
              </w:tabs>
              <w:spacing w:before="53" w:line="276" w:lineRule="auto"/>
              <w:ind w:left="374"/>
              <w:rPr>
                <w:b/>
                <w:sz w:val="20"/>
                <w:szCs w:val="20"/>
                <w:lang w:val="mn-MN"/>
              </w:rPr>
            </w:pPr>
            <w:r w:rsidRPr="00EF2D2B">
              <w:rPr>
                <w:b/>
                <w:sz w:val="20"/>
                <w:szCs w:val="20"/>
                <w:lang w:val="mn-MN"/>
              </w:rPr>
              <w:t>Requirement</w:t>
            </w:r>
          </w:p>
        </w:tc>
        <w:tc>
          <w:tcPr>
            <w:tcW w:w="1446" w:type="dxa"/>
          </w:tcPr>
          <w:p w:rsidR="003738D7" w:rsidRPr="00EF2D2B" w:rsidRDefault="003738D7" w:rsidP="003738D7">
            <w:pPr>
              <w:pStyle w:val="TableParagraph"/>
              <w:tabs>
                <w:tab w:val="left" w:pos="0"/>
              </w:tabs>
              <w:spacing w:before="53" w:line="276" w:lineRule="auto"/>
              <w:ind w:right="64"/>
              <w:rPr>
                <w:b/>
                <w:sz w:val="20"/>
                <w:szCs w:val="20"/>
                <w:lang w:val="mn-MN"/>
              </w:rPr>
            </w:pPr>
            <w:r w:rsidRPr="00EF2D2B">
              <w:rPr>
                <w:b/>
                <w:sz w:val="20"/>
                <w:szCs w:val="20"/>
                <w:lang w:val="mn-MN"/>
              </w:rPr>
              <w:t>Transfer time class</w:t>
            </w:r>
          </w:p>
        </w:tc>
        <w:tc>
          <w:tcPr>
            <w:tcW w:w="1367" w:type="dxa"/>
          </w:tcPr>
          <w:p w:rsidR="003738D7" w:rsidRPr="00EF2D2B" w:rsidRDefault="003738D7" w:rsidP="003738D7">
            <w:pPr>
              <w:pStyle w:val="TableParagraph"/>
              <w:tabs>
                <w:tab w:val="left" w:pos="0"/>
              </w:tabs>
              <w:spacing w:before="53" w:line="276" w:lineRule="auto"/>
              <w:rPr>
                <w:b/>
                <w:sz w:val="20"/>
                <w:szCs w:val="20"/>
                <w:lang w:val="mn-MN"/>
              </w:rPr>
            </w:pPr>
            <w:r w:rsidRPr="00EF2D2B">
              <w:rPr>
                <w:b/>
                <w:sz w:val="20"/>
                <w:szCs w:val="20"/>
                <w:lang w:val="mn-MN"/>
              </w:rPr>
              <w:t>Transfer time</w:t>
            </w:r>
          </w:p>
        </w:tc>
        <w:tc>
          <w:tcPr>
            <w:tcW w:w="1695" w:type="dxa"/>
          </w:tcPr>
          <w:p w:rsidR="003738D7" w:rsidRPr="00EF2D2B" w:rsidRDefault="003738D7" w:rsidP="003738D7">
            <w:pPr>
              <w:pStyle w:val="TableParagraph"/>
              <w:tabs>
                <w:tab w:val="left" w:pos="0"/>
              </w:tabs>
              <w:spacing w:before="53" w:line="276" w:lineRule="auto"/>
              <w:rPr>
                <w:b/>
                <w:sz w:val="20"/>
                <w:szCs w:val="20"/>
                <w:lang w:val="mn-MN"/>
              </w:rPr>
            </w:pPr>
            <w:r w:rsidRPr="00EF2D2B">
              <w:rPr>
                <w:b/>
                <w:sz w:val="20"/>
                <w:szCs w:val="20"/>
                <w:lang w:val="mn-MN"/>
              </w:rPr>
              <w:t>Typical for interface (IF)</w:t>
            </w:r>
          </w:p>
        </w:tc>
      </w:tr>
      <w:tr w:rsidR="003738D7" w:rsidRPr="003738D7" w:rsidTr="003738D7">
        <w:tc>
          <w:tcPr>
            <w:tcW w:w="1583"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P13</w:t>
            </w:r>
          </w:p>
        </w:tc>
        <w:tc>
          <w:tcPr>
            <w:tcW w:w="3111" w:type="dxa"/>
          </w:tcPr>
          <w:p w:rsidR="003738D7" w:rsidRPr="003738D7" w:rsidRDefault="003738D7" w:rsidP="003738D7">
            <w:pPr>
              <w:pStyle w:val="TableParagraph"/>
              <w:tabs>
                <w:tab w:val="left" w:pos="0"/>
              </w:tabs>
              <w:spacing w:before="1" w:line="276" w:lineRule="auto"/>
              <w:ind w:right="302"/>
              <w:rPr>
                <w:rFonts w:eastAsia="Calibri"/>
                <w:sz w:val="20"/>
                <w:szCs w:val="20"/>
                <w:lang w:val="mn-MN"/>
              </w:rPr>
            </w:pPr>
            <w:r w:rsidRPr="003738D7">
              <w:rPr>
                <w:rFonts w:eastAsia="Calibri"/>
                <w:sz w:val="20"/>
                <w:szCs w:val="20"/>
                <w:lang w:val="mn-MN"/>
              </w:rPr>
              <w:t>Delay acceptable for protection</w:t>
            </w:r>
          </w:p>
          <w:p w:rsidR="003738D7" w:rsidRPr="003738D7" w:rsidRDefault="003738D7" w:rsidP="003738D7">
            <w:pPr>
              <w:pStyle w:val="TableParagraph"/>
              <w:tabs>
                <w:tab w:val="left" w:pos="0"/>
              </w:tabs>
              <w:spacing w:before="1" w:line="276" w:lineRule="auto"/>
              <w:ind w:right="302"/>
              <w:rPr>
                <w:rFonts w:eastAsia="Calibri"/>
                <w:sz w:val="20"/>
                <w:szCs w:val="20"/>
                <w:lang w:val="mn-MN"/>
              </w:rPr>
            </w:pPr>
            <w:r w:rsidRPr="003738D7">
              <w:rPr>
                <w:rFonts w:eastAsia="Calibri"/>
                <w:sz w:val="20"/>
                <w:szCs w:val="20"/>
                <w:lang w:val="mn-MN"/>
              </w:rPr>
              <w:t>functions using the measurements in the substation</w:t>
            </w:r>
          </w:p>
        </w:tc>
        <w:tc>
          <w:tcPr>
            <w:tcW w:w="1446"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TT6</w:t>
            </w:r>
          </w:p>
        </w:tc>
        <w:tc>
          <w:tcPr>
            <w:tcW w:w="1367"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&lt; 3 ms</w:t>
            </w:r>
          </w:p>
        </w:tc>
        <w:tc>
          <w:tcPr>
            <w:tcW w:w="1695"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IF8</w:t>
            </w:r>
          </w:p>
        </w:tc>
      </w:tr>
      <w:tr w:rsidR="003738D7" w:rsidRPr="003738D7" w:rsidTr="003738D7">
        <w:tc>
          <w:tcPr>
            <w:tcW w:w="1583"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P14</w:t>
            </w:r>
          </w:p>
        </w:tc>
        <w:tc>
          <w:tcPr>
            <w:tcW w:w="3111" w:type="dxa"/>
          </w:tcPr>
          <w:p w:rsidR="003738D7" w:rsidRPr="003738D7" w:rsidRDefault="003738D7" w:rsidP="003738D7">
            <w:pPr>
              <w:pStyle w:val="TableParagraph"/>
              <w:tabs>
                <w:tab w:val="left" w:pos="0"/>
              </w:tabs>
              <w:spacing w:before="1" w:line="276" w:lineRule="auto"/>
              <w:ind w:right="302"/>
              <w:rPr>
                <w:rFonts w:eastAsia="Calibri"/>
                <w:sz w:val="20"/>
                <w:szCs w:val="20"/>
                <w:lang w:val="mn-MN"/>
              </w:rPr>
            </w:pPr>
            <w:r w:rsidRPr="003738D7">
              <w:rPr>
                <w:rFonts w:eastAsia="Calibri"/>
                <w:sz w:val="20"/>
                <w:szCs w:val="20"/>
                <w:lang w:val="mn-MN"/>
              </w:rPr>
              <w:t>Delay acceptable for other functions using the</w:t>
            </w:r>
          </w:p>
          <w:p w:rsidR="003738D7" w:rsidRPr="003738D7" w:rsidRDefault="003738D7" w:rsidP="003738D7">
            <w:pPr>
              <w:pStyle w:val="TableParagraph"/>
              <w:tabs>
                <w:tab w:val="left" w:pos="0"/>
              </w:tabs>
              <w:spacing w:before="1" w:line="276" w:lineRule="auto"/>
              <w:ind w:right="302" w:hanging="1"/>
              <w:rPr>
                <w:rFonts w:eastAsia="Calibri"/>
                <w:sz w:val="20"/>
                <w:szCs w:val="20"/>
                <w:lang w:val="mn-MN"/>
              </w:rPr>
            </w:pPr>
            <w:r w:rsidRPr="003738D7">
              <w:rPr>
                <w:rFonts w:eastAsia="Calibri"/>
                <w:sz w:val="20"/>
                <w:szCs w:val="20"/>
                <w:lang w:val="mn-MN"/>
              </w:rPr>
              <w:t>measurements in the substation</w:t>
            </w:r>
          </w:p>
        </w:tc>
        <w:tc>
          <w:tcPr>
            <w:tcW w:w="1446"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TT5</w:t>
            </w:r>
          </w:p>
        </w:tc>
        <w:tc>
          <w:tcPr>
            <w:tcW w:w="1367"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&lt; 10 ms</w:t>
            </w:r>
          </w:p>
        </w:tc>
        <w:tc>
          <w:tcPr>
            <w:tcW w:w="1695"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IF8</w:t>
            </w:r>
          </w:p>
        </w:tc>
      </w:tr>
      <w:tr w:rsidR="003738D7" w:rsidRPr="003738D7" w:rsidTr="003738D7">
        <w:tc>
          <w:tcPr>
            <w:tcW w:w="1583"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P15</w:t>
            </w:r>
          </w:p>
        </w:tc>
        <w:tc>
          <w:tcPr>
            <w:tcW w:w="3111" w:type="dxa"/>
          </w:tcPr>
          <w:p w:rsidR="003738D7" w:rsidRPr="003738D7" w:rsidRDefault="003738D7" w:rsidP="003738D7">
            <w:pPr>
              <w:pStyle w:val="TableParagraph"/>
              <w:tabs>
                <w:tab w:val="left" w:pos="0"/>
              </w:tabs>
              <w:spacing w:before="1" w:line="276" w:lineRule="auto"/>
              <w:ind w:right="302"/>
              <w:rPr>
                <w:rFonts w:eastAsia="Calibri"/>
                <w:sz w:val="20"/>
                <w:szCs w:val="20"/>
                <w:lang w:val="mn-MN"/>
              </w:rPr>
            </w:pPr>
            <w:r w:rsidRPr="003738D7">
              <w:rPr>
                <w:rFonts w:eastAsia="Calibri"/>
                <w:sz w:val="20"/>
                <w:szCs w:val="20"/>
                <w:lang w:val="mn-MN"/>
              </w:rPr>
              <w:t>Delay acceptable for protection</w:t>
            </w:r>
          </w:p>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functions using the measurements</w:t>
            </w:r>
          </w:p>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between</w:t>
            </w:r>
          </w:p>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substations</w:t>
            </w:r>
          </w:p>
        </w:tc>
        <w:tc>
          <w:tcPr>
            <w:tcW w:w="1446"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TT6</w:t>
            </w:r>
          </w:p>
        </w:tc>
        <w:tc>
          <w:tcPr>
            <w:tcW w:w="1367"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&lt; 3 ms</w:t>
            </w:r>
          </w:p>
        </w:tc>
        <w:tc>
          <w:tcPr>
            <w:tcW w:w="1695"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IF11</w:t>
            </w:r>
          </w:p>
        </w:tc>
      </w:tr>
      <w:tr w:rsidR="003738D7" w:rsidRPr="003738D7" w:rsidTr="003738D7">
        <w:tc>
          <w:tcPr>
            <w:tcW w:w="1583"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P16</w:t>
            </w:r>
          </w:p>
        </w:tc>
        <w:tc>
          <w:tcPr>
            <w:tcW w:w="3111" w:type="dxa"/>
          </w:tcPr>
          <w:p w:rsidR="003738D7" w:rsidRPr="003738D7" w:rsidRDefault="003738D7" w:rsidP="003738D7">
            <w:pPr>
              <w:pStyle w:val="TableParagraph"/>
              <w:tabs>
                <w:tab w:val="left" w:pos="0"/>
              </w:tabs>
              <w:spacing w:before="1" w:line="276" w:lineRule="auto"/>
              <w:ind w:right="302"/>
              <w:rPr>
                <w:rFonts w:eastAsia="Calibri"/>
                <w:sz w:val="20"/>
                <w:szCs w:val="20"/>
                <w:lang w:val="mn-MN"/>
              </w:rPr>
            </w:pPr>
            <w:r w:rsidRPr="003738D7">
              <w:rPr>
                <w:rFonts w:eastAsia="Calibri"/>
                <w:sz w:val="20"/>
                <w:szCs w:val="20"/>
                <w:lang w:val="mn-MN"/>
              </w:rPr>
              <w:t xml:space="preserve">Delay acceptable for other </w:t>
            </w:r>
            <w:r w:rsidRPr="003738D7">
              <w:rPr>
                <w:rFonts w:eastAsia="Calibri"/>
                <w:sz w:val="20"/>
                <w:szCs w:val="20"/>
                <w:lang w:val="mn-MN"/>
              </w:rPr>
              <w:lastRenderedPageBreak/>
              <w:t>functions using the</w:t>
            </w:r>
          </w:p>
          <w:p w:rsidR="003738D7" w:rsidRPr="003738D7" w:rsidRDefault="003738D7" w:rsidP="003738D7">
            <w:pPr>
              <w:pStyle w:val="TableParagraph"/>
              <w:tabs>
                <w:tab w:val="left" w:pos="0"/>
              </w:tabs>
              <w:spacing w:before="1" w:line="276" w:lineRule="auto"/>
              <w:ind w:right="302" w:hanging="1"/>
              <w:rPr>
                <w:rFonts w:eastAsia="Calibri"/>
                <w:sz w:val="20"/>
                <w:szCs w:val="20"/>
                <w:lang w:val="mn-MN"/>
              </w:rPr>
            </w:pPr>
            <w:r w:rsidRPr="003738D7">
              <w:rPr>
                <w:rFonts w:eastAsia="Calibri"/>
                <w:sz w:val="20"/>
                <w:szCs w:val="20"/>
                <w:lang w:val="mn-MN"/>
              </w:rPr>
              <w:t>measurements between</w:t>
            </w:r>
          </w:p>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substations</w:t>
            </w:r>
          </w:p>
        </w:tc>
        <w:tc>
          <w:tcPr>
            <w:tcW w:w="1446"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lastRenderedPageBreak/>
              <w:t>TT5</w:t>
            </w:r>
          </w:p>
        </w:tc>
        <w:tc>
          <w:tcPr>
            <w:tcW w:w="1367"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&lt; 10 ms</w:t>
            </w:r>
          </w:p>
        </w:tc>
        <w:tc>
          <w:tcPr>
            <w:tcW w:w="1695" w:type="dxa"/>
          </w:tcPr>
          <w:p w:rsidR="003738D7" w:rsidRPr="003738D7" w:rsidRDefault="003738D7" w:rsidP="003738D7">
            <w:pPr>
              <w:pStyle w:val="TableParagraph"/>
              <w:tabs>
                <w:tab w:val="left" w:pos="0"/>
              </w:tabs>
              <w:spacing w:before="1" w:line="276" w:lineRule="auto"/>
              <w:rPr>
                <w:rFonts w:eastAsia="Calibri"/>
                <w:sz w:val="20"/>
                <w:szCs w:val="20"/>
                <w:lang w:val="mn-MN"/>
              </w:rPr>
            </w:pPr>
            <w:r w:rsidRPr="003738D7">
              <w:rPr>
                <w:rFonts w:eastAsia="Calibri"/>
                <w:sz w:val="20"/>
                <w:szCs w:val="20"/>
                <w:lang w:val="mn-MN"/>
              </w:rPr>
              <w:t>IF11</w:t>
            </w:r>
          </w:p>
        </w:tc>
      </w:tr>
    </w:tbl>
    <w:p w:rsidR="00B70A0D" w:rsidRDefault="00B70A0D" w:rsidP="003738D7">
      <w:pPr>
        <w:tabs>
          <w:tab w:val="left" w:pos="142"/>
        </w:tabs>
        <w:ind w:left="0" w:firstLine="0"/>
        <w:rPr>
          <w:b/>
        </w:rPr>
      </w:pPr>
    </w:p>
    <w:tbl>
      <w:tblPr>
        <w:tblStyle w:val="TableGrid"/>
        <w:tblW w:w="0" w:type="auto"/>
        <w:tblInd w:w="142" w:type="dxa"/>
        <w:tblLook w:val="04A0" w:firstRow="1" w:lastRow="0" w:firstColumn="1" w:lastColumn="0" w:noHBand="0" w:noVBand="1"/>
      </w:tblPr>
      <w:tblGrid>
        <w:gridCol w:w="4601"/>
        <w:gridCol w:w="4601"/>
      </w:tblGrid>
      <w:tr w:rsidR="003738D7" w:rsidTr="003738D7">
        <w:tc>
          <w:tcPr>
            <w:tcW w:w="4601" w:type="dxa"/>
          </w:tcPr>
          <w:p w:rsidR="003738D7" w:rsidRPr="003738D7" w:rsidRDefault="003738D7" w:rsidP="003738D7">
            <w:pPr>
              <w:tabs>
                <w:tab w:val="left" w:pos="142"/>
              </w:tabs>
              <w:ind w:left="0" w:firstLine="0"/>
              <w:rPr>
                <w:rFonts w:eastAsia="Calibri"/>
                <w:b/>
                <w:bCs/>
                <w:szCs w:val="22"/>
              </w:rPr>
            </w:pPr>
            <w:r w:rsidRPr="003738D7">
              <w:rPr>
                <w:rFonts w:eastAsia="Calibri"/>
                <w:b/>
                <w:bCs/>
                <w:szCs w:val="22"/>
              </w:rPr>
              <w:t>13 IEC 61850-6 (SCL) дээр үзүүлэх нөлөө.</w:t>
            </w:r>
          </w:p>
          <w:p w:rsidR="003738D7" w:rsidRPr="003738D7" w:rsidRDefault="003738D7" w:rsidP="003738D7">
            <w:pPr>
              <w:tabs>
                <w:tab w:val="left" w:pos="142"/>
              </w:tabs>
              <w:ind w:left="0" w:firstLine="0"/>
              <w:rPr>
                <w:rFonts w:eastAsia="Calibri"/>
                <w:b/>
                <w:bCs/>
                <w:szCs w:val="22"/>
              </w:rPr>
            </w:pPr>
            <w:r w:rsidRPr="003738D7">
              <w:rPr>
                <w:rFonts w:eastAsia="Calibri"/>
                <w:b/>
                <w:bCs/>
                <w:szCs w:val="22"/>
              </w:rPr>
              <w:t xml:space="preserve">13.1 Ерөнхий </w:t>
            </w:r>
          </w:p>
          <w:p w:rsidR="003738D7" w:rsidRPr="003738D7" w:rsidRDefault="003738D7" w:rsidP="003738D7">
            <w:pPr>
              <w:tabs>
                <w:tab w:val="left" w:pos="142"/>
              </w:tabs>
              <w:ind w:left="0" w:firstLine="0"/>
              <w:rPr>
                <w:rFonts w:eastAsia="Calibri"/>
                <w:bCs/>
                <w:szCs w:val="22"/>
              </w:rPr>
            </w:pPr>
            <w:r w:rsidRPr="003738D7">
              <w:rPr>
                <w:rFonts w:eastAsia="Calibri"/>
                <w:bCs/>
                <w:szCs w:val="22"/>
              </w:rPr>
              <w:t>IEC 61850-6-т тодорхойлсоноор дэд станцын тохируулгын хэл (SCL) -д гурван (3) үндсэн нөлөөлөл байдаг. IEC 61850-6-ийн өргөтгөлүүдийг дараахь шаардлагын дагуу хийх хэрэгтэй:</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3738D7">
              <w:rPr>
                <w:rFonts w:eastAsia="Calibri"/>
                <w:bCs/>
                <w:szCs w:val="22"/>
              </w:rPr>
              <w:t>энэ баримт бичигт тодорхройлсоноор шинэ IEC 61850 UDP/IP профайл, мөн шинэ синхрофазорын функцуудыг илэрхийлэх,</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before="99" w:after="0"/>
              <w:ind w:left="0" w:right="140" w:firstLine="0"/>
              <w:contextualSpacing w:val="0"/>
              <w:jc w:val="left"/>
              <w:rPr>
                <w:rFonts w:eastAsia="Calibri"/>
                <w:bCs/>
                <w:szCs w:val="22"/>
              </w:rPr>
            </w:pPr>
            <w:r w:rsidRPr="003738D7">
              <w:rPr>
                <w:rFonts w:eastAsia="Calibri"/>
                <w:bCs/>
                <w:szCs w:val="22"/>
              </w:rPr>
              <w:t>IEEE C37.118.2 багц мэдээллийн тохиргоог SCL-ээр илэрхийлэх механизмаар хангана. Энэ нь IEEE C37-ээс IEC 61850-ийг шилжүүлэн ашиглахадхэрэгтэй,</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before="99" w:after="0"/>
              <w:ind w:left="0" w:firstLine="0"/>
              <w:contextualSpacing w:val="0"/>
              <w:jc w:val="left"/>
              <w:rPr>
                <w:rFonts w:eastAsia="Calibri"/>
                <w:bCs/>
                <w:szCs w:val="22"/>
              </w:rPr>
            </w:pPr>
            <w:r w:rsidRPr="003738D7">
              <w:rPr>
                <w:rFonts w:eastAsia="Calibri"/>
                <w:bCs/>
                <w:szCs w:val="22"/>
              </w:rPr>
              <w:t>Фазор өгөгдлийн хуримтлуулагчуудын тохируулгыг илэрхийлэх механизмаар хангана.</w:t>
            </w:r>
          </w:p>
          <w:p w:rsidR="003738D7" w:rsidRPr="003738D7" w:rsidRDefault="003738D7" w:rsidP="003738D7">
            <w:pPr>
              <w:tabs>
                <w:tab w:val="left" w:pos="142"/>
              </w:tabs>
              <w:ind w:left="0" w:firstLine="0"/>
              <w:rPr>
                <w:rFonts w:eastAsia="Calibri"/>
                <w:bCs/>
                <w:szCs w:val="22"/>
              </w:rPr>
            </w:pPr>
            <w:r w:rsidRPr="003738D7">
              <w:rPr>
                <w:rFonts w:eastAsia="Calibri"/>
                <w:bCs/>
                <w:szCs w:val="22"/>
              </w:rPr>
              <w:t>Мөн чиглүүлэгчийн профайлыг үүсгэхэд SCL-д нөлөөлдөг. Дараах дэд бүлгүүдэд шаардлагатай өргөтгөлүүд/өөрчлөлтүүдийг нарийвчлан тусгасан болно.</w:t>
            </w:r>
          </w:p>
          <w:p w:rsidR="003738D7" w:rsidRPr="003738D7" w:rsidRDefault="003738D7" w:rsidP="003738D7">
            <w:pPr>
              <w:tabs>
                <w:tab w:val="left" w:pos="142"/>
              </w:tabs>
              <w:ind w:left="0" w:firstLine="0"/>
              <w:rPr>
                <w:rFonts w:eastAsia="Calibri"/>
                <w:b/>
                <w:bCs/>
                <w:szCs w:val="22"/>
              </w:rPr>
            </w:pPr>
            <w:r w:rsidRPr="003738D7">
              <w:rPr>
                <w:rFonts w:eastAsia="Calibri"/>
                <w:b/>
                <w:bCs/>
                <w:szCs w:val="22"/>
                <w:lang w:val="en-US"/>
              </w:rPr>
              <w:t xml:space="preserve">13.2 </w:t>
            </w:r>
            <w:r w:rsidRPr="003738D7">
              <w:rPr>
                <w:rFonts w:eastAsia="Calibri"/>
                <w:b/>
                <w:bCs/>
                <w:szCs w:val="22"/>
              </w:rPr>
              <w:t>IEC / TR 61850-90-5 тодорхойлсон профайлыг дэмжих SCL өргөтгөлүүд</w:t>
            </w:r>
          </w:p>
          <w:p w:rsidR="003738D7" w:rsidRPr="003738D7" w:rsidRDefault="003738D7" w:rsidP="003738D7">
            <w:pPr>
              <w:tabs>
                <w:tab w:val="left" w:pos="142"/>
              </w:tabs>
              <w:ind w:left="0" w:firstLine="0"/>
              <w:rPr>
                <w:rFonts w:eastAsia="Calibri"/>
                <w:bCs/>
                <w:szCs w:val="22"/>
              </w:rPr>
            </w:pPr>
            <w:r w:rsidRPr="003738D7">
              <w:rPr>
                <w:rFonts w:eastAsia="Calibri"/>
                <w:bCs/>
                <w:szCs w:val="22"/>
              </w:rPr>
              <w:t>Дээр дурдсан зорилгоор SCL-ийн дараах сайжруулалтыг санал болгож байна:</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3738D7">
              <w:rPr>
                <w:rFonts w:eastAsia="Calibri"/>
                <w:bCs/>
                <w:szCs w:val="22"/>
              </w:rPr>
              <w:t xml:space="preserve">Шинэ SV сервесийн зураглалRU-SV-ийг mustUnderstand шинж чанар бүхий GOOSE удирдлагын блок (R-GOOSE протокол) -той харгалзах SV удирдлагын блок дахь дэд элемент (протокол) болгон харуулав.Энэ нь SV ба R-SV сервесийг ижил IED дээр зэрэгцээ, IEC 61850 протоколын нэг хэсэг болгон шинэ протоколын төрлийг </w:t>
            </w:r>
            <w:r w:rsidRPr="003738D7">
              <w:rPr>
                <w:rFonts w:eastAsia="Calibri"/>
                <w:bCs/>
                <w:szCs w:val="22"/>
              </w:rPr>
              <w:lastRenderedPageBreak/>
              <w:t>ашиглахгүйгээр ажиллуулах боломжийг олгодог.MustUnderstand шинж чанар бүхий элементийн хувьд энэхүү удирдлагын блокийг R-SV зураглалыг танихгүй 'хуучин' багаж хэрэгсэл, IED-ууд ашиглахыг хориглодог.</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before="98" w:after="0"/>
              <w:ind w:left="0" w:right="50" w:firstLine="0"/>
              <w:contextualSpacing w:val="0"/>
              <w:rPr>
                <w:rFonts w:eastAsia="Calibri"/>
                <w:bCs/>
                <w:szCs w:val="22"/>
              </w:rPr>
            </w:pPr>
            <w:r w:rsidRPr="003738D7">
              <w:rPr>
                <w:rFonts w:eastAsia="Calibri"/>
                <w:bCs/>
                <w:szCs w:val="22"/>
              </w:rPr>
              <w:t>R-SV ба R-GOOSE клиентийн чадвар нь клиент зохих мессежийг хүлээн авах боломжтой болохыг харуулж байна.</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before="98" w:after="0"/>
              <w:ind w:left="0" w:right="50" w:firstLine="0"/>
              <w:contextualSpacing w:val="0"/>
              <w:rPr>
                <w:rFonts w:eastAsia="Calibri"/>
                <w:bCs/>
                <w:szCs w:val="22"/>
              </w:rPr>
            </w:pPr>
            <w:r w:rsidRPr="003738D7">
              <w:rPr>
                <w:rFonts w:eastAsia="Calibri"/>
                <w:bCs/>
                <w:szCs w:val="22"/>
              </w:rPr>
              <w:t xml:space="preserve">Профайлуудад IPv4 эсвэл IPv6 ашиглахын тулд өргөтгөл хийх шаардлагатай. Эдгээр нэмэлтийг 9.2.2.2 ба 13.2.4-өөс үзнэ үү. </w:t>
            </w:r>
          </w:p>
          <w:p w:rsidR="003738D7" w:rsidRPr="003738D7" w:rsidRDefault="003738D7" w:rsidP="003738D7">
            <w:pPr>
              <w:tabs>
                <w:tab w:val="left" w:pos="142"/>
              </w:tabs>
              <w:ind w:left="0" w:firstLine="0"/>
              <w:rPr>
                <w:rFonts w:eastAsia="Calibri"/>
                <w:bCs/>
                <w:szCs w:val="22"/>
              </w:rPr>
            </w:pPr>
            <w:r w:rsidRPr="003738D7">
              <w:rPr>
                <w:rFonts w:eastAsia="Calibri"/>
                <w:bCs/>
                <w:szCs w:val="22"/>
              </w:rPr>
              <w:t>SED файлууд болон холбогдох инженерийн эрхүүдийн солилцоо нь IEC 61850-6: 2009-д тодорхойлогдсон байна.</w:t>
            </w:r>
          </w:p>
          <w:p w:rsidR="003738D7" w:rsidRPr="003738D7" w:rsidRDefault="003738D7" w:rsidP="003738D7">
            <w:pPr>
              <w:tabs>
                <w:tab w:val="left" w:pos="142"/>
              </w:tabs>
              <w:ind w:left="0" w:firstLine="0"/>
              <w:rPr>
                <w:rFonts w:eastAsia="Calibri"/>
                <w:bCs/>
                <w:szCs w:val="22"/>
              </w:rPr>
            </w:pPr>
            <w:r w:rsidRPr="003738D7">
              <w:rPr>
                <w:rFonts w:eastAsia="Calibri"/>
                <w:bCs/>
                <w:szCs w:val="22"/>
              </w:rPr>
              <w:t>Сэлгэн залгагч болон бусад IED-ийн чиглүүлэгч ба физик холболтын тайлбарыг IEC 61850-6: 2009-д тодорхойлсон байна.</w:t>
            </w:r>
          </w:p>
          <w:p w:rsidR="003738D7" w:rsidRPr="003738D7" w:rsidRDefault="003738D7" w:rsidP="003738D7">
            <w:pPr>
              <w:tabs>
                <w:tab w:val="left" w:pos="142"/>
              </w:tabs>
              <w:ind w:left="0" w:firstLine="0"/>
              <w:rPr>
                <w:rFonts w:eastAsia="Calibri"/>
                <w:bCs/>
                <w:szCs w:val="22"/>
              </w:rPr>
            </w:pPr>
            <w:r w:rsidRPr="003738D7">
              <w:rPr>
                <w:rFonts w:eastAsia="Calibri"/>
                <w:bCs/>
                <w:szCs w:val="22"/>
              </w:rPr>
              <w:t>SCL XML-ийн жишээг хавсралт B-ээс үзнэ үү.</w:t>
            </w:r>
          </w:p>
          <w:p w:rsidR="003738D7" w:rsidRPr="003738D7" w:rsidRDefault="003738D7" w:rsidP="003738D7">
            <w:pPr>
              <w:tabs>
                <w:tab w:val="left" w:pos="142"/>
              </w:tabs>
              <w:ind w:left="0" w:firstLine="0"/>
              <w:rPr>
                <w:rFonts w:eastAsia="Calibri"/>
                <w:b/>
                <w:bCs/>
                <w:szCs w:val="22"/>
              </w:rPr>
            </w:pPr>
            <w:r w:rsidRPr="003738D7">
              <w:rPr>
                <w:rFonts w:eastAsia="Calibri"/>
                <w:b/>
                <w:bCs/>
                <w:szCs w:val="22"/>
              </w:rPr>
              <w:t>13.2.1 Ерөнхий инженерчлэлийн процесс</w:t>
            </w:r>
          </w:p>
          <w:p w:rsidR="003738D7" w:rsidRPr="003738D7" w:rsidRDefault="003738D7" w:rsidP="003738D7">
            <w:pPr>
              <w:tabs>
                <w:tab w:val="left" w:pos="142"/>
              </w:tabs>
              <w:ind w:left="0" w:firstLine="0"/>
              <w:rPr>
                <w:rFonts w:eastAsia="Calibri"/>
                <w:bCs/>
                <w:szCs w:val="22"/>
              </w:rPr>
            </w:pPr>
            <w:r w:rsidRPr="003738D7">
              <w:rPr>
                <w:rFonts w:eastAsia="Calibri"/>
                <w:bCs/>
                <w:szCs w:val="22"/>
              </w:rPr>
              <w:t>Үндсэн хувилбараас үл хамааран (SED эсвэл IID импорт) ерөнхий инженерчлэлийн явц нь доор тайлбарласан үе шатуудыг агуулдаг (тал A = үүсгүүр дэд станц, эсвэл PMU/хамгаалалтын IED; хүлээн авагч клиент нь PDC эсвэл төвийн төслийн IED хэрэглээ):</w:t>
            </w:r>
          </w:p>
          <w:p w:rsidR="003738D7" w:rsidRPr="003738D7" w:rsidRDefault="003738D7" w:rsidP="003738D7">
            <w:pPr>
              <w:pStyle w:val="BodyText"/>
              <w:tabs>
                <w:tab w:val="left" w:pos="142"/>
              </w:tabs>
              <w:spacing w:before="3" w:line="276" w:lineRule="auto"/>
              <w:rPr>
                <w:rFonts w:eastAsia="Calibri"/>
                <w:sz w:val="24"/>
                <w:szCs w:val="22"/>
                <w:lang w:val="mn-MN"/>
              </w:rPr>
            </w:pPr>
          </w:p>
          <w:p w:rsidR="003738D7" w:rsidRPr="003738D7" w:rsidRDefault="003738D7" w:rsidP="00472036">
            <w:pPr>
              <w:pStyle w:val="ListParagraph"/>
              <w:widowControl w:val="0"/>
              <w:numPr>
                <w:ilvl w:val="0"/>
                <w:numId w:val="34"/>
              </w:numPr>
              <w:tabs>
                <w:tab w:val="left" w:pos="142"/>
                <w:tab w:val="left" w:pos="919"/>
              </w:tabs>
              <w:autoSpaceDE w:val="0"/>
              <w:autoSpaceDN w:val="0"/>
              <w:spacing w:after="0"/>
              <w:ind w:left="0" w:firstLine="0"/>
              <w:contextualSpacing w:val="0"/>
              <w:jc w:val="left"/>
              <w:rPr>
                <w:rFonts w:eastAsia="Calibri"/>
                <w:bCs/>
                <w:szCs w:val="22"/>
              </w:rPr>
            </w:pPr>
            <w:r w:rsidRPr="003738D7">
              <w:rPr>
                <w:rFonts w:eastAsia="Calibri"/>
                <w:bCs/>
                <w:szCs w:val="22"/>
              </w:rPr>
              <w:t>тал А дээрх дохиог тодорхойлжтөв IED-ийн тохирох PDC-руушилжүүлэх,</w:t>
            </w:r>
          </w:p>
          <w:p w:rsidR="003738D7" w:rsidRPr="003738D7" w:rsidRDefault="003738D7" w:rsidP="00472036">
            <w:pPr>
              <w:pStyle w:val="ListParagraph"/>
              <w:widowControl w:val="0"/>
              <w:numPr>
                <w:ilvl w:val="0"/>
                <w:numId w:val="34"/>
              </w:numPr>
              <w:tabs>
                <w:tab w:val="left" w:pos="142"/>
                <w:tab w:val="left" w:pos="918"/>
              </w:tabs>
              <w:autoSpaceDE w:val="0"/>
              <w:autoSpaceDN w:val="0"/>
              <w:spacing w:before="101" w:after="0"/>
              <w:ind w:left="0" w:firstLine="0"/>
              <w:contextualSpacing w:val="0"/>
              <w:jc w:val="left"/>
              <w:rPr>
                <w:rFonts w:eastAsia="Calibri"/>
                <w:bCs/>
                <w:szCs w:val="22"/>
              </w:rPr>
            </w:pPr>
            <w:r w:rsidRPr="003738D7">
              <w:rPr>
                <w:rFonts w:eastAsia="Calibri"/>
                <w:bCs/>
                <w:szCs w:val="22"/>
              </w:rPr>
              <w:t>SCL дахь тал А зургийг үүсгэх(SED, IID, ICD),</w:t>
            </w:r>
          </w:p>
          <w:p w:rsidR="003738D7" w:rsidRPr="003738D7" w:rsidRDefault="003738D7" w:rsidP="00472036">
            <w:pPr>
              <w:pStyle w:val="ListParagraph"/>
              <w:widowControl w:val="0"/>
              <w:numPr>
                <w:ilvl w:val="0"/>
                <w:numId w:val="34"/>
              </w:numPr>
              <w:tabs>
                <w:tab w:val="left" w:pos="142"/>
                <w:tab w:val="left" w:pos="919"/>
              </w:tabs>
              <w:autoSpaceDE w:val="0"/>
              <w:autoSpaceDN w:val="0"/>
              <w:spacing w:before="99" w:after="0"/>
              <w:ind w:left="0" w:firstLine="0"/>
              <w:contextualSpacing w:val="0"/>
              <w:jc w:val="left"/>
              <w:rPr>
                <w:rFonts w:eastAsia="Calibri"/>
                <w:bCs/>
                <w:szCs w:val="22"/>
              </w:rPr>
            </w:pPr>
            <w:r w:rsidRPr="003738D7">
              <w:rPr>
                <w:rFonts w:eastAsia="Calibri"/>
                <w:bCs/>
                <w:szCs w:val="22"/>
              </w:rPr>
              <w:t>PDC/Төв төсөл дээр тал Азураг импортлох,</w:t>
            </w:r>
          </w:p>
          <w:p w:rsidR="003738D7" w:rsidRPr="003738D7" w:rsidRDefault="003738D7" w:rsidP="00472036">
            <w:pPr>
              <w:pStyle w:val="ListParagraph"/>
              <w:widowControl w:val="0"/>
              <w:numPr>
                <w:ilvl w:val="0"/>
                <w:numId w:val="34"/>
              </w:numPr>
              <w:tabs>
                <w:tab w:val="left" w:pos="142"/>
                <w:tab w:val="left" w:pos="919"/>
              </w:tabs>
              <w:autoSpaceDE w:val="0"/>
              <w:autoSpaceDN w:val="0"/>
              <w:spacing w:before="102" w:after="0"/>
              <w:ind w:left="0" w:firstLine="0"/>
              <w:contextualSpacing w:val="0"/>
              <w:jc w:val="left"/>
              <w:rPr>
                <w:rFonts w:eastAsia="Calibri"/>
                <w:bCs/>
                <w:szCs w:val="22"/>
              </w:rPr>
            </w:pPr>
            <w:r w:rsidRPr="003738D7">
              <w:rPr>
                <w:rFonts w:eastAsia="Calibri"/>
                <w:bCs/>
                <w:szCs w:val="22"/>
              </w:rPr>
              <w:lastRenderedPageBreak/>
              <w:t>клиент рүү орж буй зааварлагч дохио,</w:t>
            </w:r>
          </w:p>
          <w:p w:rsidR="003738D7" w:rsidRPr="003738D7" w:rsidRDefault="003738D7" w:rsidP="00472036">
            <w:pPr>
              <w:pStyle w:val="ListParagraph"/>
              <w:widowControl w:val="0"/>
              <w:numPr>
                <w:ilvl w:val="0"/>
                <w:numId w:val="34"/>
              </w:numPr>
              <w:tabs>
                <w:tab w:val="left" w:pos="142"/>
                <w:tab w:val="left" w:pos="919"/>
              </w:tabs>
              <w:autoSpaceDE w:val="0"/>
              <w:autoSpaceDN w:val="0"/>
              <w:spacing w:before="98" w:after="0"/>
              <w:ind w:left="0" w:firstLine="0"/>
              <w:contextualSpacing w:val="0"/>
              <w:jc w:val="left"/>
              <w:rPr>
                <w:rFonts w:eastAsia="Calibri"/>
                <w:bCs/>
                <w:szCs w:val="22"/>
              </w:rPr>
            </w:pPr>
            <w:r w:rsidRPr="003738D7">
              <w:rPr>
                <w:rFonts w:eastAsia="Calibri"/>
                <w:bCs/>
                <w:szCs w:val="22"/>
              </w:rPr>
              <w:t>PDC/Төв-өөс тал А руу дохиог тодорхойлох (хэрэв шаардлагатай бол),</w:t>
            </w:r>
          </w:p>
          <w:p w:rsidR="003738D7" w:rsidRPr="003738D7" w:rsidRDefault="003738D7" w:rsidP="00472036">
            <w:pPr>
              <w:pStyle w:val="ListParagraph"/>
              <w:widowControl w:val="0"/>
              <w:numPr>
                <w:ilvl w:val="0"/>
                <w:numId w:val="34"/>
              </w:numPr>
              <w:tabs>
                <w:tab w:val="left" w:pos="142"/>
                <w:tab w:val="left" w:pos="918"/>
                <w:tab w:val="left" w:pos="919"/>
              </w:tabs>
              <w:autoSpaceDE w:val="0"/>
              <w:autoSpaceDN w:val="0"/>
              <w:spacing w:before="102" w:after="0"/>
              <w:ind w:left="0" w:firstLine="0"/>
              <w:contextualSpacing w:val="0"/>
              <w:jc w:val="left"/>
              <w:rPr>
                <w:rFonts w:eastAsia="Calibri"/>
                <w:bCs/>
                <w:szCs w:val="22"/>
              </w:rPr>
            </w:pPr>
            <w:r w:rsidRPr="003738D7">
              <w:rPr>
                <w:rFonts w:eastAsia="Calibri"/>
                <w:bCs/>
                <w:szCs w:val="22"/>
              </w:rPr>
              <w:t>SCL (SED) -д PDC/төв-ийн IED ба дохионы дүрсийг үүсгэх,</w:t>
            </w:r>
          </w:p>
          <w:p w:rsidR="003738D7" w:rsidRPr="003738D7" w:rsidRDefault="003738D7" w:rsidP="00472036">
            <w:pPr>
              <w:pStyle w:val="ListParagraph"/>
              <w:widowControl w:val="0"/>
              <w:numPr>
                <w:ilvl w:val="0"/>
                <w:numId w:val="34"/>
              </w:numPr>
              <w:tabs>
                <w:tab w:val="left" w:pos="142"/>
                <w:tab w:val="left" w:pos="919"/>
              </w:tabs>
              <w:autoSpaceDE w:val="0"/>
              <w:autoSpaceDN w:val="0"/>
              <w:spacing w:before="99" w:after="0"/>
              <w:ind w:left="0" w:right="499" w:firstLine="0"/>
              <w:contextualSpacing w:val="0"/>
              <w:jc w:val="left"/>
              <w:rPr>
                <w:rFonts w:eastAsia="Calibri"/>
                <w:bCs/>
                <w:szCs w:val="22"/>
              </w:rPr>
            </w:pPr>
            <w:r w:rsidRPr="003738D7">
              <w:rPr>
                <w:rFonts w:eastAsia="Calibri"/>
                <w:bCs/>
                <w:szCs w:val="22"/>
              </w:rPr>
              <w:t>SED-ийг буцааж тал A руу, PDC/төв-ийн дохиоллыг хүрэх газар A-д (шаардлагатай бол) импортлох.</w:t>
            </w:r>
          </w:p>
          <w:p w:rsidR="003738D7" w:rsidRPr="003738D7" w:rsidRDefault="003738D7" w:rsidP="003738D7">
            <w:pPr>
              <w:tabs>
                <w:tab w:val="left" w:pos="142"/>
              </w:tabs>
              <w:ind w:left="0" w:firstLine="0"/>
              <w:rPr>
                <w:rFonts w:eastAsia="Calibri"/>
                <w:bCs/>
                <w:sz w:val="20"/>
                <w:szCs w:val="20"/>
              </w:rPr>
            </w:pPr>
            <w:r w:rsidRPr="003738D7">
              <w:rPr>
                <w:rFonts w:eastAsia="Calibri"/>
                <w:bCs/>
                <w:sz w:val="20"/>
                <w:szCs w:val="20"/>
              </w:rPr>
              <w:t>ТАЙЛБАР: e), f), g) алхмуудыг дээд түвшнээс үүсгүүр дэд станц(тал A) руу чиглэсэн дохио байхгүй бол алгасах боломжтой, а) алхам дахь өгөгдлийн урсгалын зөв танилцуулахтыг хангахын тулд клиентIED файлыг тал А руу өгснөөр сольж болох ба а) алхмын дарааd) алхмыг тал A-ын системийн хэрэгслээр гүйцэтгэж болно.</w:t>
            </w:r>
          </w:p>
          <w:p w:rsidR="003738D7" w:rsidRPr="003738D7" w:rsidRDefault="003738D7" w:rsidP="003738D7">
            <w:pPr>
              <w:tabs>
                <w:tab w:val="left" w:pos="142"/>
              </w:tabs>
              <w:ind w:left="0" w:firstLine="0"/>
              <w:rPr>
                <w:rFonts w:eastAsia="Calibri"/>
                <w:b/>
                <w:bCs/>
                <w:szCs w:val="22"/>
              </w:rPr>
            </w:pPr>
            <w:r w:rsidRPr="003738D7">
              <w:rPr>
                <w:rFonts w:eastAsia="Calibri"/>
                <w:b/>
                <w:bCs/>
                <w:szCs w:val="22"/>
              </w:rPr>
              <w:t>13.2.2 Удирдлагын блок өргөтгөлүүд</w:t>
            </w:r>
          </w:p>
          <w:p w:rsidR="003738D7" w:rsidRPr="003738D7" w:rsidRDefault="003738D7" w:rsidP="003738D7">
            <w:pPr>
              <w:tabs>
                <w:tab w:val="left" w:pos="142"/>
              </w:tabs>
              <w:ind w:left="0" w:firstLine="0"/>
              <w:rPr>
                <w:rFonts w:eastAsia="Calibri"/>
                <w:bCs/>
                <w:szCs w:val="22"/>
              </w:rPr>
            </w:pPr>
            <w:r w:rsidRPr="003738D7">
              <w:rPr>
                <w:rFonts w:eastAsia="Calibri"/>
                <w:bCs/>
                <w:szCs w:val="22"/>
              </w:rPr>
              <w:t>Дараах дэд бүлгүүдэд R-GoCB ба R-MSVCB-ийг дэмжих Дэд Станцын Тохируулгын Хэлээр шаардлагатай өргөтгөлүүдийг нарийвчлан харуулав.</w:t>
            </w:r>
          </w:p>
          <w:p w:rsidR="003738D7" w:rsidRPr="003738D7" w:rsidRDefault="003738D7" w:rsidP="003738D7">
            <w:pPr>
              <w:tabs>
                <w:tab w:val="left" w:pos="142"/>
              </w:tabs>
              <w:ind w:left="0" w:firstLine="0"/>
              <w:rPr>
                <w:rFonts w:eastAsia="Calibri"/>
                <w:b/>
                <w:bCs/>
                <w:szCs w:val="22"/>
              </w:rPr>
            </w:pPr>
            <w:r w:rsidRPr="003738D7">
              <w:rPr>
                <w:rFonts w:eastAsia="Calibri"/>
                <w:b/>
                <w:bCs/>
                <w:szCs w:val="22"/>
              </w:rPr>
              <w:t>13.2.2.1 SV удирдлагын блок өргөтгөлүүд</w:t>
            </w:r>
          </w:p>
          <w:p w:rsidR="003738D7" w:rsidRPr="003738D7" w:rsidRDefault="003738D7" w:rsidP="003738D7">
            <w:pPr>
              <w:tabs>
                <w:tab w:val="left" w:pos="142"/>
              </w:tabs>
              <w:ind w:left="0" w:firstLine="0"/>
              <w:rPr>
                <w:rFonts w:eastAsia="Calibri"/>
                <w:bCs/>
                <w:szCs w:val="22"/>
              </w:rPr>
            </w:pPr>
            <w:r w:rsidRPr="003738D7">
              <w:rPr>
                <w:rFonts w:eastAsia="Calibri"/>
                <w:bCs/>
                <w:szCs w:val="22"/>
              </w:rPr>
              <w:t>SV-ийн SCL XSD нь Зураг 37-т харуулсны дагуу өргөтгөлд аюулгүй байдлын талбар, шинэ R-SV сервисийн зураглалыг багтаасан байх шаардлагатай:</w:t>
            </w:r>
          </w:p>
        </w:tc>
        <w:tc>
          <w:tcPr>
            <w:tcW w:w="4601" w:type="dxa"/>
          </w:tcPr>
          <w:p w:rsidR="003738D7" w:rsidRPr="003738D7" w:rsidRDefault="003738D7" w:rsidP="003738D7">
            <w:pPr>
              <w:tabs>
                <w:tab w:val="left" w:pos="142"/>
              </w:tabs>
              <w:ind w:left="0" w:firstLine="0"/>
              <w:rPr>
                <w:rFonts w:eastAsia="Calibri"/>
                <w:b/>
                <w:bCs/>
                <w:szCs w:val="22"/>
              </w:rPr>
            </w:pPr>
            <w:r w:rsidRPr="003738D7">
              <w:rPr>
                <w:rFonts w:eastAsia="Calibri"/>
                <w:b/>
                <w:bCs/>
                <w:szCs w:val="22"/>
              </w:rPr>
              <w:lastRenderedPageBreak/>
              <w:t xml:space="preserve">13 </w:t>
            </w:r>
            <w:bookmarkStart w:id="63" w:name="_TOC_250005"/>
            <w:r w:rsidRPr="003738D7">
              <w:rPr>
                <w:rFonts w:eastAsia="Calibri"/>
                <w:b/>
                <w:bCs/>
                <w:szCs w:val="22"/>
              </w:rPr>
              <w:t xml:space="preserve">Effects on the IEC 61850-6 </w:t>
            </w:r>
            <w:bookmarkEnd w:id="63"/>
            <w:r w:rsidRPr="003738D7">
              <w:rPr>
                <w:rFonts w:eastAsia="Calibri"/>
                <w:b/>
                <w:bCs/>
                <w:szCs w:val="22"/>
              </w:rPr>
              <w:t>(SCL)</w:t>
            </w:r>
          </w:p>
          <w:p w:rsidR="003738D7" w:rsidRPr="003738D7" w:rsidRDefault="003738D7" w:rsidP="003738D7">
            <w:pPr>
              <w:tabs>
                <w:tab w:val="left" w:pos="142"/>
              </w:tabs>
              <w:ind w:left="0" w:firstLine="0"/>
              <w:rPr>
                <w:rFonts w:eastAsia="Calibri"/>
                <w:b/>
                <w:bCs/>
                <w:szCs w:val="22"/>
              </w:rPr>
            </w:pPr>
            <w:bookmarkStart w:id="64" w:name="_TOC_250004"/>
            <w:r w:rsidRPr="003738D7">
              <w:rPr>
                <w:rFonts w:eastAsia="Calibri"/>
                <w:b/>
                <w:bCs/>
                <w:szCs w:val="22"/>
              </w:rPr>
              <w:t>13.1 G</w:t>
            </w:r>
            <w:bookmarkEnd w:id="64"/>
            <w:r w:rsidRPr="003738D7">
              <w:rPr>
                <w:rFonts w:eastAsia="Calibri"/>
                <w:b/>
                <w:bCs/>
                <w:szCs w:val="22"/>
              </w:rPr>
              <w:t>eneral</w:t>
            </w:r>
          </w:p>
          <w:p w:rsidR="003738D7" w:rsidRPr="003738D7" w:rsidRDefault="003738D7" w:rsidP="003738D7">
            <w:pPr>
              <w:tabs>
                <w:tab w:val="left" w:pos="142"/>
              </w:tabs>
              <w:ind w:left="0" w:firstLine="0"/>
              <w:rPr>
                <w:rFonts w:eastAsia="Calibri"/>
                <w:bCs/>
                <w:szCs w:val="22"/>
              </w:rPr>
            </w:pPr>
            <w:r w:rsidRPr="003738D7">
              <w:rPr>
                <w:rFonts w:eastAsia="Calibri"/>
                <w:bCs/>
                <w:szCs w:val="22"/>
              </w:rPr>
              <w:t>There are three (3) major identified impacts on  the Substation Configuration Language (SCL) as defined in IEC 61850-6. The extensions of IEC 61850-6 are required due to the need to:</w:t>
            </w:r>
          </w:p>
          <w:p w:rsidR="003738D7" w:rsidRPr="003738D7" w:rsidRDefault="003738D7" w:rsidP="00472036">
            <w:pPr>
              <w:pStyle w:val="ListParagraph"/>
              <w:widowControl w:val="0"/>
              <w:numPr>
                <w:ilvl w:val="0"/>
                <w:numId w:val="25"/>
              </w:numPr>
              <w:tabs>
                <w:tab w:val="left" w:pos="142"/>
                <w:tab w:val="left" w:pos="898"/>
                <w:tab w:val="left" w:pos="899"/>
              </w:tabs>
              <w:autoSpaceDE w:val="0"/>
              <w:autoSpaceDN w:val="0"/>
              <w:spacing w:after="0"/>
              <w:ind w:left="0" w:right="505" w:firstLine="0"/>
              <w:contextualSpacing w:val="0"/>
              <w:jc w:val="left"/>
              <w:rPr>
                <w:rFonts w:eastAsia="Calibri"/>
                <w:bCs/>
                <w:szCs w:val="22"/>
              </w:rPr>
            </w:pPr>
            <w:r w:rsidRPr="003738D7">
              <w:rPr>
                <w:rFonts w:eastAsia="Calibri"/>
                <w:bCs/>
                <w:szCs w:val="22"/>
              </w:rPr>
              <w:t>express the new IEC 61850 UDP/IP profile, as defined in this document, and the new synchrophasor functions,</w:t>
            </w:r>
          </w:p>
          <w:p w:rsidR="003738D7" w:rsidRPr="003738D7" w:rsidRDefault="003738D7" w:rsidP="00472036">
            <w:pPr>
              <w:pStyle w:val="ListParagraph"/>
              <w:widowControl w:val="0"/>
              <w:numPr>
                <w:ilvl w:val="0"/>
                <w:numId w:val="25"/>
              </w:numPr>
              <w:tabs>
                <w:tab w:val="left" w:pos="142"/>
                <w:tab w:val="left" w:pos="898"/>
                <w:tab w:val="left" w:pos="899"/>
              </w:tabs>
              <w:autoSpaceDE w:val="0"/>
              <w:autoSpaceDN w:val="0"/>
              <w:spacing w:before="99" w:after="0"/>
              <w:ind w:left="0" w:right="439" w:firstLine="0"/>
              <w:contextualSpacing w:val="0"/>
              <w:jc w:val="left"/>
              <w:rPr>
                <w:rFonts w:eastAsia="Calibri"/>
                <w:bCs/>
                <w:szCs w:val="22"/>
              </w:rPr>
            </w:pPr>
            <w:r w:rsidRPr="003738D7">
              <w:rPr>
                <w:rFonts w:eastAsia="Calibri"/>
                <w:bCs/>
                <w:szCs w:val="22"/>
              </w:rPr>
              <w:t>provide a mechanism to express IEEE C37.118.2 packet information configuration via SCL. This is needed to allow IEEE C37 migration to the use of IEC 61850</w:t>
            </w:r>
          </w:p>
          <w:p w:rsidR="003738D7" w:rsidRPr="003738D7" w:rsidRDefault="003738D7" w:rsidP="00472036">
            <w:pPr>
              <w:pStyle w:val="ListParagraph"/>
              <w:widowControl w:val="0"/>
              <w:numPr>
                <w:ilvl w:val="0"/>
                <w:numId w:val="25"/>
              </w:numPr>
              <w:tabs>
                <w:tab w:val="left" w:pos="142"/>
                <w:tab w:val="left" w:pos="898"/>
                <w:tab w:val="left" w:pos="899"/>
              </w:tabs>
              <w:autoSpaceDE w:val="0"/>
              <w:autoSpaceDN w:val="0"/>
              <w:spacing w:before="99" w:after="0"/>
              <w:ind w:left="0" w:firstLine="0"/>
              <w:contextualSpacing w:val="0"/>
              <w:jc w:val="left"/>
              <w:rPr>
                <w:rFonts w:eastAsia="Calibri"/>
                <w:bCs/>
                <w:szCs w:val="22"/>
              </w:rPr>
            </w:pPr>
            <w:r w:rsidRPr="003738D7">
              <w:rPr>
                <w:rFonts w:eastAsia="Calibri"/>
                <w:bCs/>
                <w:szCs w:val="22"/>
              </w:rPr>
              <w:t>provide a mechanism to express the configuration of Phasor Data Concentrators.</w:t>
            </w:r>
          </w:p>
          <w:p w:rsidR="003738D7" w:rsidRPr="003738D7" w:rsidRDefault="003738D7" w:rsidP="003738D7">
            <w:pPr>
              <w:tabs>
                <w:tab w:val="left" w:pos="142"/>
              </w:tabs>
              <w:ind w:left="0" w:firstLine="0"/>
              <w:rPr>
                <w:rFonts w:eastAsia="Calibri"/>
                <w:bCs/>
                <w:szCs w:val="22"/>
              </w:rPr>
            </w:pPr>
            <w:r w:rsidRPr="003738D7">
              <w:rPr>
                <w:rFonts w:eastAsia="Calibri"/>
                <w:bCs/>
                <w:szCs w:val="22"/>
              </w:rPr>
              <w:t>Additionally, the creation of routable profiles has an impact on SCL. The following subclauses detail the extensions/changes needed.</w:t>
            </w:r>
          </w:p>
          <w:p w:rsidR="003738D7" w:rsidRPr="003738D7" w:rsidRDefault="003738D7" w:rsidP="003738D7">
            <w:pPr>
              <w:tabs>
                <w:tab w:val="left" w:pos="142"/>
              </w:tabs>
              <w:ind w:left="0" w:firstLine="0"/>
              <w:rPr>
                <w:rFonts w:eastAsia="Calibri"/>
                <w:b/>
                <w:bCs/>
                <w:szCs w:val="22"/>
              </w:rPr>
            </w:pPr>
            <w:bookmarkStart w:id="65" w:name="_TOC_250003"/>
            <w:r w:rsidRPr="003738D7">
              <w:rPr>
                <w:rFonts w:eastAsia="Calibri"/>
                <w:b/>
                <w:bCs/>
                <w:szCs w:val="22"/>
                <w:lang w:val="en-US"/>
              </w:rPr>
              <w:t xml:space="preserve">13.2 </w:t>
            </w:r>
            <w:r w:rsidRPr="003738D7">
              <w:rPr>
                <w:rFonts w:eastAsia="Calibri"/>
                <w:b/>
                <w:bCs/>
                <w:szCs w:val="22"/>
              </w:rPr>
              <w:t xml:space="preserve">SCL extensions to support IEC/TR 61850-90-5 defined </w:t>
            </w:r>
            <w:bookmarkEnd w:id="65"/>
            <w:r w:rsidRPr="003738D7">
              <w:rPr>
                <w:rFonts w:eastAsia="Calibri"/>
                <w:b/>
                <w:bCs/>
                <w:szCs w:val="22"/>
              </w:rPr>
              <w:t>profiles</w:t>
            </w:r>
          </w:p>
          <w:p w:rsidR="003738D7" w:rsidRPr="003738D7" w:rsidRDefault="003738D7" w:rsidP="003738D7">
            <w:pPr>
              <w:tabs>
                <w:tab w:val="left" w:pos="142"/>
              </w:tabs>
              <w:ind w:left="0" w:firstLine="0"/>
              <w:rPr>
                <w:rFonts w:eastAsia="Calibri"/>
                <w:bCs/>
                <w:szCs w:val="22"/>
              </w:rPr>
            </w:pPr>
            <w:r w:rsidRPr="003738D7">
              <w:rPr>
                <w:rFonts w:eastAsia="Calibri"/>
                <w:bCs/>
                <w:szCs w:val="22"/>
              </w:rPr>
              <w:t>For the purpose defined above, the following SCL enhancements are suggested:</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3738D7">
              <w:rPr>
                <w:rFonts w:eastAsia="Calibri"/>
                <w:bCs/>
                <w:szCs w:val="22"/>
              </w:rPr>
              <w:t xml:space="preserve">Indication of new SV service mapping R-SV as a sub element (Protocol) at the SV control block respective GOOSE control block (Protocol R-GOOSE) with mustUnderstand property. This allows running SV and R-SV service in  parallel on  the same IED, and both as  a  part  of the IEC 61850 protocol without needing a new protocol type. The implementation as an element with mustUnderstand property prohibits usage of this control block  by  ‘old’ tools and IEDs which do </w:t>
            </w:r>
            <w:r w:rsidRPr="003738D7">
              <w:rPr>
                <w:rFonts w:eastAsia="Calibri"/>
                <w:bCs/>
                <w:szCs w:val="22"/>
              </w:rPr>
              <w:lastRenderedPageBreak/>
              <w:t>not know the R-SV mapping.</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3738D7">
              <w:rPr>
                <w:rFonts w:eastAsia="Calibri"/>
                <w:bCs/>
                <w:szCs w:val="22"/>
              </w:rPr>
              <w:t>R-SV and R-GOOSE client capability shows that a client is able to receive appropriate messages.</w:t>
            </w:r>
          </w:p>
          <w:p w:rsidR="003738D7" w:rsidRPr="003738D7" w:rsidRDefault="003738D7"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3738D7">
              <w:rPr>
                <w:rFonts w:eastAsia="Calibri"/>
                <w:bCs/>
                <w:szCs w:val="22"/>
              </w:rPr>
              <w:t xml:space="preserve">The use of IPv4 or IPv6 in the profiles also requires extensions. These additions can be found in </w:t>
            </w:r>
            <w:hyperlink w:anchor="_bookmark28" w:history="1">
              <w:r w:rsidRPr="003738D7">
                <w:rPr>
                  <w:rFonts w:eastAsia="Calibri"/>
                  <w:bCs/>
                  <w:szCs w:val="22"/>
                </w:rPr>
                <w:t xml:space="preserve">9.2.2.2 </w:t>
              </w:r>
            </w:hyperlink>
            <w:r w:rsidRPr="003738D7">
              <w:rPr>
                <w:rFonts w:eastAsia="Calibri"/>
                <w:bCs/>
                <w:szCs w:val="22"/>
              </w:rPr>
              <w:t xml:space="preserve">and </w:t>
            </w:r>
            <w:hyperlink w:anchor="_bookmark77" w:history="1">
              <w:r w:rsidRPr="003738D7">
                <w:rPr>
                  <w:rFonts w:eastAsia="Calibri"/>
                  <w:bCs/>
                  <w:szCs w:val="22"/>
                </w:rPr>
                <w:t>13.2.4.</w:t>
              </w:r>
            </w:hyperlink>
          </w:p>
          <w:p w:rsidR="003738D7" w:rsidRPr="003738D7" w:rsidRDefault="003738D7" w:rsidP="003738D7">
            <w:pPr>
              <w:tabs>
                <w:tab w:val="left" w:pos="142"/>
              </w:tabs>
              <w:ind w:left="0" w:firstLine="0"/>
              <w:rPr>
                <w:rFonts w:eastAsia="Calibri"/>
                <w:bCs/>
                <w:szCs w:val="22"/>
              </w:rPr>
            </w:pPr>
            <w:r w:rsidRPr="003738D7">
              <w:rPr>
                <w:rFonts w:eastAsia="Calibri"/>
                <w:bCs/>
                <w:szCs w:val="22"/>
              </w:rPr>
              <w:t>The exchange of SED files  and  the  connected  engineering  rights  is  already  defined  in  IEC 61850-6:2009.</w:t>
            </w:r>
          </w:p>
          <w:p w:rsidR="003738D7" w:rsidRPr="003738D7" w:rsidRDefault="003738D7" w:rsidP="003738D7">
            <w:pPr>
              <w:tabs>
                <w:tab w:val="left" w:pos="142"/>
              </w:tabs>
              <w:ind w:left="0" w:firstLine="0"/>
              <w:rPr>
                <w:rFonts w:eastAsia="Calibri"/>
                <w:bCs/>
                <w:szCs w:val="22"/>
              </w:rPr>
            </w:pPr>
            <w:r w:rsidRPr="003738D7">
              <w:rPr>
                <w:rFonts w:eastAsia="Calibri"/>
                <w:bCs/>
                <w:szCs w:val="22"/>
              </w:rPr>
              <w:t>The description of routers and physical connections to switches and other IEDs is already defined in IEC 61850-6:2009.</w:t>
            </w:r>
          </w:p>
          <w:p w:rsidR="003738D7" w:rsidRPr="003738D7" w:rsidRDefault="003738D7" w:rsidP="003738D7">
            <w:pPr>
              <w:tabs>
                <w:tab w:val="left" w:pos="142"/>
              </w:tabs>
              <w:ind w:left="0" w:firstLine="0"/>
              <w:rPr>
                <w:rFonts w:eastAsia="Calibri"/>
                <w:bCs/>
                <w:szCs w:val="22"/>
              </w:rPr>
            </w:pPr>
            <w:r w:rsidRPr="003738D7">
              <w:rPr>
                <w:rFonts w:eastAsia="Calibri"/>
                <w:bCs/>
                <w:szCs w:val="22"/>
              </w:rPr>
              <w:t xml:space="preserve">See </w:t>
            </w:r>
            <w:hyperlink w:anchor="_bookmark87" w:history="1">
              <w:r w:rsidRPr="003738D7">
                <w:rPr>
                  <w:rFonts w:eastAsia="Calibri"/>
                  <w:bCs/>
                  <w:szCs w:val="22"/>
                </w:rPr>
                <w:t xml:space="preserve">Annex B </w:t>
              </w:r>
            </w:hyperlink>
            <w:r w:rsidRPr="003738D7">
              <w:rPr>
                <w:rFonts w:eastAsia="Calibri"/>
                <w:bCs/>
                <w:szCs w:val="22"/>
              </w:rPr>
              <w:t>for example SCL XML.</w:t>
            </w:r>
          </w:p>
          <w:p w:rsidR="003738D7" w:rsidRPr="003738D7" w:rsidRDefault="003738D7" w:rsidP="003738D7">
            <w:pPr>
              <w:tabs>
                <w:tab w:val="left" w:pos="142"/>
              </w:tabs>
              <w:ind w:left="0" w:firstLine="0"/>
              <w:rPr>
                <w:rFonts w:eastAsia="Calibri"/>
                <w:b/>
                <w:bCs/>
                <w:szCs w:val="22"/>
              </w:rPr>
            </w:pPr>
            <w:bookmarkStart w:id="66" w:name="_TOC_250002"/>
            <w:r w:rsidRPr="003738D7">
              <w:rPr>
                <w:rFonts w:eastAsia="Calibri"/>
                <w:b/>
                <w:bCs/>
                <w:szCs w:val="22"/>
              </w:rPr>
              <w:t xml:space="preserve">13.2.1 General engineering </w:t>
            </w:r>
            <w:bookmarkEnd w:id="66"/>
            <w:r w:rsidRPr="003738D7">
              <w:rPr>
                <w:rFonts w:eastAsia="Calibri"/>
                <w:b/>
                <w:bCs/>
                <w:szCs w:val="22"/>
              </w:rPr>
              <w:t>process</w:t>
            </w:r>
          </w:p>
          <w:p w:rsidR="003738D7" w:rsidRPr="003738D7" w:rsidRDefault="003738D7" w:rsidP="003738D7">
            <w:pPr>
              <w:tabs>
                <w:tab w:val="left" w:pos="142"/>
              </w:tabs>
              <w:ind w:left="0" w:firstLine="0"/>
              <w:rPr>
                <w:rFonts w:eastAsia="Calibri"/>
                <w:bCs/>
                <w:szCs w:val="22"/>
              </w:rPr>
            </w:pPr>
            <w:r w:rsidRPr="003738D7">
              <w:rPr>
                <w:rFonts w:eastAsia="Calibri"/>
                <w:bCs/>
                <w:szCs w:val="22"/>
              </w:rPr>
              <w:t>Independent from the basic scenario (SED or IID import), the general engineering flow always contains the steps described below (side A = source substation, or PMU / protection IED; the receiving client is a PDC or an application IED in a center project):</w:t>
            </w:r>
          </w:p>
          <w:p w:rsidR="003738D7" w:rsidRPr="003738D7" w:rsidRDefault="003738D7" w:rsidP="003738D7">
            <w:pPr>
              <w:pStyle w:val="BodyText"/>
              <w:tabs>
                <w:tab w:val="left" w:pos="142"/>
              </w:tabs>
              <w:spacing w:before="3" w:line="276" w:lineRule="auto"/>
              <w:rPr>
                <w:rFonts w:eastAsia="Calibri"/>
                <w:sz w:val="24"/>
                <w:szCs w:val="22"/>
                <w:lang w:val="mn-MN"/>
              </w:rPr>
            </w:pPr>
          </w:p>
          <w:p w:rsidR="003738D7" w:rsidRPr="003738D7" w:rsidRDefault="003738D7" w:rsidP="00472036">
            <w:pPr>
              <w:pStyle w:val="ListParagraph"/>
              <w:widowControl w:val="0"/>
              <w:numPr>
                <w:ilvl w:val="0"/>
                <w:numId w:val="33"/>
              </w:numPr>
              <w:tabs>
                <w:tab w:val="left" w:pos="142"/>
                <w:tab w:val="left" w:pos="919"/>
              </w:tabs>
              <w:autoSpaceDE w:val="0"/>
              <w:autoSpaceDN w:val="0"/>
              <w:spacing w:after="0"/>
              <w:ind w:left="0" w:firstLine="0"/>
              <w:contextualSpacing w:val="0"/>
              <w:jc w:val="left"/>
              <w:rPr>
                <w:rFonts w:eastAsia="Calibri"/>
                <w:bCs/>
                <w:szCs w:val="22"/>
              </w:rPr>
            </w:pPr>
            <w:r w:rsidRPr="003738D7">
              <w:rPr>
                <w:rFonts w:eastAsia="Calibri"/>
                <w:bCs/>
                <w:szCs w:val="22"/>
              </w:rPr>
              <w:t>identify the signals at side A to be transferred to PDC respective to center IED,</w:t>
            </w:r>
          </w:p>
          <w:p w:rsidR="003738D7" w:rsidRPr="003738D7" w:rsidRDefault="003738D7" w:rsidP="00472036">
            <w:pPr>
              <w:pStyle w:val="ListParagraph"/>
              <w:widowControl w:val="0"/>
              <w:numPr>
                <w:ilvl w:val="0"/>
                <w:numId w:val="33"/>
              </w:numPr>
              <w:tabs>
                <w:tab w:val="left" w:pos="142"/>
                <w:tab w:val="left" w:pos="918"/>
              </w:tabs>
              <w:autoSpaceDE w:val="0"/>
              <w:autoSpaceDN w:val="0"/>
              <w:spacing w:before="101" w:after="0"/>
              <w:ind w:left="0" w:firstLine="0"/>
              <w:contextualSpacing w:val="0"/>
              <w:jc w:val="left"/>
              <w:rPr>
                <w:rFonts w:eastAsia="Calibri"/>
                <w:bCs/>
                <w:szCs w:val="22"/>
              </w:rPr>
            </w:pPr>
            <w:r w:rsidRPr="003738D7">
              <w:rPr>
                <w:rFonts w:eastAsia="Calibri"/>
                <w:bCs/>
                <w:szCs w:val="22"/>
              </w:rPr>
              <w:t>generate side A image in SCL (SED, IID, ICD),</w:t>
            </w:r>
          </w:p>
          <w:p w:rsidR="003738D7" w:rsidRPr="003738D7" w:rsidRDefault="003738D7" w:rsidP="00472036">
            <w:pPr>
              <w:pStyle w:val="ListParagraph"/>
              <w:widowControl w:val="0"/>
              <w:numPr>
                <w:ilvl w:val="0"/>
                <w:numId w:val="33"/>
              </w:numPr>
              <w:tabs>
                <w:tab w:val="left" w:pos="142"/>
                <w:tab w:val="left" w:pos="919"/>
              </w:tabs>
              <w:autoSpaceDE w:val="0"/>
              <w:autoSpaceDN w:val="0"/>
              <w:spacing w:before="99" w:after="0"/>
              <w:ind w:left="0" w:firstLine="0"/>
              <w:contextualSpacing w:val="0"/>
              <w:jc w:val="left"/>
              <w:rPr>
                <w:rFonts w:eastAsia="Calibri"/>
                <w:bCs/>
                <w:szCs w:val="22"/>
              </w:rPr>
            </w:pPr>
            <w:r w:rsidRPr="003738D7">
              <w:rPr>
                <w:rFonts w:eastAsia="Calibri"/>
                <w:bCs/>
                <w:szCs w:val="22"/>
              </w:rPr>
              <w:t>import side A image at PDC/Center project,</w:t>
            </w:r>
          </w:p>
          <w:p w:rsidR="003738D7" w:rsidRPr="003738D7" w:rsidRDefault="003738D7" w:rsidP="00472036">
            <w:pPr>
              <w:pStyle w:val="ListParagraph"/>
              <w:widowControl w:val="0"/>
              <w:numPr>
                <w:ilvl w:val="0"/>
                <w:numId w:val="33"/>
              </w:numPr>
              <w:tabs>
                <w:tab w:val="left" w:pos="142"/>
                <w:tab w:val="left" w:pos="919"/>
              </w:tabs>
              <w:autoSpaceDE w:val="0"/>
              <w:autoSpaceDN w:val="0"/>
              <w:spacing w:before="102" w:after="0"/>
              <w:ind w:left="0" w:firstLine="0"/>
              <w:contextualSpacing w:val="0"/>
              <w:jc w:val="left"/>
              <w:rPr>
                <w:rFonts w:eastAsia="Calibri"/>
                <w:bCs/>
                <w:szCs w:val="22"/>
              </w:rPr>
            </w:pPr>
            <w:r w:rsidRPr="003738D7">
              <w:rPr>
                <w:rFonts w:eastAsia="Calibri"/>
                <w:bCs/>
                <w:szCs w:val="22"/>
              </w:rPr>
              <w:t>marshall incoming signals to clients,</w:t>
            </w:r>
          </w:p>
          <w:p w:rsidR="003738D7" w:rsidRPr="003738D7" w:rsidRDefault="003738D7" w:rsidP="00472036">
            <w:pPr>
              <w:pStyle w:val="ListParagraph"/>
              <w:widowControl w:val="0"/>
              <w:numPr>
                <w:ilvl w:val="0"/>
                <w:numId w:val="33"/>
              </w:numPr>
              <w:tabs>
                <w:tab w:val="left" w:pos="142"/>
                <w:tab w:val="left" w:pos="919"/>
              </w:tabs>
              <w:autoSpaceDE w:val="0"/>
              <w:autoSpaceDN w:val="0"/>
              <w:spacing w:before="98" w:after="0"/>
              <w:ind w:left="0" w:firstLine="0"/>
              <w:contextualSpacing w:val="0"/>
              <w:jc w:val="left"/>
              <w:rPr>
                <w:rFonts w:eastAsia="Calibri"/>
                <w:bCs/>
                <w:szCs w:val="22"/>
              </w:rPr>
            </w:pPr>
            <w:r w:rsidRPr="003738D7">
              <w:rPr>
                <w:rFonts w:eastAsia="Calibri"/>
                <w:bCs/>
                <w:szCs w:val="22"/>
              </w:rPr>
              <w:t>identify signals from PDC/Center to side A (if needed at all),</w:t>
            </w:r>
          </w:p>
          <w:p w:rsidR="003738D7" w:rsidRPr="003738D7" w:rsidRDefault="003738D7" w:rsidP="00472036">
            <w:pPr>
              <w:pStyle w:val="ListParagraph"/>
              <w:widowControl w:val="0"/>
              <w:numPr>
                <w:ilvl w:val="0"/>
                <w:numId w:val="33"/>
              </w:numPr>
              <w:tabs>
                <w:tab w:val="left" w:pos="142"/>
                <w:tab w:val="left" w:pos="918"/>
                <w:tab w:val="left" w:pos="919"/>
              </w:tabs>
              <w:autoSpaceDE w:val="0"/>
              <w:autoSpaceDN w:val="0"/>
              <w:spacing w:before="102" w:after="0"/>
              <w:ind w:left="0" w:firstLine="0"/>
              <w:contextualSpacing w:val="0"/>
              <w:jc w:val="left"/>
              <w:rPr>
                <w:rFonts w:eastAsia="Calibri"/>
                <w:bCs/>
                <w:szCs w:val="22"/>
              </w:rPr>
            </w:pPr>
            <w:r w:rsidRPr="003738D7">
              <w:rPr>
                <w:rFonts w:eastAsia="Calibri"/>
                <w:bCs/>
                <w:szCs w:val="22"/>
              </w:rPr>
              <w:t>generate PDC/center IED &amp; signal image in SCL (SED),</w:t>
            </w:r>
          </w:p>
          <w:p w:rsidR="003738D7" w:rsidRPr="003738D7" w:rsidRDefault="003738D7" w:rsidP="00472036">
            <w:pPr>
              <w:pStyle w:val="ListParagraph"/>
              <w:widowControl w:val="0"/>
              <w:numPr>
                <w:ilvl w:val="0"/>
                <w:numId w:val="33"/>
              </w:numPr>
              <w:tabs>
                <w:tab w:val="left" w:pos="142"/>
                <w:tab w:val="left" w:pos="919"/>
              </w:tabs>
              <w:autoSpaceDE w:val="0"/>
              <w:autoSpaceDN w:val="0"/>
              <w:spacing w:before="99" w:after="0"/>
              <w:ind w:left="0" w:right="499" w:firstLine="0"/>
              <w:contextualSpacing w:val="0"/>
              <w:jc w:val="left"/>
              <w:rPr>
                <w:rFonts w:eastAsia="Calibri"/>
                <w:bCs/>
                <w:szCs w:val="22"/>
              </w:rPr>
            </w:pPr>
            <w:r w:rsidRPr="003738D7">
              <w:rPr>
                <w:rFonts w:eastAsia="Calibri"/>
                <w:bCs/>
                <w:szCs w:val="22"/>
              </w:rPr>
              <w:t>Import SED back to side A, and wire PDC/Center signals to A  destinations (if needed at  all).</w:t>
            </w:r>
          </w:p>
          <w:p w:rsidR="003738D7" w:rsidRPr="003738D7" w:rsidRDefault="003738D7" w:rsidP="003738D7">
            <w:pPr>
              <w:tabs>
                <w:tab w:val="left" w:pos="142"/>
              </w:tabs>
              <w:ind w:left="0" w:firstLine="0"/>
              <w:rPr>
                <w:rFonts w:eastAsia="Calibri"/>
                <w:bCs/>
                <w:sz w:val="20"/>
                <w:szCs w:val="20"/>
              </w:rPr>
            </w:pPr>
            <w:r w:rsidRPr="003738D7">
              <w:rPr>
                <w:rFonts w:eastAsia="Calibri"/>
                <w:bCs/>
                <w:sz w:val="20"/>
                <w:szCs w:val="20"/>
              </w:rPr>
              <w:t xml:space="preserve">NOTE Steps e), f), g) can be skipped, if there are no signals going  down from  the higher level to the source substation (side A), and can be </w:t>
            </w:r>
            <w:r w:rsidRPr="003738D7">
              <w:rPr>
                <w:rFonts w:eastAsia="Calibri"/>
                <w:bCs/>
                <w:sz w:val="20"/>
                <w:szCs w:val="20"/>
              </w:rPr>
              <w:lastRenderedPageBreak/>
              <w:t>replaced by providing a client IED file to side A for correct data flow presentation in step a) and performing step d) after step a) with the side A system tool.</w:t>
            </w:r>
          </w:p>
          <w:p w:rsidR="003738D7" w:rsidRPr="003738D7" w:rsidRDefault="003738D7" w:rsidP="003738D7">
            <w:pPr>
              <w:tabs>
                <w:tab w:val="left" w:pos="142"/>
              </w:tabs>
              <w:ind w:left="0" w:firstLine="0"/>
              <w:rPr>
                <w:rFonts w:eastAsia="Calibri"/>
                <w:b/>
                <w:bCs/>
                <w:szCs w:val="22"/>
              </w:rPr>
            </w:pPr>
            <w:bookmarkStart w:id="67" w:name="_TOC_250001"/>
            <w:r w:rsidRPr="003738D7">
              <w:rPr>
                <w:rFonts w:eastAsia="Calibri"/>
                <w:b/>
                <w:bCs/>
                <w:szCs w:val="22"/>
              </w:rPr>
              <w:t xml:space="preserve">13.2.2 Control block </w:t>
            </w:r>
            <w:bookmarkEnd w:id="67"/>
            <w:r w:rsidRPr="003738D7">
              <w:rPr>
                <w:rFonts w:eastAsia="Calibri"/>
                <w:b/>
                <w:bCs/>
                <w:szCs w:val="22"/>
              </w:rPr>
              <w:t>extensions</w:t>
            </w:r>
          </w:p>
          <w:p w:rsidR="003738D7" w:rsidRPr="003738D7" w:rsidRDefault="003738D7" w:rsidP="003738D7">
            <w:pPr>
              <w:tabs>
                <w:tab w:val="left" w:pos="142"/>
              </w:tabs>
              <w:ind w:left="0" w:firstLine="0"/>
              <w:rPr>
                <w:rFonts w:eastAsia="Calibri"/>
                <w:bCs/>
                <w:szCs w:val="22"/>
              </w:rPr>
            </w:pPr>
            <w:r w:rsidRPr="003738D7">
              <w:rPr>
                <w:rFonts w:eastAsia="Calibri"/>
                <w:bCs/>
                <w:szCs w:val="22"/>
              </w:rPr>
              <w:t>The following subclauses detail the extensions needed, within the Substation Configuration Language, to support the R-GoCB and R-MSVCB.</w:t>
            </w:r>
          </w:p>
          <w:p w:rsidR="003738D7" w:rsidRPr="003738D7" w:rsidRDefault="003738D7" w:rsidP="003738D7">
            <w:pPr>
              <w:tabs>
                <w:tab w:val="left" w:pos="142"/>
              </w:tabs>
              <w:ind w:left="0" w:firstLine="0"/>
              <w:rPr>
                <w:rFonts w:eastAsia="Calibri"/>
                <w:b/>
                <w:bCs/>
                <w:szCs w:val="22"/>
              </w:rPr>
            </w:pPr>
            <w:r w:rsidRPr="003738D7">
              <w:rPr>
                <w:rFonts w:eastAsia="Calibri"/>
                <w:b/>
                <w:bCs/>
                <w:szCs w:val="22"/>
              </w:rPr>
              <w:t>13.2.2.1 SV control block extensions</w:t>
            </w:r>
          </w:p>
          <w:p w:rsidR="003738D7" w:rsidRPr="003738D7" w:rsidRDefault="003738D7" w:rsidP="003738D7">
            <w:pPr>
              <w:tabs>
                <w:tab w:val="left" w:pos="142"/>
              </w:tabs>
              <w:ind w:left="0" w:firstLine="0"/>
              <w:rPr>
                <w:rFonts w:eastAsia="Calibri"/>
                <w:bCs/>
                <w:szCs w:val="22"/>
              </w:rPr>
            </w:pPr>
            <w:r w:rsidRPr="003738D7">
              <w:rPr>
                <w:rFonts w:eastAsia="Calibri"/>
                <w:bCs/>
                <w:szCs w:val="22"/>
              </w:rPr>
              <w:t xml:space="preserve">The SCL XSD for a SV needs to be extended to include the security field and the new R-SV service mapping, as shown in </w:t>
            </w:r>
            <w:hyperlink w:anchor="_bookmark70" w:history="1">
              <w:r w:rsidRPr="003738D7">
                <w:rPr>
                  <w:rFonts w:eastAsia="Calibri"/>
                  <w:bCs/>
                  <w:szCs w:val="22"/>
                </w:rPr>
                <w:t>Figure 37:</w:t>
              </w:r>
            </w:hyperlink>
          </w:p>
          <w:p w:rsidR="003738D7" w:rsidRPr="003738D7" w:rsidRDefault="003738D7" w:rsidP="003738D7">
            <w:pPr>
              <w:tabs>
                <w:tab w:val="left" w:pos="142"/>
              </w:tabs>
              <w:ind w:left="0" w:firstLine="0"/>
              <w:rPr>
                <w:rFonts w:eastAsia="Calibri"/>
                <w:bCs/>
                <w:szCs w:val="22"/>
              </w:rPr>
            </w:pPr>
          </w:p>
          <w:p w:rsidR="003738D7" w:rsidRPr="003738D7" w:rsidRDefault="003738D7" w:rsidP="003738D7">
            <w:pPr>
              <w:tabs>
                <w:tab w:val="left" w:pos="142"/>
              </w:tabs>
              <w:ind w:left="0" w:firstLine="0"/>
              <w:rPr>
                <w:rFonts w:eastAsia="Calibri"/>
                <w:bCs/>
                <w:szCs w:val="22"/>
              </w:rPr>
            </w:pPr>
          </w:p>
        </w:tc>
      </w:tr>
    </w:tbl>
    <w:p w:rsidR="003738D7" w:rsidRDefault="003738D7" w:rsidP="00095C1D">
      <w:pPr>
        <w:tabs>
          <w:tab w:val="left" w:pos="142"/>
        </w:tabs>
        <w:ind w:left="142"/>
        <w:jc w:val="center"/>
        <w:rPr>
          <w:b/>
        </w:rPr>
      </w:pPr>
    </w:p>
    <w:p w:rsidR="003738D7" w:rsidRDefault="003738D7" w:rsidP="003738D7">
      <w:pPr>
        <w:tabs>
          <w:tab w:val="left" w:pos="142"/>
        </w:tabs>
        <w:ind w:left="142"/>
        <w:jc w:val="center"/>
        <w:rPr>
          <w:b/>
        </w:rPr>
      </w:pPr>
      <w:r w:rsidRPr="00EF2D2B">
        <w:rPr>
          <w:noProof/>
          <w:lang w:val="en-US"/>
        </w:rPr>
        <w:lastRenderedPageBreak/>
        <w:drawing>
          <wp:inline distT="0" distB="0" distL="0" distR="0" wp14:anchorId="5086F2C4" wp14:editId="641C1B19">
            <wp:extent cx="5939790" cy="4441199"/>
            <wp:effectExtent l="0" t="0" r="381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4441199"/>
                    </a:xfrm>
                    <a:prstGeom prst="rect">
                      <a:avLst/>
                    </a:prstGeom>
                  </pic:spPr>
                </pic:pic>
              </a:graphicData>
            </a:graphic>
          </wp:inline>
        </w:drawing>
      </w:r>
    </w:p>
    <w:p w:rsidR="003738D7" w:rsidRDefault="003738D7" w:rsidP="003738D7">
      <w:pPr>
        <w:tabs>
          <w:tab w:val="left" w:pos="142"/>
        </w:tabs>
        <w:ind w:left="142"/>
        <w:jc w:val="center"/>
        <w:rPr>
          <w:b/>
        </w:rPr>
      </w:pPr>
      <w:r>
        <w:rPr>
          <w:b/>
        </w:rPr>
        <w:t xml:space="preserve">37-р зураг – </w:t>
      </w:r>
      <w:r>
        <w:rPr>
          <w:b/>
          <w:lang w:val="en-US"/>
        </w:rPr>
        <w:t xml:space="preserve">tSampledValueControl </w:t>
      </w:r>
      <w:r>
        <w:rPr>
          <w:b/>
        </w:rPr>
        <w:t xml:space="preserve">руу өргөтгөл </w:t>
      </w:r>
    </w:p>
    <w:p w:rsidR="003738D7" w:rsidRDefault="003738D7" w:rsidP="003738D7">
      <w:pPr>
        <w:rPr>
          <w:b/>
        </w:rPr>
      </w:pPr>
      <w:r w:rsidRPr="00731F96">
        <w:rPr>
          <w:b/>
        </w:rPr>
        <w:t>Figure 37 – Ex</w:t>
      </w:r>
      <w:r>
        <w:rPr>
          <w:b/>
        </w:rPr>
        <w:t>tension to tSampledValueControl</w:t>
      </w:r>
    </w:p>
    <w:p w:rsidR="003738D7" w:rsidRDefault="003738D7" w:rsidP="003738D7">
      <w:pPr>
        <w:rPr>
          <w:b/>
        </w:rPr>
      </w:pPr>
    </w:p>
    <w:tbl>
      <w:tblPr>
        <w:tblStyle w:val="TableGrid"/>
        <w:tblW w:w="0" w:type="auto"/>
        <w:tblInd w:w="142" w:type="dxa"/>
        <w:tblLook w:val="04A0" w:firstRow="1" w:lastRow="0" w:firstColumn="1" w:lastColumn="0" w:noHBand="0" w:noVBand="1"/>
      </w:tblPr>
      <w:tblGrid>
        <w:gridCol w:w="4605"/>
        <w:gridCol w:w="4597"/>
      </w:tblGrid>
      <w:tr w:rsidR="003738D7" w:rsidTr="00CD1812">
        <w:tc>
          <w:tcPr>
            <w:tcW w:w="4605" w:type="dxa"/>
          </w:tcPr>
          <w:p w:rsidR="003738D7" w:rsidRPr="003738D7" w:rsidRDefault="003738D7" w:rsidP="003738D7">
            <w:pPr>
              <w:tabs>
                <w:tab w:val="left" w:pos="142"/>
              </w:tabs>
              <w:ind w:left="0" w:firstLine="0"/>
              <w:rPr>
                <w:rFonts w:eastAsia="Calibri"/>
                <w:bCs/>
                <w:szCs w:val="22"/>
              </w:rPr>
            </w:pPr>
            <w:r w:rsidRPr="003738D7">
              <w:rPr>
                <w:rFonts w:eastAsia="Calibri"/>
                <w:bCs/>
                <w:szCs w:val="22"/>
              </w:rPr>
              <w:t>Протоколын элементийг зөвхөн multicast SV удирдлагын блоктой ашиглаж болно.</w:t>
            </w:r>
          </w:p>
          <w:p w:rsidR="003738D7" w:rsidRPr="003738D7" w:rsidRDefault="003738D7" w:rsidP="003738D7">
            <w:pPr>
              <w:tabs>
                <w:tab w:val="left" w:pos="142"/>
              </w:tabs>
              <w:ind w:left="0" w:firstLine="0"/>
              <w:rPr>
                <w:rFonts w:eastAsia="Calibri"/>
                <w:bCs/>
                <w:sz w:val="20"/>
                <w:szCs w:val="20"/>
              </w:rPr>
            </w:pPr>
            <w:r w:rsidRPr="003738D7">
              <w:rPr>
                <w:rFonts w:eastAsia="Calibri"/>
                <w:bCs/>
                <w:sz w:val="20"/>
                <w:szCs w:val="20"/>
              </w:rPr>
              <w:t>ТАЙЛБАР: agSmvOpts-ийг дараах байдлаар өргөтгөх хэрэгтэй:</w:t>
            </w:r>
          </w:p>
        </w:tc>
        <w:tc>
          <w:tcPr>
            <w:tcW w:w="4597" w:type="dxa"/>
          </w:tcPr>
          <w:p w:rsidR="003738D7" w:rsidRPr="003738D7" w:rsidRDefault="003738D7" w:rsidP="003738D7">
            <w:pPr>
              <w:tabs>
                <w:tab w:val="left" w:pos="142"/>
              </w:tabs>
              <w:ind w:left="0" w:firstLine="0"/>
              <w:rPr>
                <w:rFonts w:eastAsia="Calibri"/>
                <w:bCs/>
                <w:szCs w:val="22"/>
              </w:rPr>
            </w:pPr>
            <w:r w:rsidRPr="003738D7">
              <w:rPr>
                <w:rFonts w:eastAsia="Calibri"/>
                <w:bCs/>
                <w:szCs w:val="22"/>
              </w:rPr>
              <w:t>The Protocol element may only be used with multicast SV control blocks.</w:t>
            </w:r>
          </w:p>
          <w:p w:rsidR="003738D7" w:rsidRPr="003738D7" w:rsidRDefault="003738D7" w:rsidP="003738D7">
            <w:pPr>
              <w:tabs>
                <w:tab w:val="left" w:pos="142"/>
              </w:tabs>
              <w:ind w:left="0" w:firstLine="0"/>
              <w:rPr>
                <w:rFonts w:eastAsia="Calibri"/>
                <w:bCs/>
                <w:sz w:val="20"/>
                <w:szCs w:val="20"/>
              </w:rPr>
            </w:pPr>
            <w:r w:rsidRPr="003738D7">
              <w:rPr>
                <w:rFonts w:eastAsia="Calibri"/>
                <w:bCs/>
                <w:sz w:val="20"/>
                <w:szCs w:val="20"/>
              </w:rPr>
              <w:t>NOTE that agSmvOpts needs to be extended as follows:</w:t>
            </w:r>
          </w:p>
          <w:p w:rsidR="003738D7" w:rsidRPr="003738D7" w:rsidRDefault="003738D7" w:rsidP="003738D7">
            <w:pPr>
              <w:tabs>
                <w:tab w:val="left" w:pos="142"/>
              </w:tabs>
              <w:ind w:left="0" w:firstLine="0"/>
              <w:jc w:val="center"/>
              <w:rPr>
                <w:rFonts w:eastAsia="Calibri"/>
                <w:bCs/>
                <w:szCs w:val="22"/>
              </w:rPr>
            </w:pPr>
          </w:p>
        </w:tc>
      </w:tr>
    </w:tbl>
    <w:p w:rsidR="00CD1812" w:rsidRDefault="00CD1812" w:rsidP="00CD1812">
      <w:pPr>
        <w:tabs>
          <w:tab w:val="left" w:pos="142"/>
        </w:tabs>
        <w:ind w:left="142"/>
        <w:jc w:val="center"/>
        <w:rPr>
          <w:b/>
        </w:rPr>
      </w:pPr>
      <w:r>
        <w:rPr>
          <w:noProof/>
          <w:lang w:val="en-US"/>
        </w:rPr>
        <w:drawing>
          <wp:inline distT="0" distB="0" distL="0" distR="0" wp14:anchorId="36107658" wp14:editId="3098D826">
            <wp:extent cx="5939790" cy="1418590"/>
            <wp:effectExtent l="0" t="0" r="381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1418590"/>
                    </a:xfrm>
                    <a:prstGeom prst="rect">
                      <a:avLst/>
                    </a:prstGeom>
                  </pic:spPr>
                </pic:pic>
              </a:graphicData>
            </a:graphic>
          </wp:inline>
        </w:drawing>
      </w:r>
    </w:p>
    <w:p w:rsidR="00CD1812" w:rsidRDefault="00CD1812" w:rsidP="00CD1812">
      <w:pPr>
        <w:jc w:val="center"/>
        <w:rPr>
          <w:b/>
        </w:rPr>
      </w:pPr>
      <w:r w:rsidRPr="00731F96">
        <w:rPr>
          <w:b/>
        </w:rPr>
        <w:t>38</w:t>
      </w:r>
      <w:r>
        <w:rPr>
          <w:b/>
        </w:rPr>
        <w:t>-р зураг</w:t>
      </w:r>
      <w:r w:rsidRPr="00731F96">
        <w:rPr>
          <w:b/>
        </w:rPr>
        <w:t xml:space="preserve"> –</w:t>
      </w:r>
      <w:r>
        <w:rPr>
          <w:b/>
        </w:rPr>
        <w:t xml:space="preserve"> </w:t>
      </w:r>
      <w:r w:rsidRPr="00731F96">
        <w:rPr>
          <w:b/>
        </w:rPr>
        <w:t>agSmvOpts</w:t>
      </w:r>
      <w:r w:rsidRPr="00EF2D2B">
        <w:rPr>
          <w:b/>
        </w:rPr>
        <w:t xml:space="preserve"> руу өргөтгөх</w:t>
      </w:r>
    </w:p>
    <w:p w:rsidR="00CD1812" w:rsidRPr="00731F96" w:rsidRDefault="00CD1812" w:rsidP="00CD1812">
      <w:pPr>
        <w:jc w:val="center"/>
        <w:rPr>
          <w:b/>
        </w:rPr>
      </w:pPr>
      <w:r w:rsidRPr="00731F96">
        <w:rPr>
          <w:b/>
        </w:rPr>
        <w:t>Figure 38 – Extension to agSmvOpts</w:t>
      </w:r>
    </w:p>
    <w:p w:rsidR="003738D7" w:rsidRDefault="003738D7"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CD1812" w:rsidTr="00CD1812">
        <w:tc>
          <w:tcPr>
            <w:tcW w:w="4601" w:type="dxa"/>
          </w:tcPr>
          <w:p w:rsidR="00CD1812" w:rsidRPr="00CD1812" w:rsidRDefault="00CD1812" w:rsidP="00CD1812">
            <w:pPr>
              <w:tabs>
                <w:tab w:val="left" w:pos="142"/>
              </w:tabs>
              <w:ind w:left="0" w:firstLine="0"/>
              <w:rPr>
                <w:rFonts w:eastAsia="Calibri"/>
                <w:bCs/>
                <w:szCs w:val="22"/>
              </w:rPr>
            </w:pPr>
            <w:r w:rsidRPr="00CD1812">
              <w:rPr>
                <w:rFonts w:eastAsia="Calibri"/>
                <w:bCs/>
                <w:szCs w:val="22"/>
              </w:rPr>
              <w:t>SV-ийг өргөн хүрээнд ашиглахын тулд Зураг 38-т заасан timestamp-ийн атрибут нь үнэн байх ёстой.</w:t>
            </w:r>
          </w:p>
          <w:p w:rsidR="00CD1812" w:rsidRPr="00CD1812" w:rsidRDefault="00CD1812" w:rsidP="00CD1812">
            <w:pPr>
              <w:tabs>
                <w:tab w:val="left" w:pos="142"/>
              </w:tabs>
              <w:ind w:left="0" w:firstLine="0"/>
              <w:rPr>
                <w:rFonts w:eastAsia="Calibri"/>
                <w:b/>
                <w:bCs/>
                <w:szCs w:val="22"/>
              </w:rPr>
            </w:pPr>
            <w:r w:rsidRPr="00CD1812">
              <w:rPr>
                <w:rFonts w:eastAsia="Calibri"/>
                <w:b/>
                <w:bCs/>
                <w:szCs w:val="22"/>
              </w:rPr>
              <w:lastRenderedPageBreak/>
              <w:t>13.2.2.2 GSE удирдлагын блок өргөтгөлүүд</w:t>
            </w:r>
          </w:p>
          <w:p w:rsidR="00CD1812" w:rsidRPr="00CD1812" w:rsidRDefault="00CD1812" w:rsidP="00CD1812">
            <w:pPr>
              <w:tabs>
                <w:tab w:val="left" w:pos="142"/>
              </w:tabs>
              <w:ind w:left="0" w:firstLine="0"/>
              <w:rPr>
                <w:rFonts w:eastAsia="Calibri"/>
                <w:bCs/>
                <w:szCs w:val="22"/>
              </w:rPr>
            </w:pPr>
            <w:r w:rsidRPr="00CD1812">
              <w:rPr>
                <w:rFonts w:eastAsia="Calibri"/>
                <w:bCs/>
                <w:szCs w:val="22"/>
              </w:rPr>
              <w:t>Аюулгүй байдлын атрибут, шинэ R-GOOSE сервисийн зураглалыг зөвшөөрөхийн тулд GSE удирдлагын блокийн SCL XSD-ийг өргөтгөх шаардлагатай. Шинэчилсэн XSD-ийг 39-р зурагт үзүүлэв:</w:t>
            </w:r>
          </w:p>
        </w:tc>
        <w:tc>
          <w:tcPr>
            <w:tcW w:w="4601" w:type="dxa"/>
          </w:tcPr>
          <w:p w:rsidR="00CD1812" w:rsidRPr="00CD1812" w:rsidRDefault="00CD1812" w:rsidP="00CD1812">
            <w:pPr>
              <w:tabs>
                <w:tab w:val="left" w:pos="142"/>
              </w:tabs>
              <w:ind w:left="0" w:firstLine="0"/>
              <w:rPr>
                <w:rFonts w:eastAsia="Calibri"/>
                <w:bCs/>
                <w:szCs w:val="22"/>
              </w:rPr>
            </w:pPr>
            <w:r w:rsidRPr="00CD1812">
              <w:rPr>
                <w:rFonts w:eastAsia="Calibri"/>
                <w:bCs/>
                <w:szCs w:val="22"/>
              </w:rPr>
              <w:lastRenderedPageBreak/>
              <w:t>In order to utilize SV over wide areas, the timestamp attribute, shown in Figure 38, shall be True.</w:t>
            </w:r>
          </w:p>
          <w:p w:rsidR="00CD1812" w:rsidRPr="00CD1812" w:rsidRDefault="00CD1812" w:rsidP="00CD1812">
            <w:pPr>
              <w:tabs>
                <w:tab w:val="left" w:pos="142"/>
              </w:tabs>
              <w:ind w:left="0" w:firstLine="0"/>
              <w:rPr>
                <w:rFonts w:eastAsia="Calibri"/>
                <w:b/>
                <w:bCs/>
                <w:szCs w:val="22"/>
              </w:rPr>
            </w:pPr>
            <w:r w:rsidRPr="00CD1812">
              <w:rPr>
                <w:rFonts w:eastAsia="Calibri"/>
                <w:b/>
                <w:bCs/>
                <w:szCs w:val="22"/>
              </w:rPr>
              <w:t>13.2.2.2 GSE control block extensions</w:t>
            </w:r>
          </w:p>
          <w:p w:rsidR="00CD1812" w:rsidRPr="00CD1812" w:rsidRDefault="00CD1812" w:rsidP="00CD1812">
            <w:pPr>
              <w:tabs>
                <w:tab w:val="left" w:pos="142"/>
              </w:tabs>
              <w:ind w:left="0" w:firstLine="0"/>
              <w:rPr>
                <w:rFonts w:eastAsia="Calibri"/>
                <w:bCs/>
                <w:szCs w:val="22"/>
              </w:rPr>
            </w:pPr>
            <w:r w:rsidRPr="00CD1812">
              <w:rPr>
                <w:rFonts w:eastAsia="Calibri"/>
                <w:bCs/>
                <w:szCs w:val="22"/>
              </w:rPr>
              <w:lastRenderedPageBreak/>
              <w:t xml:space="preserve">The SCL XSD for a GSE Control block needs to be extended to allow for the security attribute and the new R-GOOSE service mapping. The revised XSD is shown in </w:t>
            </w:r>
            <w:hyperlink w:anchor="_bookmark72" w:history="1">
              <w:r w:rsidRPr="00CD1812">
                <w:rPr>
                  <w:rFonts w:eastAsia="Calibri"/>
                  <w:bCs/>
                  <w:szCs w:val="22"/>
                </w:rPr>
                <w:t>Figure 39:</w:t>
              </w:r>
            </w:hyperlink>
          </w:p>
          <w:p w:rsidR="00CD1812" w:rsidRPr="00CD1812" w:rsidRDefault="00CD1812" w:rsidP="00CD1812">
            <w:pPr>
              <w:tabs>
                <w:tab w:val="left" w:pos="142"/>
              </w:tabs>
              <w:ind w:left="0" w:firstLine="0"/>
              <w:rPr>
                <w:rFonts w:eastAsia="Calibri"/>
                <w:bCs/>
                <w:szCs w:val="22"/>
              </w:rPr>
            </w:pPr>
          </w:p>
        </w:tc>
      </w:tr>
    </w:tbl>
    <w:p w:rsidR="00CD1812" w:rsidRDefault="00CD1812" w:rsidP="00CD1812">
      <w:pPr>
        <w:tabs>
          <w:tab w:val="left" w:pos="142"/>
        </w:tabs>
        <w:ind w:left="142"/>
        <w:jc w:val="center"/>
        <w:rPr>
          <w:b/>
        </w:rPr>
      </w:pPr>
      <w:r>
        <w:rPr>
          <w:noProof/>
          <w:lang w:val="en-US"/>
        </w:rPr>
        <w:lastRenderedPageBreak/>
        <w:drawing>
          <wp:inline distT="0" distB="0" distL="0" distR="0" wp14:anchorId="5D3BEBFB" wp14:editId="5ED8E72E">
            <wp:extent cx="5939790" cy="3538855"/>
            <wp:effectExtent l="0" t="0" r="3810" b="444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3538855"/>
                    </a:xfrm>
                    <a:prstGeom prst="rect">
                      <a:avLst/>
                    </a:prstGeom>
                  </pic:spPr>
                </pic:pic>
              </a:graphicData>
            </a:graphic>
          </wp:inline>
        </w:drawing>
      </w:r>
    </w:p>
    <w:p w:rsidR="00CD1812" w:rsidRDefault="00CD1812" w:rsidP="00CD1812">
      <w:pPr>
        <w:jc w:val="center"/>
        <w:rPr>
          <w:b/>
        </w:rPr>
      </w:pPr>
      <w:r w:rsidRPr="00731F96">
        <w:rPr>
          <w:b/>
        </w:rPr>
        <w:t>39</w:t>
      </w:r>
      <w:r>
        <w:rPr>
          <w:b/>
        </w:rPr>
        <w:t>-р зураг</w:t>
      </w:r>
      <w:r w:rsidRPr="00731F96">
        <w:rPr>
          <w:b/>
        </w:rPr>
        <w:t xml:space="preserve"> – tGSEControl-ын өргөтгөл</w:t>
      </w:r>
    </w:p>
    <w:p w:rsidR="00CD1812" w:rsidRPr="00731F96" w:rsidRDefault="00CD1812" w:rsidP="00CD1812">
      <w:pPr>
        <w:jc w:val="center"/>
        <w:rPr>
          <w:b/>
        </w:rPr>
      </w:pPr>
      <w:r w:rsidRPr="00731F96">
        <w:rPr>
          <w:b/>
        </w:rPr>
        <w:t>Figure 39 – Extension of tGSEControl</w:t>
      </w:r>
    </w:p>
    <w:p w:rsidR="00CD1812" w:rsidRDefault="00CD1812"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CD1812" w:rsidTr="00CD1812">
        <w:tc>
          <w:tcPr>
            <w:tcW w:w="4601" w:type="dxa"/>
          </w:tcPr>
          <w:p w:rsidR="00CD1812" w:rsidRPr="00CD1812" w:rsidRDefault="00CD1812" w:rsidP="00CD1812">
            <w:pPr>
              <w:tabs>
                <w:tab w:val="left" w:pos="142"/>
              </w:tabs>
              <w:ind w:left="0" w:firstLine="0"/>
              <w:rPr>
                <w:rFonts w:eastAsia="Calibri"/>
                <w:b/>
                <w:bCs/>
                <w:szCs w:val="22"/>
              </w:rPr>
            </w:pPr>
            <w:r w:rsidRPr="00CD1812">
              <w:rPr>
                <w:rFonts w:eastAsia="Calibri"/>
                <w:b/>
                <w:bCs/>
                <w:szCs w:val="22"/>
              </w:rPr>
              <w:t>13.2.2.1 SecurityEnable</w:t>
            </w:r>
          </w:p>
          <w:p w:rsidR="00CD1812" w:rsidRPr="00CD1812" w:rsidRDefault="00CD1812" w:rsidP="00CD1812">
            <w:pPr>
              <w:tabs>
                <w:tab w:val="left" w:pos="142"/>
              </w:tabs>
              <w:ind w:left="0" w:firstLine="0"/>
              <w:rPr>
                <w:rFonts w:eastAsia="Calibri"/>
                <w:bCs/>
                <w:szCs w:val="22"/>
              </w:rPr>
            </w:pPr>
            <w:r w:rsidRPr="00CD1812">
              <w:rPr>
                <w:rFonts w:eastAsia="Calibri"/>
                <w:bCs/>
                <w:szCs w:val="22"/>
              </w:rPr>
              <w:t>Энэ атрибут нь хэрэв байгаа бол IEC 61850 клиентэд одоогийн аюулгүй байдлын хэрэглээг унших боломжийг олгоно. Энэ атрибут нь дараахь тооллын утгуудтай байж болно:</w:t>
            </w:r>
          </w:p>
          <w:p w:rsidR="00CD1812" w:rsidRPr="00CD1812" w:rsidRDefault="00CD1812"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CD1812">
              <w:rPr>
                <w:rFonts w:eastAsia="Calibri"/>
                <w:bCs/>
                <w:szCs w:val="22"/>
              </w:rPr>
              <w:t>None: Аюулгүй байдлын механизмууд ашиглагдаагүй байна.</w:t>
            </w:r>
          </w:p>
          <w:p w:rsidR="00CD1812" w:rsidRPr="00CD1812" w:rsidRDefault="00CD1812"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CD1812">
              <w:rPr>
                <w:rFonts w:eastAsia="Calibri"/>
                <w:bCs/>
                <w:szCs w:val="22"/>
              </w:rPr>
              <w:t>Signature: Энэ утга нь Горимын Аюулгүй Байдлын Параметр байх болно гэдгийг заана.</w:t>
            </w:r>
          </w:p>
          <w:p w:rsidR="00CD1812" w:rsidRPr="00CD1812" w:rsidRDefault="00CD1812"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CD1812">
              <w:rPr>
                <w:rFonts w:eastAsia="Calibri"/>
                <w:bCs/>
                <w:szCs w:val="22"/>
              </w:rPr>
              <w:t xml:space="preserve">SignatureAndEncryption: Энэ утга нь Signature ба Encryption-ийг хоёуланг нь ашиглаж байгааг заана. </w:t>
            </w:r>
          </w:p>
          <w:p w:rsidR="00CD1812" w:rsidRPr="00CD1812" w:rsidRDefault="00CD1812" w:rsidP="00CD1812">
            <w:pPr>
              <w:tabs>
                <w:tab w:val="left" w:pos="142"/>
              </w:tabs>
              <w:ind w:left="0" w:firstLine="0"/>
              <w:rPr>
                <w:rFonts w:eastAsia="Calibri"/>
                <w:bCs/>
                <w:szCs w:val="22"/>
              </w:rPr>
            </w:pPr>
            <w:r w:rsidRPr="00CD1812">
              <w:rPr>
                <w:rFonts w:eastAsia="Calibri"/>
                <w:bCs/>
                <w:szCs w:val="22"/>
              </w:rPr>
              <w:lastRenderedPageBreak/>
              <w:t>Энэхүү Техникийн тайланд нийцэхийг шаардсан хэрэгжүүлэлтүүдэд Signature утгыг дэмжинэ.</w:t>
            </w:r>
          </w:p>
          <w:p w:rsidR="00CD1812" w:rsidRPr="00CD1812" w:rsidRDefault="00CD1812" w:rsidP="00CD1812">
            <w:pPr>
              <w:tabs>
                <w:tab w:val="left" w:pos="142"/>
              </w:tabs>
              <w:ind w:left="0" w:firstLine="0"/>
              <w:rPr>
                <w:rFonts w:eastAsia="Calibri"/>
                <w:bCs/>
                <w:szCs w:val="22"/>
              </w:rPr>
            </w:pPr>
            <w:r w:rsidRPr="00CD1812">
              <w:rPr>
                <w:rFonts w:eastAsia="Calibri"/>
                <w:bCs/>
                <w:szCs w:val="22"/>
              </w:rPr>
              <w:t>Хэрэв атрибут нь удирдлагын блок (ууд) дээр байхгүй бол аюулгүй байдлыг ашиглах ёсгүй.</w:t>
            </w:r>
          </w:p>
          <w:p w:rsidR="00CD1812" w:rsidRPr="00CD1812" w:rsidRDefault="00CD1812" w:rsidP="00CD1812">
            <w:pPr>
              <w:tabs>
                <w:tab w:val="left" w:pos="142"/>
              </w:tabs>
              <w:ind w:left="0" w:firstLine="0"/>
              <w:rPr>
                <w:rFonts w:eastAsia="Calibri"/>
                <w:bCs/>
                <w:szCs w:val="22"/>
              </w:rPr>
            </w:pPr>
            <w:r w:rsidRPr="00CD1812">
              <w:rPr>
                <w:rFonts w:eastAsia="Calibri"/>
                <w:bCs/>
                <w:szCs w:val="22"/>
              </w:rPr>
              <w:t>Мөн, хэрэв DstAddress.TransportinUse-ийн атрибут утга нь ЭТЕРНЭТ байвал SecurityEnabled атрибутын утга None болно.</w:t>
            </w:r>
          </w:p>
          <w:p w:rsidR="00CD1812" w:rsidRPr="00CD1812" w:rsidRDefault="00CD1812" w:rsidP="00CD1812">
            <w:pPr>
              <w:tabs>
                <w:tab w:val="left" w:pos="142"/>
              </w:tabs>
              <w:ind w:left="0" w:firstLine="0"/>
              <w:rPr>
                <w:rFonts w:eastAsia="Calibri"/>
                <w:bCs/>
                <w:szCs w:val="22"/>
              </w:rPr>
            </w:pPr>
            <w:r w:rsidRPr="00CD1812">
              <w:rPr>
                <w:rFonts w:eastAsia="Calibri"/>
                <w:bCs/>
                <w:szCs w:val="22"/>
              </w:rPr>
              <w:t>Зохих тооллоор хангахын тулд SCL XSD-ийг дараахь шинэ тооллоор өргөтгөх шаардлагатай. Шинэчилсэн XSD-ийг Зураг 40-т үзүүлэв:</w:t>
            </w:r>
          </w:p>
        </w:tc>
        <w:tc>
          <w:tcPr>
            <w:tcW w:w="4601" w:type="dxa"/>
          </w:tcPr>
          <w:p w:rsidR="00CD1812" w:rsidRPr="00CD1812" w:rsidRDefault="00CD1812" w:rsidP="00CD1812">
            <w:pPr>
              <w:tabs>
                <w:tab w:val="left" w:pos="142"/>
              </w:tabs>
              <w:ind w:left="0" w:firstLine="0"/>
              <w:rPr>
                <w:rFonts w:eastAsia="Calibri"/>
                <w:b/>
                <w:bCs/>
                <w:szCs w:val="22"/>
              </w:rPr>
            </w:pPr>
            <w:r w:rsidRPr="00CD1812">
              <w:rPr>
                <w:rFonts w:eastAsia="Calibri"/>
                <w:b/>
                <w:bCs/>
                <w:szCs w:val="22"/>
              </w:rPr>
              <w:lastRenderedPageBreak/>
              <w:t>13.2.2.2.1 SecurityEnable</w:t>
            </w:r>
          </w:p>
          <w:p w:rsidR="00CD1812" w:rsidRPr="00CD1812" w:rsidRDefault="00CD1812" w:rsidP="00CD1812">
            <w:pPr>
              <w:tabs>
                <w:tab w:val="left" w:pos="142"/>
              </w:tabs>
              <w:ind w:left="0" w:firstLine="0"/>
              <w:rPr>
                <w:rFonts w:eastAsia="Calibri"/>
                <w:bCs/>
                <w:szCs w:val="22"/>
              </w:rPr>
            </w:pPr>
            <w:r w:rsidRPr="00CD1812">
              <w:rPr>
                <w:rFonts w:eastAsia="Calibri"/>
                <w:bCs/>
                <w:szCs w:val="22"/>
              </w:rPr>
              <w:t>This attribute, if present, allows an IEC 61850 client to read the current usage of security. The attribute may have the following enumerated values:</w:t>
            </w:r>
          </w:p>
          <w:p w:rsidR="00CD1812" w:rsidRPr="00CD1812" w:rsidRDefault="00CD1812"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CD1812">
              <w:rPr>
                <w:rFonts w:eastAsia="Calibri"/>
                <w:bCs/>
                <w:szCs w:val="22"/>
              </w:rPr>
              <w:t>None: No security mechanisms are in use.</w:t>
            </w:r>
          </w:p>
          <w:p w:rsidR="00CD1812" w:rsidRPr="00CD1812" w:rsidRDefault="00CD1812"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CD1812">
              <w:rPr>
                <w:rFonts w:eastAsia="Calibri"/>
                <w:bCs/>
                <w:szCs w:val="22"/>
              </w:rPr>
              <w:t>Signature: This value indicates that the Session Security Parameter will be present.</w:t>
            </w:r>
          </w:p>
          <w:p w:rsidR="00CD1812" w:rsidRDefault="00CD1812" w:rsidP="00472036">
            <w:pPr>
              <w:pStyle w:val="ListParagraph"/>
              <w:widowControl w:val="0"/>
              <w:numPr>
                <w:ilvl w:val="0"/>
                <w:numId w:val="24"/>
              </w:numPr>
              <w:tabs>
                <w:tab w:val="left" w:pos="142"/>
                <w:tab w:val="left" w:pos="898"/>
                <w:tab w:val="left" w:pos="899"/>
              </w:tabs>
              <w:autoSpaceDE w:val="0"/>
              <w:autoSpaceDN w:val="0"/>
              <w:spacing w:after="0"/>
              <w:ind w:left="0" w:right="50" w:firstLine="0"/>
              <w:contextualSpacing w:val="0"/>
              <w:rPr>
                <w:rFonts w:eastAsia="Calibri"/>
                <w:bCs/>
                <w:szCs w:val="22"/>
              </w:rPr>
            </w:pPr>
            <w:r w:rsidRPr="00CD1812">
              <w:rPr>
                <w:rFonts w:eastAsia="Calibri"/>
                <w:bCs/>
                <w:szCs w:val="22"/>
              </w:rPr>
              <w:t xml:space="preserve">SignatureAndEncryption: This value indicates that both Signature and Encryption is in use. </w:t>
            </w:r>
          </w:p>
          <w:p w:rsidR="00CD1812" w:rsidRPr="00CD1812" w:rsidRDefault="00CD1812" w:rsidP="00CD1812">
            <w:pPr>
              <w:pStyle w:val="ListParagraph"/>
              <w:widowControl w:val="0"/>
              <w:tabs>
                <w:tab w:val="left" w:pos="142"/>
                <w:tab w:val="left" w:pos="898"/>
                <w:tab w:val="left" w:pos="899"/>
              </w:tabs>
              <w:autoSpaceDE w:val="0"/>
              <w:autoSpaceDN w:val="0"/>
              <w:spacing w:after="0"/>
              <w:ind w:left="0" w:right="50" w:firstLine="0"/>
              <w:contextualSpacing w:val="0"/>
              <w:rPr>
                <w:rFonts w:eastAsia="Calibri"/>
                <w:bCs/>
                <w:szCs w:val="22"/>
              </w:rPr>
            </w:pPr>
            <w:r w:rsidRPr="00CD1812">
              <w:rPr>
                <w:rFonts w:eastAsia="Calibri"/>
                <w:bCs/>
                <w:szCs w:val="22"/>
              </w:rPr>
              <w:t xml:space="preserve">Implementations claiming conformance to this document shall support the </w:t>
            </w:r>
            <w:r w:rsidRPr="00CD1812">
              <w:rPr>
                <w:rFonts w:eastAsia="Calibri"/>
                <w:bCs/>
                <w:szCs w:val="22"/>
              </w:rPr>
              <w:lastRenderedPageBreak/>
              <w:t>Signature value.</w:t>
            </w:r>
          </w:p>
          <w:p w:rsidR="00CD1812" w:rsidRPr="00CD1812" w:rsidRDefault="00CD1812" w:rsidP="00CD1812">
            <w:pPr>
              <w:tabs>
                <w:tab w:val="left" w:pos="142"/>
              </w:tabs>
              <w:ind w:left="0" w:firstLine="0"/>
              <w:rPr>
                <w:rFonts w:eastAsia="Calibri"/>
                <w:bCs/>
                <w:szCs w:val="22"/>
              </w:rPr>
            </w:pPr>
            <w:r w:rsidRPr="00CD1812">
              <w:rPr>
                <w:rFonts w:eastAsia="Calibri"/>
                <w:bCs/>
                <w:szCs w:val="22"/>
              </w:rPr>
              <w:t>If the attribute is not present in the control block(s), then there shall be no security used.</w:t>
            </w:r>
          </w:p>
          <w:p w:rsidR="00CD1812" w:rsidRPr="00CD1812" w:rsidRDefault="00CD1812" w:rsidP="00CD1812">
            <w:pPr>
              <w:tabs>
                <w:tab w:val="left" w:pos="142"/>
              </w:tabs>
              <w:ind w:left="0" w:firstLine="0"/>
              <w:rPr>
                <w:rFonts w:eastAsia="Calibri"/>
                <w:bCs/>
                <w:szCs w:val="22"/>
              </w:rPr>
            </w:pPr>
            <w:r w:rsidRPr="00CD1812">
              <w:rPr>
                <w:rFonts w:eastAsia="Calibri"/>
                <w:bCs/>
                <w:szCs w:val="22"/>
              </w:rPr>
              <w:t>Additionally, if the attribute value of DstAddress.TransportinUse is ETHERNET, the value of the SecurityEnabled attribute shall be None.</w:t>
            </w:r>
          </w:p>
          <w:p w:rsidR="00CD1812" w:rsidRPr="00CD1812" w:rsidRDefault="00CD1812" w:rsidP="00CD1812">
            <w:pPr>
              <w:tabs>
                <w:tab w:val="left" w:pos="142"/>
              </w:tabs>
              <w:ind w:left="0" w:firstLine="0"/>
              <w:rPr>
                <w:rFonts w:eastAsia="Calibri"/>
                <w:bCs/>
                <w:szCs w:val="22"/>
              </w:rPr>
            </w:pPr>
            <w:r w:rsidRPr="00CD1812">
              <w:rPr>
                <w:rFonts w:eastAsia="Calibri"/>
                <w:bCs/>
                <w:szCs w:val="22"/>
              </w:rPr>
              <w:t xml:space="preserve">In order to provide the proper enumeration, the SCL XSD needs to be extended with the following new enumeration. The revised XSD is shown in </w:t>
            </w:r>
            <w:hyperlink w:anchor="_bookmark73" w:history="1">
              <w:r w:rsidRPr="00CD1812">
                <w:rPr>
                  <w:rFonts w:eastAsia="Calibri"/>
                  <w:bCs/>
                  <w:szCs w:val="22"/>
                </w:rPr>
                <w:t>Figure 40:</w:t>
              </w:r>
            </w:hyperlink>
          </w:p>
          <w:p w:rsidR="00CD1812" w:rsidRPr="00CD1812" w:rsidRDefault="00CD1812" w:rsidP="00CD1812">
            <w:pPr>
              <w:tabs>
                <w:tab w:val="left" w:pos="142"/>
              </w:tabs>
              <w:ind w:left="0" w:firstLine="0"/>
              <w:rPr>
                <w:rFonts w:eastAsia="Calibri"/>
                <w:bCs/>
                <w:szCs w:val="22"/>
              </w:rPr>
            </w:pPr>
          </w:p>
        </w:tc>
      </w:tr>
    </w:tbl>
    <w:p w:rsidR="00CD1812" w:rsidRDefault="00CD1812" w:rsidP="00CD1812">
      <w:pPr>
        <w:tabs>
          <w:tab w:val="left" w:pos="142"/>
        </w:tabs>
        <w:ind w:left="142"/>
        <w:jc w:val="center"/>
        <w:rPr>
          <w:b/>
        </w:rPr>
      </w:pPr>
      <w:r>
        <w:rPr>
          <w:noProof/>
          <w:lang w:val="en-US"/>
        </w:rPr>
        <w:lastRenderedPageBreak/>
        <w:drawing>
          <wp:inline distT="0" distB="0" distL="0" distR="0" wp14:anchorId="35A469A9" wp14:editId="7F76523B">
            <wp:extent cx="5534025" cy="164782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34025" cy="1647825"/>
                    </a:xfrm>
                    <a:prstGeom prst="rect">
                      <a:avLst/>
                    </a:prstGeom>
                  </pic:spPr>
                </pic:pic>
              </a:graphicData>
            </a:graphic>
          </wp:inline>
        </w:drawing>
      </w:r>
    </w:p>
    <w:p w:rsidR="00CD1812" w:rsidRDefault="00CD1812" w:rsidP="00CD1812">
      <w:pPr>
        <w:tabs>
          <w:tab w:val="left" w:pos="142"/>
        </w:tabs>
        <w:ind w:left="142"/>
        <w:jc w:val="center"/>
        <w:rPr>
          <w:b/>
        </w:rPr>
      </w:pPr>
      <w:r w:rsidRPr="00CD1812">
        <w:rPr>
          <w:b/>
        </w:rPr>
        <w:t>40</w:t>
      </w:r>
      <w:r>
        <w:rPr>
          <w:b/>
          <w:lang w:val="en-US"/>
        </w:rPr>
        <w:t>-</w:t>
      </w:r>
      <w:r>
        <w:rPr>
          <w:b/>
        </w:rPr>
        <w:t>р зураг</w:t>
      </w:r>
      <w:r w:rsidRPr="00CD1812">
        <w:rPr>
          <w:b/>
        </w:rPr>
        <w:t xml:space="preserve"> – TPredefinedTypeOfSecurityEnum-ийн тодорхойлолт</w:t>
      </w:r>
    </w:p>
    <w:p w:rsidR="00CD1812" w:rsidRPr="00731F96" w:rsidRDefault="00CD1812" w:rsidP="00CD1812">
      <w:pPr>
        <w:ind w:left="0" w:firstLine="0"/>
        <w:jc w:val="center"/>
        <w:rPr>
          <w:b/>
        </w:rPr>
      </w:pPr>
      <w:r w:rsidRPr="00731F96">
        <w:rPr>
          <w:b/>
        </w:rPr>
        <w:t>Figure 40 – Definition of tPredefinedTypeOfSecurityEnum</w:t>
      </w:r>
    </w:p>
    <w:p w:rsidR="00CD1812" w:rsidRDefault="00CD1812" w:rsidP="00095C1D">
      <w:pPr>
        <w:tabs>
          <w:tab w:val="left" w:pos="142"/>
        </w:tabs>
        <w:ind w:left="142"/>
        <w:jc w:val="center"/>
        <w:rPr>
          <w:b/>
        </w:rPr>
      </w:pPr>
    </w:p>
    <w:tbl>
      <w:tblPr>
        <w:tblStyle w:val="TableGrid"/>
        <w:tblW w:w="0" w:type="auto"/>
        <w:tblInd w:w="142" w:type="dxa"/>
        <w:tblLook w:val="04A0" w:firstRow="1" w:lastRow="0" w:firstColumn="1" w:lastColumn="0" w:noHBand="0" w:noVBand="1"/>
      </w:tblPr>
      <w:tblGrid>
        <w:gridCol w:w="4601"/>
        <w:gridCol w:w="4601"/>
      </w:tblGrid>
      <w:tr w:rsidR="00CD1812" w:rsidTr="00CD1812">
        <w:tc>
          <w:tcPr>
            <w:tcW w:w="4601" w:type="dxa"/>
          </w:tcPr>
          <w:p w:rsidR="00CD1812" w:rsidRPr="00CD1812" w:rsidRDefault="00CD1812" w:rsidP="00CD1812">
            <w:pPr>
              <w:tabs>
                <w:tab w:val="left" w:pos="142"/>
              </w:tabs>
              <w:ind w:left="0" w:firstLine="0"/>
              <w:rPr>
                <w:rFonts w:eastAsia="Calibri"/>
                <w:b/>
                <w:bCs/>
                <w:szCs w:val="22"/>
              </w:rPr>
            </w:pPr>
            <w:r w:rsidRPr="00CD1812">
              <w:rPr>
                <w:rFonts w:eastAsia="Calibri"/>
                <w:b/>
                <w:bCs/>
                <w:szCs w:val="22"/>
              </w:rPr>
              <w:t>13.2.3 KDC нэвтрэх цэг</w:t>
            </w:r>
          </w:p>
          <w:p w:rsidR="00CD1812" w:rsidRPr="000A1C8C" w:rsidRDefault="00CD1812" w:rsidP="000A1C8C">
            <w:pPr>
              <w:tabs>
                <w:tab w:val="left" w:pos="142"/>
              </w:tabs>
              <w:ind w:left="0" w:firstLine="0"/>
              <w:rPr>
                <w:rFonts w:eastAsia="Calibri"/>
                <w:bCs/>
                <w:szCs w:val="22"/>
              </w:rPr>
            </w:pPr>
            <w:r w:rsidRPr="00CD1812">
              <w:rPr>
                <w:rFonts w:eastAsia="Calibri"/>
                <w:bCs/>
                <w:szCs w:val="22"/>
              </w:rPr>
              <w:t>IEC 61850-6 SCL нь нэвтрэх цэг нь KDC функц агуулсан эсэхийг илэрхийлэхээр өргөтгөгдсөн болно. Үүнийг зураг 41-д үзүүлсэн “kdc” атр</w:t>
            </w:r>
            <w:r w:rsidR="000A1C8C">
              <w:rPr>
                <w:rFonts w:eastAsia="Calibri"/>
                <w:bCs/>
                <w:szCs w:val="22"/>
              </w:rPr>
              <w:t>ибутыг нэмэх замаар гүйцэтгэнэ.</w:t>
            </w:r>
          </w:p>
        </w:tc>
        <w:tc>
          <w:tcPr>
            <w:tcW w:w="4601" w:type="dxa"/>
          </w:tcPr>
          <w:p w:rsidR="00CD1812" w:rsidRPr="00CD1812" w:rsidRDefault="00CD1812" w:rsidP="00CD1812">
            <w:pPr>
              <w:tabs>
                <w:tab w:val="left" w:pos="142"/>
              </w:tabs>
              <w:ind w:left="0" w:firstLine="0"/>
              <w:rPr>
                <w:rFonts w:eastAsia="Calibri"/>
                <w:b/>
                <w:bCs/>
                <w:szCs w:val="22"/>
              </w:rPr>
            </w:pPr>
            <w:bookmarkStart w:id="68" w:name="_TOC_250000"/>
            <w:r w:rsidRPr="00CD1812">
              <w:rPr>
                <w:rFonts w:eastAsia="Calibri"/>
                <w:b/>
                <w:bCs/>
                <w:szCs w:val="22"/>
              </w:rPr>
              <w:t xml:space="preserve">13.2.3 KDC access </w:t>
            </w:r>
            <w:bookmarkEnd w:id="68"/>
            <w:r w:rsidRPr="00CD1812">
              <w:rPr>
                <w:rFonts w:eastAsia="Calibri"/>
                <w:b/>
                <w:bCs/>
                <w:szCs w:val="22"/>
              </w:rPr>
              <w:t>point</w:t>
            </w:r>
          </w:p>
          <w:p w:rsidR="00CD1812" w:rsidRPr="00CD1812" w:rsidRDefault="00CD1812" w:rsidP="00CD1812">
            <w:pPr>
              <w:tabs>
                <w:tab w:val="left" w:pos="142"/>
              </w:tabs>
              <w:ind w:left="0" w:firstLine="0"/>
              <w:rPr>
                <w:rFonts w:eastAsia="Calibri"/>
                <w:bCs/>
                <w:szCs w:val="22"/>
              </w:rPr>
            </w:pPr>
            <w:r w:rsidRPr="00CD1812">
              <w:rPr>
                <w:rFonts w:eastAsia="Calibri"/>
                <w:bCs/>
                <w:szCs w:val="22"/>
              </w:rPr>
              <w:t>The IEC 61850-6 SCL shall be extended to indicate if an Access Point contains a  KDC  function. This shall be accomplished through the addition of the “kdc” attribute as shown in</w:t>
            </w:r>
            <w:hyperlink w:anchor="_bookmark74" w:history="1">
              <w:r w:rsidRPr="00CD1812">
                <w:rPr>
                  <w:rFonts w:eastAsia="Calibri"/>
                  <w:bCs/>
                  <w:szCs w:val="22"/>
                </w:rPr>
                <w:t xml:space="preserve"> Figure 41.</w:t>
              </w:r>
            </w:hyperlink>
          </w:p>
        </w:tc>
      </w:tr>
    </w:tbl>
    <w:p w:rsidR="00CD1812" w:rsidRDefault="00CD1812" w:rsidP="00095C1D">
      <w:pPr>
        <w:tabs>
          <w:tab w:val="left" w:pos="142"/>
        </w:tabs>
        <w:ind w:left="142"/>
        <w:jc w:val="center"/>
        <w:rPr>
          <w:b/>
        </w:rPr>
      </w:pPr>
    </w:p>
    <w:p w:rsidR="00CD1812" w:rsidRDefault="00CD1812" w:rsidP="00095C1D">
      <w:pPr>
        <w:tabs>
          <w:tab w:val="left" w:pos="142"/>
        </w:tabs>
        <w:ind w:left="142"/>
        <w:jc w:val="center"/>
        <w:rPr>
          <w:b/>
        </w:rPr>
      </w:pPr>
      <w:r w:rsidRPr="00EF2D2B">
        <w:rPr>
          <w:noProof/>
          <w:lang w:val="en-US"/>
        </w:rPr>
        <w:lastRenderedPageBreak/>
        <w:drawing>
          <wp:inline distT="0" distB="0" distL="0" distR="0" wp14:anchorId="67318F6D" wp14:editId="7358426E">
            <wp:extent cx="4924425" cy="450532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24425" cy="4505325"/>
                    </a:xfrm>
                    <a:prstGeom prst="rect">
                      <a:avLst/>
                    </a:prstGeom>
                  </pic:spPr>
                </pic:pic>
              </a:graphicData>
            </a:graphic>
          </wp:inline>
        </w:drawing>
      </w:r>
    </w:p>
    <w:p w:rsidR="00CD1812" w:rsidRDefault="00CD1812" w:rsidP="00CD1812">
      <w:pPr>
        <w:tabs>
          <w:tab w:val="left" w:pos="142"/>
        </w:tabs>
        <w:ind w:left="142"/>
        <w:jc w:val="center"/>
        <w:rPr>
          <w:b/>
        </w:rPr>
      </w:pPr>
      <w:r w:rsidRPr="00CD1812">
        <w:rPr>
          <w:b/>
        </w:rPr>
        <w:t>41</w:t>
      </w:r>
      <w:r>
        <w:rPr>
          <w:b/>
          <w:lang w:val="en-US"/>
        </w:rPr>
        <w:t>-</w:t>
      </w:r>
      <w:r>
        <w:rPr>
          <w:b/>
        </w:rPr>
        <w:t>р зураг</w:t>
      </w:r>
      <w:r w:rsidRPr="00CD1812">
        <w:rPr>
          <w:b/>
        </w:rPr>
        <w:t xml:space="preserve"> – KDC функцийг илэрхийлэх AccessPoint SCL боловсруулалт</w:t>
      </w:r>
    </w:p>
    <w:p w:rsidR="00CD1812" w:rsidRDefault="00CD1812" w:rsidP="00CD1812">
      <w:pPr>
        <w:ind w:left="0" w:firstLine="0"/>
        <w:jc w:val="center"/>
        <w:rPr>
          <w:b/>
        </w:rPr>
      </w:pPr>
      <w:r w:rsidRPr="00731F96">
        <w:rPr>
          <w:b/>
        </w:rPr>
        <w:t>Figure 41 – AccessPoint SCL production indicating a KDC function</w:t>
      </w:r>
    </w:p>
    <w:p w:rsidR="00CD1812" w:rsidRDefault="00CD1812"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CD1812" w:rsidTr="00CD1812">
        <w:tc>
          <w:tcPr>
            <w:tcW w:w="4672" w:type="dxa"/>
          </w:tcPr>
          <w:p w:rsidR="000A1C8C" w:rsidRPr="00CD1812" w:rsidRDefault="000A1C8C" w:rsidP="000A1C8C">
            <w:pPr>
              <w:tabs>
                <w:tab w:val="left" w:pos="142"/>
              </w:tabs>
              <w:ind w:left="0" w:firstLine="0"/>
              <w:rPr>
                <w:rFonts w:eastAsia="Calibri"/>
                <w:bCs/>
                <w:szCs w:val="22"/>
              </w:rPr>
            </w:pPr>
            <w:r w:rsidRPr="00CD1812">
              <w:rPr>
                <w:rFonts w:eastAsia="Calibri"/>
                <w:bCs/>
                <w:szCs w:val="22"/>
              </w:rPr>
              <w:t>SCL нь IED-ийн ашигладаг KDC (ууд) -ыг заана. Үүнийг зураг 42-т үзүүлсний дагуу KDC-ийн аль ч элементийн тоог нэмэх замаар гүйцэтгэнэ.</w:t>
            </w:r>
          </w:p>
          <w:p w:rsidR="00CD1812" w:rsidRDefault="00CD1812" w:rsidP="000A1C8C">
            <w:pPr>
              <w:tabs>
                <w:tab w:val="left" w:pos="142"/>
              </w:tabs>
              <w:ind w:left="0" w:firstLine="0"/>
              <w:rPr>
                <w:b/>
              </w:rPr>
            </w:pPr>
          </w:p>
        </w:tc>
        <w:tc>
          <w:tcPr>
            <w:tcW w:w="4672" w:type="dxa"/>
          </w:tcPr>
          <w:p w:rsidR="00CD1812" w:rsidRPr="000A1C8C" w:rsidRDefault="000A1C8C" w:rsidP="000A1C8C">
            <w:pPr>
              <w:tabs>
                <w:tab w:val="left" w:pos="142"/>
              </w:tabs>
              <w:ind w:left="0" w:firstLine="0"/>
              <w:rPr>
                <w:rFonts w:eastAsia="Calibri"/>
                <w:bCs/>
                <w:szCs w:val="22"/>
              </w:rPr>
            </w:pPr>
            <w:r w:rsidRPr="00CD1812">
              <w:rPr>
                <w:rFonts w:eastAsia="Calibri"/>
                <w:bCs/>
                <w:szCs w:val="22"/>
              </w:rPr>
              <w:t xml:space="preserve">SCL shall further be extended to indicate the KDC(s) that an IED will use. This shall be accomplished through the addition of any number of KDC elements as shown in </w:t>
            </w:r>
            <w:hyperlink w:anchor="_bookmark75" w:history="1">
              <w:r w:rsidRPr="00CD1812">
                <w:rPr>
                  <w:rFonts w:eastAsia="Calibri"/>
                  <w:bCs/>
                  <w:szCs w:val="22"/>
                </w:rPr>
                <w:t>Figure 42.</w:t>
              </w:r>
            </w:hyperlink>
          </w:p>
        </w:tc>
      </w:tr>
    </w:tbl>
    <w:p w:rsidR="00CD1812" w:rsidRDefault="00CD1812" w:rsidP="00CD1812">
      <w:pPr>
        <w:ind w:left="0" w:firstLine="0"/>
        <w:jc w:val="center"/>
        <w:rPr>
          <w:b/>
        </w:rPr>
      </w:pPr>
    </w:p>
    <w:p w:rsidR="000A1C8C" w:rsidRDefault="000A1C8C" w:rsidP="00CD1812">
      <w:pPr>
        <w:ind w:left="0" w:firstLine="0"/>
        <w:jc w:val="center"/>
        <w:rPr>
          <w:b/>
        </w:rPr>
      </w:pPr>
      <w:r>
        <w:rPr>
          <w:noProof/>
          <w:lang w:val="en-US"/>
        </w:rPr>
        <w:lastRenderedPageBreak/>
        <w:drawing>
          <wp:inline distT="0" distB="0" distL="0" distR="0" wp14:anchorId="45244CD6" wp14:editId="1B6D2925">
            <wp:extent cx="5939790" cy="3574415"/>
            <wp:effectExtent l="0" t="0" r="3810" b="698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39790" cy="3574415"/>
                    </a:xfrm>
                    <a:prstGeom prst="rect">
                      <a:avLst/>
                    </a:prstGeom>
                  </pic:spPr>
                </pic:pic>
              </a:graphicData>
            </a:graphic>
          </wp:inline>
        </w:drawing>
      </w:r>
    </w:p>
    <w:p w:rsidR="000A1C8C" w:rsidRDefault="000A1C8C" w:rsidP="000A1C8C">
      <w:pPr>
        <w:jc w:val="center"/>
        <w:rPr>
          <w:b/>
        </w:rPr>
      </w:pPr>
      <w:r w:rsidRPr="00731F96">
        <w:rPr>
          <w:b/>
        </w:rPr>
        <w:t>42</w:t>
      </w:r>
      <w:r>
        <w:rPr>
          <w:b/>
        </w:rPr>
        <w:t>-р зураг</w:t>
      </w:r>
      <w:r w:rsidRPr="00731F96">
        <w:rPr>
          <w:b/>
        </w:rPr>
        <w:t xml:space="preserve"> – IED SCL XSD нь ашиглагдах KDC (ууд) -ыг заана</w:t>
      </w:r>
    </w:p>
    <w:p w:rsidR="000A1C8C" w:rsidRPr="00731F96" w:rsidRDefault="000A1C8C" w:rsidP="000A1C8C">
      <w:pPr>
        <w:jc w:val="center"/>
        <w:rPr>
          <w:b/>
        </w:rPr>
      </w:pPr>
      <w:r w:rsidRPr="00731F96">
        <w:rPr>
          <w:b/>
        </w:rPr>
        <w:t>Figure 42 – IED SCL XSD indicating the KDC(s) t</w:t>
      </w:r>
      <w:r w:rsidRPr="00EF2D2B">
        <w:rPr>
          <w:b/>
        </w:rPr>
        <w:t>o be used</w:t>
      </w:r>
    </w:p>
    <w:p w:rsidR="000A1C8C" w:rsidRDefault="000A1C8C"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0A1C8C" w:rsidTr="000A1C8C">
        <w:tc>
          <w:tcPr>
            <w:tcW w:w="4672" w:type="dxa"/>
          </w:tcPr>
          <w:p w:rsidR="000A1C8C" w:rsidRPr="000A1C8C" w:rsidRDefault="000A1C8C" w:rsidP="000A1C8C">
            <w:pPr>
              <w:tabs>
                <w:tab w:val="left" w:pos="142"/>
              </w:tabs>
              <w:ind w:left="0" w:firstLine="0"/>
              <w:rPr>
                <w:rFonts w:eastAsia="Calibri"/>
                <w:bCs/>
                <w:szCs w:val="22"/>
              </w:rPr>
            </w:pPr>
            <w:r w:rsidRPr="00CD1812">
              <w:rPr>
                <w:rFonts w:eastAsia="Calibri"/>
                <w:bCs/>
                <w:szCs w:val="22"/>
              </w:rPr>
              <w:t>Зураг 43-и</w:t>
            </w:r>
            <w:r>
              <w:rPr>
                <w:rFonts w:eastAsia="Calibri"/>
                <w:bCs/>
                <w:szCs w:val="22"/>
              </w:rPr>
              <w:t>йн tKDC төрлийг нэмэх хэрэгтэй:</w:t>
            </w:r>
          </w:p>
        </w:tc>
        <w:tc>
          <w:tcPr>
            <w:tcW w:w="4672" w:type="dxa"/>
          </w:tcPr>
          <w:p w:rsidR="000A1C8C" w:rsidRDefault="000A1C8C" w:rsidP="000A1C8C">
            <w:pPr>
              <w:ind w:left="0" w:firstLine="0"/>
              <w:rPr>
                <w:b/>
              </w:rPr>
            </w:pPr>
            <w:r w:rsidRPr="00CD1812">
              <w:rPr>
                <w:rFonts w:eastAsia="Calibri"/>
                <w:bCs/>
                <w:szCs w:val="22"/>
              </w:rPr>
              <w:t>The tKDC type of Figure 43 needs to be added:</w:t>
            </w:r>
          </w:p>
        </w:tc>
      </w:tr>
    </w:tbl>
    <w:p w:rsidR="000A1C8C" w:rsidRDefault="000A1C8C" w:rsidP="000A1C8C">
      <w:pPr>
        <w:ind w:left="0" w:firstLine="0"/>
        <w:jc w:val="center"/>
        <w:rPr>
          <w:b/>
        </w:rPr>
      </w:pPr>
      <w:r>
        <w:rPr>
          <w:noProof/>
          <w:lang w:val="en-US"/>
        </w:rPr>
        <w:drawing>
          <wp:inline distT="0" distB="0" distL="0" distR="0" wp14:anchorId="58D9CF67" wp14:editId="36F688D9">
            <wp:extent cx="5939790" cy="837565"/>
            <wp:effectExtent l="0" t="0" r="3810" b="63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39790" cy="837565"/>
                    </a:xfrm>
                    <a:prstGeom prst="rect">
                      <a:avLst/>
                    </a:prstGeom>
                  </pic:spPr>
                </pic:pic>
              </a:graphicData>
            </a:graphic>
          </wp:inline>
        </w:drawing>
      </w:r>
    </w:p>
    <w:p w:rsidR="000A1C8C" w:rsidRDefault="000A1C8C" w:rsidP="000A1C8C">
      <w:pPr>
        <w:jc w:val="center"/>
        <w:rPr>
          <w:b/>
        </w:rPr>
      </w:pPr>
      <w:r w:rsidRPr="00731F96">
        <w:rPr>
          <w:b/>
        </w:rPr>
        <w:t>43</w:t>
      </w:r>
      <w:r>
        <w:rPr>
          <w:b/>
        </w:rPr>
        <w:t>-р зураг</w:t>
      </w:r>
      <w:r w:rsidRPr="00731F96">
        <w:rPr>
          <w:b/>
        </w:rPr>
        <w:t xml:space="preserve"> – SCL tKDC төрөл</w:t>
      </w:r>
      <w:r w:rsidRPr="000A1C8C">
        <w:rPr>
          <w:b/>
        </w:rPr>
        <w:t xml:space="preserve"> </w:t>
      </w:r>
    </w:p>
    <w:p w:rsidR="000A1C8C" w:rsidRDefault="000A1C8C" w:rsidP="000A1C8C">
      <w:pPr>
        <w:jc w:val="center"/>
        <w:rPr>
          <w:b/>
        </w:rPr>
      </w:pPr>
      <w:r w:rsidRPr="00731F96">
        <w:rPr>
          <w:b/>
        </w:rPr>
        <w:t>Figure 43 – SCL tKDC type</w:t>
      </w:r>
    </w:p>
    <w:p w:rsidR="000A1C8C" w:rsidRDefault="000A1C8C"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0A1C8C" w:rsidTr="000A1C8C">
        <w:tc>
          <w:tcPr>
            <w:tcW w:w="4672" w:type="dxa"/>
          </w:tcPr>
          <w:p w:rsidR="000A1C8C" w:rsidRPr="000A1C8C" w:rsidRDefault="000A1C8C" w:rsidP="000A1C8C">
            <w:pPr>
              <w:ind w:left="0" w:firstLine="0"/>
              <w:rPr>
                <w:rFonts w:eastAsia="Calibri"/>
                <w:b/>
                <w:bCs/>
                <w:szCs w:val="22"/>
              </w:rPr>
            </w:pPr>
            <w:r w:rsidRPr="000A1C8C">
              <w:rPr>
                <w:rFonts w:eastAsia="Calibri"/>
                <w:b/>
                <w:bCs/>
                <w:szCs w:val="22"/>
              </w:rPr>
              <w:t>13.2.4 Хаяглалтын өргөтгөлүүд</w:t>
            </w:r>
          </w:p>
          <w:p w:rsidR="000A1C8C" w:rsidRPr="000A1C8C" w:rsidRDefault="000A1C8C" w:rsidP="000A1C8C">
            <w:pPr>
              <w:ind w:left="0" w:firstLine="0"/>
              <w:rPr>
                <w:rFonts w:eastAsia="Calibri"/>
                <w:bCs/>
                <w:szCs w:val="22"/>
              </w:rPr>
            </w:pPr>
            <w:r w:rsidRPr="000A1C8C">
              <w:rPr>
                <w:rFonts w:eastAsia="Calibri"/>
                <w:bCs/>
                <w:szCs w:val="22"/>
              </w:rPr>
              <w:t>TvonnectedAP-ийн нэг хэсэг болох IPv4 ба IPv6 хаяглалтыг зөвшөөрөхийн тулд зохих тооллоос эхлээд Зураг 44-т харуулсны дагуу tPredefinedP TypeEnum-т нэмж оруулах хэрэгтэй:</w:t>
            </w:r>
          </w:p>
        </w:tc>
        <w:tc>
          <w:tcPr>
            <w:tcW w:w="4672" w:type="dxa"/>
          </w:tcPr>
          <w:p w:rsidR="000A1C8C" w:rsidRPr="000A1C8C" w:rsidRDefault="000A1C8C" w:rsidP="000A1C8C">
            <w:pPr>
              <w:ind w:left="0" w:firstLine="0"/>
              <w:rPr>
                <w:rFonts w:eastAsia="Calibri"/>
                <w:b/>
                <w:bCs/>
                <w:szCs w:val="22"/>
              </w:rPr>
            </w:pPr>
            <w:r w:rsidRPr="000A1C8C">
              <w:rPr>
                <w:rFonts w:eastAsia="Calibri"/>
                <w:b/>
                <w:bCs/>
                <w:szCs w:val="22"/>
              </w:rPr>
              <w:t>13.2.4 Addressing extensions</w:t>
            </w:r>
          </w:p>
          <w:p w:rsidR="000A1C8C" w:rsidRPr="000A1C8C" w:rsidRDefault="000A1C8C" w:rsidP="000A1C8C">
            <w:pPr>
              <w:ind w:left="0" w:firstLine="0"/>
              <w:rPr>
                <w:rFonts w:eastAsia="Calibri"/>
                <w:bCs/>
                <w:szCs w:val="22"/>
              </w:rPr>
            </w:pPr>
            <w:r w:rsidRPr="000A1C8C">
              <w:rPr>
                <w:rFonts w:eastAsia="Calibri"/>
                <w:bCs/>
                <w:szCs w:val="22"/>
              </w:rPr>
              <w:t xml:space="preserve">In order to allow IPv4 and IPv6 addressing, as part of the tConnectedAP, the appropriate enumerations must first be added to the tPredefinedPTypeEnum, as shown in </w:t>
            </w:r>
            <w:hyperlink w:anchor="_bookmark78" w:history="1">
              <w:r w:rsidRPr="000A1C8C">
                <w:rPr>
                  <w:rFonts w:eastAsia="Calibri"/>
                  <w:bCs/>
                  <w:szCs w:val="22"/>
                </w:rPr>
                <w:t>Figure 44:</w:t>
              </w:r>
            </w:hyperlink>
          </w:p>
        </w:tc>
      </w:tr>
    </w:tbl>
    <w:p w:rsidR="000A1C8C" w:rsidRDefault="000A1C8C" w:rsidP="000A1C8C">
      <w:pPr>
        <w:ind w:left="0" w:firstLine="0"/>
        <w:jc w:val="center"/>
        <w:rPr>
          <w:b/>
        </w:rPr>
      </w:pPr>
      <w:r>
        <w:rPr>
          <w:noProof/>
          <w:lang w:val="en-US"/>
        </w:rPr>
        <w:lastRenderedPageBreak/>
        <w:drawing>
          <wp:inline distT="0" distB="0" distL="0" distR="0" wp14:anchorId="59836605" wp14:editId="20EDB991">
            <wp:extent cx="5229225" cy="443865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29225" cy="4438650"/>
                    </a:xfrm>
                    <a:prstGeom prst="rect">
                      <a:avLst/>
                    </a:prstGeom>
                  </pic:spPr>
                </pic:pic>
              </a:graphicData>
            </a:graphic>
          </wp:inline>
        </w:drawing>
      </w:r>
    </w:p>
    <w:p w:rsidR="000A1C8C" w:rsidRDefault="000A1C8C" w:rsidP="000A1C8C">
      <w:pPr>
        <w:jc w:val="center"/>
        <w:rPr>
          <w:b/>
        </w:rPr>
      </w:pPr>
      <w:r w:rsidRPr="00731F96">
        <w:rPr>
          <w:b/>
        </w:rPr>
        <w:t>44</w:t>
      </w:r>
      <w:r>
        <w:rPr>
          <w:b/>
        </w:rPr>
        <w:t>-р зураг</w:t>
      </w:r>
      <w:r w:rsidRPr="00731F96">
        <w:rPr>
          <w:b/>
        </w:rPr>
        <w:t xml:space="preserve"> –</w:t>
      </w:r>
      <w:r>
        <w:rPr>
          <w:b/>
        </w:rPr>
        <w:t xml:space="preserve"> </w:t>
      </w:r>
      <w:r w:rsidRPr="00731F96">
        <w:rPr>
          <w:b/>
        </w:rPr>
        <w:t>tPredefinedPTypeEnum руу өргөтгөл</w:t>
      </w:r>
    </w:p>
    <w:p w:rsidR="000A1C8C" w:rsidRPr="00731F96" w:rsidRDefault="000A1C8C" w:rsidP="000A1C8C">
      <w:pPr>
        <w:jc w:val="center"/>
        <w:rPr>
          <w:b/>
        </w:rPr>
      </w:pPr>
      <w:r w:rsidRPr="00731F96">
        <w:rPr>
          <w:b/>
        </w:rPr>
        <w:t>Figure 44 – Extension to tPredefinedPTypeEnum</w:t>
      </w:r>
    </w:p>
    <w:p w:rsidR="000A1C8C" w:rsidRDefault="000A1C8C"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0A1C8C" w:rsidTr="000A1C8C">
        <w:trPr>
          <w:trHeight w:val="1706"/>
        </w:trPr>
        <w:tc>
          <w:tcPr>
            <w:tcW w:w="4672" w:type="dxa"/>
          </w:tcPr>
          <w:p w:rsidR="000A1C8C" w:rsidRPr="000A1C8C" w:rsidRDefault="000A1C8C" w:rsidP="000A1C8C">
            <w:pPr>
              <w:ind w:left="0" w:firstLine="0"/>
              <w:rPr>
                <w:rFonts w:eastAsia="Calibri"/>
                <w:bCs/>
                <w:szCs w:val="22"/>
              </w:rPr>
            </w:pPr>
            <w:r w:rsidRPr="000A1C8C">
              <w:rPr>
                <w:rFonts w:eastAsia="Calibri"/>
                <w:bCs/>
                <w:szCs w:val="22"/>
              </w:rPr>
              <w:t>TypeEnum-т нэмж оруулах хэрэгтэй:</w:t>
            </w:r>
          </w:p>
          <w:p w:rsidR="000A1C8C" w:rsidRPr="000A1C8C" w:rsidRDefault="000A1C8C" w:rsidP="000A1C8C">
            <w:pPr>
              <w:ind w:left="0" w:firstLine="0"/>
              <w:rPr>
                <w:rFonts w:eastAsia="Calibri"/>
                <w:b/>
                <w:bCs/>
                <w:szCs w:val="22"/>
              </w:rPr>
            </w:pPr>
            <w:r w:rsidRPr="000A1C8C">
              <w:rPr>
                <w:rFonts w:eastAsia="Calibri"/>
                <w:bCs/>
                <w:szCs w:val="22"/>
              </w:rPr>
              <w:t>Өргөтгөлүүд нь DNSName, IP элементийн IPv6 синтакс юм. C37.118.2 IED-ийн зураглалыг тайлбарлахын тулд холбогдох IP портыг C37-118-IP-Port болгон тохируулах шаардлагатай. Өргөтгөлүүд нь шинэ P-Type-ийг тодорхойлох шаардлагатай болдог. Эдгээр тодорхойлолтыг дараахь дэд бүлгүүдээс үзнэ үү.</w:t>
            </w:r>
          </w:p>
          <w:p w:rsidR="000A1C8C" w:rsidRPr="000A1C8C" w:rsidRDefault="000A1C8C" w:rsidP="000A1C8C">
            <w:pPr>
              <w:ind w:left="0" w:firstLine="0"/>
              <w:rPr>
                <w:rFonts w:eastAsia="Calibri"/>
                <w:b/>
                <w:bCs/>
                <w:szCs w:val="22"/>
              </w:rPr>
            </w:pPr>
            <w:r w:rsidRPr="000A1C8C">
              <w:rPr>
                <w:rFonts w:eastAsia="Calibri"/>
                <w:b/>
                <w:bCs/>
                <w:szCs w:val="22"/>
              </w:rPr>
              <w:t xml:space="preserve">13.2.4.1 IPv6 хаягууд </w:t>
            </w:r>
          </w:p>
          <w:p w:rsidR="000A1C8C" w:rsidRPr="000A1C8C" w:rsidRDefault="000A1C8C" w:rsidP="000A1C8C">
            <w:pPr>
              <w:ind w:left="0" w:firstLine="0"/>
              <w:rPr>
                <w:rFonts w:eastAsia="Calibri"/>
                <w:bCs/>
                <w:szCs w:val="22"/>
              </w:rPr>
            </w:pPr>
            <w:r w:rsidRPr="000A1C8C">
              <w:rPr>
                <w:rFonts w:eastAsia="Calibri"/>
                <w:bCs/>
                <w:szCs w:val="22"/>
              </w:rPr>
              <w:t>IPv6 хаягийг тохируулахыг зөвшөөрөхийн тулд атрибут төрөл tP_IPbase-ийг IPv6-ийн загвараар өргөтгөх шаардлагатай. Энэ тодорхойлолтыг Зураг 45-аас үзнэ үү. Энэ тодорхойлолт нь тэг талбарыг хориглохгүйгээр зөвхөн стандарт танилцуулгыг дэмждэг.</w:t>
            </w:r>
          </w:p>
        </w:tc>
        <w:tc>
          <w:tcPr>
            <w:tcW w:w="4672" w:type="dxa"/>
          </w:tcPr>
          <w:p w:rsidR="000A1C8C" w:rsidRPr="000A1C8C" w:rsidRDefault="000A1C8C" w:rsidP="000A1C8C">
            <w:pPr>
              <w:ind w:left="0" w:firstLine="0"/>
              <w:rPr>
                <w:rFonts w:eastAsia="Calibri"/>
                <w:bCs/>
                <w:szCs w:val="22"/>
              </w:rPr>
            </w:pPr>
            <w:r w:rsidRPr="000A1C8C">
              <w:rPr>
                <w:rFonts w:eastAsia="Calibri"/>
                <w:bCs/>
                <w:szCs w:val="22"/>
              </w:rPr>
              <w:t>The extensions are DNSName, and IPv6 syntax for the IP element. For describing  the  mapping of C37.118.2 IEDs, additionally, the corresponding IP port needs to  be  configurable as C37-118-IP-Port. The extensions result in new P-Types needing to be defined. These definitions are found in the following subclauses.</w:t>
            </w:r>
          </w:p>
          <w:p w:rsidR="000A1C8C" w:rsidRPr="000A1C8C" w:rsidRDefault="000A1C8C" w:rsidP="000A1C8C">
            <w:pPr>
              <w:ind w:left="0" w:firstLine="0"/>
              <w:rPr>
                <w:rFonts w:eastAsia="Calibri"/>
                <w:b/>
                <w:bCs/>
                <w:szCs w:val="22"/>
              </w:rPr>
            </w:pPr>
            <w:r w:rsidRPr="000A1C8C">
              <w:rPr>
                <w:rFonts w:eastAsia="Calibri"/>
                <w:b/>
                <w:bCs/>
                <w:szCs w:val="22"/>
              </w:rPr>
              <w:t>13.2.4.1 IPv6 addresses</w:t>
            </w:r>
          </w:p>
          <w:p w:rsidR="000A1C8C" w:rsidRPr="000A1C8C" w:rsidRDefault="000A1C8C" w:rsidP="000A1C8C">
            <w:pPr>
              <w:ind w:left="0" w:firstLine="0"/>
              <w:rPr>
                <w:rFonts w:eastAsia="Calibri"/>
                <w:bCs/>
                <w:szCs w:val="22"/>
              </w:rPr>
            </w:pPr>
            <w:r w:rsidRPr="000A1C8C">
              <w:rPr>
                <w:rFonts w:eastAsia="Calibri"/>
                <w:bCs/>
                <w:szCs w:val="22"/>
              </w:rPr>
              <w:t xml:space="preserve">In order to allow IPv6 addresses to be configured, the abstract type tP_IPbase needs to be extended with a pattern for IPv6. The definition is found in </w:t>
            </w:r>
            <w:hyperlink w:anchor="_bookmark79" w:history="1">
              <w:r w:rsidRPr="000A1C8C">
                <w:rPr>
                  <w:rFonts w:eastAsia="Calibri"/>
                  <w:bCs/>
                  <w:szCs w:val="22"/>
                </w:rPr>
                <w:t xml:space="preserve">Figure 45. </w:t>
              </w:r>
            </w:hyperlink>
            <w:r w:rsidRPr="000A1C8C">
              <w:rPr>
                <w:rFonts w:eastAsia="Calibri"/>
                <w:bCs/>
                <w:szCs w:val="22"/>
              </w:rPr>
              <w:t>This definition supports only the standard presentation without suppression of zero fields.</w:t>
            </w:r>
          </w:p>
          <w:p w:rsidR="000A1C8C" w:rsidRPr="000A1C8C" w:rsidRDefault="000A1C8C" w:rsidP="000A1C8C">
            <w:pPr>
              <w:ind w:left="0" w:firstLine="0"/>
              <w:rPr>
                <w:rFonts w:eastAsia="Calibri"/>
                <w:bCs/>
                <w:szCs w:val="22"/>
              </w:rPr>
            </w:pPr>
          </w:p>
        </w:tc>
      </w:tr>
    </w:tbl>
    <w:p w:rsidR="002F6308" w:rsidRDefault="002F6308" w:rsidP="002F6308">
      <w:pPr>
        <w:ind w:left="0" w:firstLine="0"/>
        <w:jc w:val="center"/>
        <w:rPr>
          <w:b/>
        </w:rPr>
      </w:pPr>
      <w:r>
        <w:rPr>
          <w:noProof/>
          <w:lang w:val="en-US"/>
        </w:rPr>
        <w:lastRenderedPageBreak/>
        <w:drawing>
          <wp:inline distT="0" distB="0" distL="0" distR="0" wp14:anchorId="53EC78F5" wp14:editId="31E93C07">
            <wp:extent cx="5939790" cy="1367790"/>
            <wp:effectExtent l="0" t="0" r="3810" b="381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1367790"/>
                    </a:xfrm>
                    <a:prstGeom prst="rect">
                      <a:avLst/>
                    </a:prstGeom>
                  </pic:spPr>
                </pic:pic>
              </a:graphicData>
            </a:graphic>
          </wp:inline>
        </w:drawing>
      </w:r>
    </w:p>
    <w:p w:rsidR="002F6308" w:rsidRDefault="002F6308" w:rsidP="002F6308">
      <w:pPr>
        <w:ind w:left="0" w:firstLine="0"/>
        <w:jc w:val="center"/>
        <w:rPr>
          <w:b/>
        </w:rPr>
      </w:pPr>
      <w:r w:rsidRPr="002F6308">
        <w:rPr>
          <w:b/>
        </w:rPr>
        <w:t>45</w:t>
      </w:r>
      <w:r>
        <w:rPr>
          <w:b/>
        </w:rPr>
        <w:t>-р зураг</w:t>
      </w:r>
      <w:r w:rsidRPr="002F6308">
        <w:rPr>
          <w:b/>
        </w:rPr>
        <w:t xml:space="preserve"> – IPv6 хаягуудын tP_IPbase өргөтгөл</w:t>
      </w:r>
    </w:p>
    <w:p w:rsidR="002F6308" w:rsidRPr="00A660DC" w:rsidRDefault="002F6308" w:rsidP="002F6308">
      <w:pPr>
        <w:tabs>
          <w:tab w:val="left" w:pos="0"/>
        </w:tabs>
        <w:spacing w:before="2"/>
        <w:ind w:left="558"/>
        <w:jc w:val="center"/>
      </w:pPr>
      <w:r w:rsidRPr="00EF2D2B">
        <w:rPr>
          <w:b/>
        </w:rPr>
        <w:t>Figure 45 – tP_IPbase extension for IPv6 addresses</w:t>
      </w:r>
    </w:p>
    <w:p w:rsidR="000A1C8C" w:rsidRDefault="000A1C8C"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2F6308" w:rsidTr="002F6308">
        <w:tc>
          <w:tcPr>
            <w:tcW w:w="4672" w:type="dxa"/>
          </w:tcPr>
          <w:p w:rsidR="002F6308" w:rsidRPr="000A1C8C" w:rsidRDefault="002F6308" w:rsidP="002F6308">
            <w:pPr>
              <w:ind w:left="0" w:firstLine="0"/>
              <w:rPr>
                <w:rFonts w:eastAsia="Calibri"/>
                <w:bCs/>
                <w:szCs w:val="22"/>
              </w:rPr>
            </w:pPr>
            <w:r w:rsidRPr="000A1C8C">
              <w:rPr>
                <w:rFonts w:eastAsia="Calibri"/>
                <w:bCs/>
                <w:szCs w:val="22"/>
              </w:rPr>
              <w:t>Энэ сайжруулалт нь дараа нь бодитой P-Type-үүд tP_IP, tP_IPGATEWAY ба tP_IP-SUBNET руу автоматаар тархана.</w:t>
            </w:r>
          </w:p>
          <w:p w:rsidR="002F6308" w:rsidRDefault="002F6308" w:rsidP="002F6308">
            <w:pPr>
              <w:ind w:left="0" w:firstLine="0"/>
              <w:rPr>
                <w:rFonts w:eastAsia="Calibri"/>
                <w:bCs/>
                <w:szCs w:val="22"/>
              </w:rPr>
            </w:pPr>
            <w:r w:rsidRPr="000A1C8C">
              <w:rPr>
                <w:rFonts w:eastAsia="Calibri"/>
                <w:bCs/>
                <w:szCs w:val="22"/>
              </w:rPr>
              <w:t>Хэрэв "id" байхгүй бол анхдагч "id" төрөл нь IPv4 байх ёстой.</w:t>
            </w:r>
          </w:p>
          <w:p w:rsidR="002F6308" w:rsidRPr="002F6308" w:rsidRDefault="002F6308" w:rsidP="002F6308">
            <w:pPr>
              <w:ind w:left="0" w:firstLine="0"/>
              <w:rPr>
                <w:rFonts w:eastAsia="Calibri"/>
                <w:b/>
                <w:bCs/>
                <w:szCs w:val="22"/>
                <w:lang w:val="en-US"/>
              </w:rPr>
            </w:pPr>
            <w:r w:rsidRPr="002F6308">
              <w:rPr>
                <w:rFonts w:eastAsia="Calibri"/>
                <w:b/>
                <w:bCs/>
                <w:szCs w:val="22"/>
              </w:rPr>
              <w:t>13.2.4.2 IP хаягийн мөрийн дүрслэл (DNSName</w:t>
            </w:r>
            <w:r>
              <w:rPr>
                <w:rFonts w:eastAsia="Calibri"/>
                <w:b/>
                <w:bCs/>
                <w:szCs w:val="22"/>
                <w:lang w:val="en-US"/>
              </w:rPr>
              <w:t>)</w:t>
            </w:r>
          </w:p>
          <w:p w:rsidR="002F6308" w:rsidRPr="002F6308" w:rsidRDefault="002F6308" w:rsidP="002F6308">
            <w:pPr>
              <w:ind w:left="0" w:firstLine="0"/>
              <w:rPr>
                <w:rFonts w:eastAsia="Calibri"/>
                <w:bCs/>
                <w:szCs w:val="22"/>
              </w:rPr>
            </w:pPr>
            <w:r w:rsidRPr="002F6308">
              <w:rPr>
                <w:rFonts w:eastAsia="Calibri"/>
                <w:bCs/>
                <w:szCs w:val="22"/>
              </w:rPr>
              <w:t>Өргөн хүрээний хэмжилтийн систем эсвэл хэрэгслүүд хоорондын солилцоонд шаардагдах олон хаяглалтын домайнуудын хоорондох өргөн хүрээний хаягчлалыг хангахын тулд IP хаягийг DNS мөрөөр дүрслэх нь системүүдийн хооронд хялбар зохицуулалт хийх боломжийг олгодог.</w:t>
            </w:r>
          </w:p>
          <w:p w:rsidR="002F6308" w:rsidRPr="002F6308" w:rsidRDefault="002F6308" w:rsidP="002F6308">
            <w:pPr>
              <w:ind w:left="0" w:firstLine="0"/>
              <w:rPr>
                <w:rFonts w:eastAsia="Calibri"/>
                <w:bCs/>
                <w:szCs w:val="22"/>
              </w:rPr>
            </w:pPr>
            <w:r w:rsidRPr="002F6308">
              <w:rPr>
                <w:rFonts w:eastAsia="Calibri"/>
                <w:bCs/>
                <w:szCs w:val="22"/>
              </w:rPr>
              <w:t>xsi: tP_DNSName-ийн төрлийг Зураг 46-д харуулав. Энэхүү тодорхойлолтын зорилго нь XML хэрэгслийн утгын форматыг батлахболомжийг олгох явдал юм. Тодорхойлолт нь:</w:t>
            </w:r>
          </w:p>
        </w:tc>
        <w:tc>
          <w:tcPr>
            <w:tcW w:w="4672" w:type="dxa"/>
          </w:tcPr>
          <w:p w:rsidR="002F6308" w:rsidRPr="000A1C8C" w:rsidRDefault="002F6308" w:rsidP="002F6308">
            <w:pPr>
              <w:ind w:left="0" w:firstLine="0"/>
              <w:rPr>
                <w:rFonts w:eastAsia="Calibri"/>
                <w:bCs/>
                <w:szCs w:val="22"/>
              </w:rPr>
            </w:pPr>
            <w:r w:rsidRPr="000A1C8C">
              <w:rPr>
                <w:rFonts w:eastAsia="Calibri"/>
                <w:bCs/>
                <w:szCs w:val="22"/>
              </w:rPr>
              <w:t>This modification will then be automatically propagated to the concrete P-Types tP_IP, tP_IP- GATEWAY, and tP_IP-SUBNET.</w:t>
            </w:r>
          </w:p>
          <w:p w:rsidR="002F6308" w:rsidRDefault="002F6308" w:rsidP="002F6308">
            <w:pPr>
              <w:ind w:left="0" w:firstLine="0"/>
              <w:rPr>
                <w:rFonts w:eastAsia="Calibri"/>
                <w:bCs/>
                <w:szCs w:val="22"/>
              </w:rPr>
            </w:pPr>
            <w:r w:rsidRPr="000A1C8C">
              <w:rPr>
                <w:rFonts w:eastAsia="Calibri"/>
                <w:bCs/>
                <w:szCs w:val="22"/>
              </w:rPr>
              <w:t>The default “id” type shall be IPv4 if the “id” is not present.</w:t>
            </w:r>
          </w:p>
          <w:p w:rsidR="002F6308" w:rsidRPr="002F6308" w:rsidRDefault="002F6308" w:rsidP="002F6308">
            <w:pPr>
              <w:ind w:left="0" w:firstLine="0"/>
              <w:rPr>
                <w:rFonts w:eastAsia="Calibri"/>
                <w:b/>
                <w:bCs/>
                <w:szCs w:val="22"/>
              </w:rPr>
            </w:pPr>
            <w:r w:rsidRPr="002F6308">
              <w:rPr>
                <w:rFonts w:eastAsia="Calibri"/>
                <w:b/>
                <w:bCs/>
                <w:szCs w:val="22"/>
              </w:rPr>
              <w:t>13.2.4.2 String representation of IP address (DNSName)</w:t>
            </w:r>
          </w:p>
          <w:p w:rsidR="002F6308" w:rsidRPr="002F6308" w:rsidRDefault="002F6308" w:rsidP="002F6308">
            <w:pPr>
              <w:ind w:left="0" w:firstLine="0"/>
              <w:rPr>
                <w:rFonts w:eastAsia="Calibri"/>
                <w:bCs/>
                <w:szCs w:val="22"/>
              </w:rPr>
            </w:pPr>
            <w:r w:rsidRPr="002F6308">
              <w:rPr>
                <w:rFonts w:eastAsia="Calibri"/>
                <w:bCs/>
                <w:szCs w:val="22"/>
              </w:rPr>
              <w:t>In order to provide wide area addressability between multiple addressing domains, as may be required for Wide Area Measurement systems or exchanges between utilities, a DNS string representation of an IP address may allow easier coordination between systems.</w:t>
            </w:r>
          </w:p>
          <w:p w:rsidR="002F6308" w:rsidRPr="002F6308" w:rsidRDefault="002F6308" w:rsidP="002F6308">
            <w:pPr>
              <w:ind w:left="0" w:firstLine="0"/>
              <w:rPr>
                <w:rFonts w:eastAsia="Calibri"/>
                <w:bCs/>
                <w:szCs w:val="22"/>
              </w:rPr>
            </w:pPr>
            <w:r w:rsidRPr="002F6308">
              <w:rPr>
                <w:rFonts w:eastAsia="Calibri"/>
                <w:bCs/>
                <w:szCs w:val="22"/>
              </w:rPr>
              <w:t xml:space="preserve">An xsi:type of tP_DNSName is shown in </w:t>
            </w:r>
            <w:hyperlink w:anchor="_bookmark80" w:history="1">
              <w:r w:rsidRPr="002F6308">
                <w:rPr>
                  <w:rFonts w:eastAsia="Calibri"/>
                  <w:bCs/>
                  <w:szCs w:val="22"/>
                </w:rPr>
                <w:t>Figure 46.</w:t>
              </w:r>
            </w:hyperlink>
            <w:r w:rsidRPr="002F6308">
              <w:rPr>
                <w:rFonts w:eastAsia="Calibri"/>
                <w:bCs/>
                <w:szCs w:val="22"/>
              </w:rPr>
              <w:t xml:space="preserve"> The purpose of this  definition is  to allow  for XML tools to validate the format of the value. The definition is:</w:t>
            </w:r>
          </w:p>
          <w:p w:rsidR="002F6308" w:rsidRPr="002F6308" w:rsidRDefault="002F6308" w:rsidP="002F6308">
            <w:pPr>
              <w:ind w:left="0" w:firstLine="0"/>
              <w:rPr>
                <w:rFonts w:eastAsia="Calibri"/>
                <w:bCs/>
                <w:szCs w:val="22"/>
              </w:rPr>
            </w:pPr>
          </w:p>
        </w:tc>
      </w:tr>
    </w:tbl>
    <w:p w:rsidR="002F6308" w:rsidRDefault="002F6308" w:rsidP="002F6308">
      <w:pPr>
        <w:ind w:left="0" w:firstLine="0"/>
        <w:jc w:val="center"/>
        <w:rPr>
          <w:b/>
        </w:rPr>
      </w:pPr>
      <w:r>
        <w:rPr>
          <w:noProof/>
          <w:lang w:val="en-US"/>
        </w:rPr>
        <w:drawing>
          <wp:inline distT="0" distB="0" distL="0" distR="0" wp14:anchorId="6497E932" wp14:editId="32D9FF8D">
            <wp:extent cx="5939790" cy="1480185"/>
            <wp:effectExtent l="0" t="0" r="3810" b="571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1480185"/>
                    </a:xfrm>
                    <a:prstGeom prst="rect">
                      <a:avLst/>
                    </a:prstGeom>
                  </pic:spPr>
                </pic:pic>
              </a:graphicData>
            </a:graphic>
          </wp:inline>
        </w:drawing>
      </w:r>
    </w:p>
    <w:p w:rsidR="002F6308" w:rsidRDefault="002F6308" w:rsidP="002F6308">
      <w:pPr>
        <w:ind w:left="0" w:firstLine="0"/>
        <w:jc w:val="center"/>
        <w:rPr>
          <w:b/>
        </w:rPr>
      </w:pPr>
      <w:r w:rsidRPr="002F6308">
        <w:rPr>
          <w:b/>
        </w:rPr>
        <w:t>46</w:t>
      </w:r>
      <w:r>
        <w:rPr>
          <w:b/>
        </w:rPr>
        <w:t>-р зураг</w:t>
      </w:r>
      <w:r w:rsidRPr="002F6308">
        <w:rPr>
          <w:b/>
        </w:rPr>
        <w:t xml:space="preserve"> – TP_DNSName-ийн тодорхойлолт</w:t>
      </w:r>
    </w:p>
    <w:p w:rsidR="002F6308" w:rsidRDefault="002F6308" w:rsidP="002F6308">
      <w:pPr>
        <w:ind w:left="0" w:firstLine="0"/>
        <w:jc w:val="center"/>
        <w:rPr>
          <w:b/>
        </w:rPr>
      </w:pPr>
      <w:r w:rsidRPr="002F6308">
        <w:rPr>
          <w:b/>
        </w:rPr>
        <w:t>Figure 46 – Definition of tP_DNSName</w:t>
      </w:r>
    </w:p>
    <w:p w:rsidR="002F6308" w:rsidRDefault="002F6308"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2F6308" w:rsidTr="002F6308">
        <w:tc>
          <w:tcPr>
            <w:tcW w:w="4672" w:type="dxa"/>
          </w:tcPr>
          <w:p w:rsidR="002F6308" w:rsidRPr="002F6308" w:rsidRDefault="002F6308" w:rsidP="002F6308">
            <w:pPr>
              <w:ind w:left="0" w:firstLine="0"/>
              <w:rPr>
                <w:rFonts w:eastAsia="Calibri"/>
                <w:b/>
                <w:bCs/>
                <w:szCs w:val="22"/>
              </w:rPr>
            </w:pPr>
            <w:r w:rsidRPr="002F6308">
              <w:rPr>
                <w:rFonts w:eastAsia="Calibri"/>
                <w:b/>
                <w:bCs/>
                <w:szCs w:val="22"/>
              </w:rPr>
              <w:t>13.2.4.3 IEEE C37.118 IP порт тодорхойлолт (C37-118-IP-Port)</w:t>
            </w:r>
          </w:p>
          <w:p w:rsidR="002F6308" w:rsidRPr="002F6308" w:rsidRDefault="002F6308" w:rsidP="002F6308">
            <w:pPr>
              <w:ind w:left="0" w:firstLine="0"/>
              <w:rPr>
                <w:rFonts w:eastAsia="Calibri"/>
                <w:bCs/>
                <w:szCs w:val="22"/>
              </w:rPr>
            </w:pPr>
            <w:r w:rsidRPr="002F6308">
              <w:rPr>
                <w:rFonts w:eastAsia="Calibri"/>
                <w:bCs/>
                <w:szCs w:val="22"/>
              </w:rPr>
              <w:lastRenderedPageBreak/>
              <w:t>IEEE C37.118.2-ийн хэрэгжүүлэхэд заасан IP Port-ын хаяг тодорхойлогдоогүй байна.Үйлдвэрлэлийн хувьд нийтлэг практикт борлуулагч/суурилуулалт тус бүр өөрийн хүрэх газрын порт хаягуудыг зааж өгдөг.IEEE C37.118.2-ийг SCL дээр харуулах боломжтой болгохын тулд C37-118-IP-Port-ийн PType-ийг нэмж оруулав. Энэ P-Type-ийг IEEE C37.118.2-с бусад тохиргоонд ашиглахгүй.</w:t>
            </w:r>
          </w:p>
          <w:p w:rsidR="002F6308" w:rsidRPr="002F6308" w:rsidRDefault="002F6308" w:rsidP="002F6308">
            <w:pPr>
              <w:ind w:left="0" w:firstLine="0"/>
              <w:rPr>
                <w:rFonts w:eastAsia="Calibri"/>
                <w:bCs/>
                <w:szCs w:val="22"/>
              </w:rPr>
            </w:pPr>
            <w:r w:rsidRPr="002F6308">
              <w:rPr>
                <w:rFonts w:eastAsia="Calibri"/>
                <w:bCs/>
                <w:szCs w:val="22"/>
              </w:rPr>
              <w:t>SCL төрлийн тодорхойлолтыг Зураг 47-аас үзнэ үү.</w:t>
            </w:r>
          </w:p>
        </w:tc>
        <w:tc>
          <w:tcPr>
            <w:tcW w:w="4672" w:type="dxa"/>
          </w:tcPr>
          <w:p w:rsidR="002F6308" w:rsidRPr="002F6308" w:rsidRDefault="002F6308" w:rsidP="002F6308">
            <w:pPr>
              <w:ind w:left="0" w:firstLine="0"/>
              <w:rPr>
                <w:rFonts w:eastAsia="Calibri"/>
                <w:b/>
                <w:bCs/>
                <w:szCs w:val="22"/>
              </w:rPr>
            </w:pPr>
            <w:r w:rsidRPr="002F6308">
              <w:rPr>
                <w:rFonts w:eastAsia="Calibri"/>
                <w:b/>
                <w:bCs/>
                <w:szCs w:val="22"/>
              </w:rPr>
              <w:lastRenderedPageBreak/>
              <w:t>13.2.4.3  IEEE C37.118 IP port definition (C37-118-IP-Port)</w:t>
            </w:r>
          </w:p>
          <w:p w:rsidR="002F6308" w:rsidRDefault="002F6308" w:rsidP="002F6308">
            <w:pPr>
              <w:ind w:left="0" w:firstLine="0"/>
              <w:rPr>
                <w:rFonts w:eastAsia="Calibri"/>
                <w:bCs/>
                <w:szCs w:val="22"/>
              </w:rPr>
            </w:pPr>
            <w:r w:rsidRPr="002F6308">
              <w:rPr>
                <w:rFonts w:eastAsia="Calibri"/>
                <w:bCs/>
                <w:szCs w:val="22"/>
              </w:rPr>
              <w:lastRenderedPageBreak/>
              <w:t>The implementations of IEEE C37.118.2 do not have a specified IP Port address. The general practice, in the industry, has been that each vendor/installation assigns its  own destination  port addresses. In order to allow IEEE C37.118.2 to be able to be represented in SCL, the P- Type of C37-118-IP-Port has been added. This P-Type shall not be used for any configuration other than IEEE C37.118.2.</w:t>
            </w:r>
          </w:p>
          <w:p w:rsidR="002F6308" w:rsidRPr="002F6308" w:rsidRDefault="002F6308" w:rsidP="002F6308">
            <w:pPr>
              <w:ind w:left="0" w:firstLine="0"/>
              <w:rPr>
                <w:rFonts w:eastAsia="Calibri"/>
                <w:bCs/>
                <w:szCs w:val="22"/>
                <w:lang w:val="en-US"/>
              </w:rPr>
            </w:pPr>
            <w:r>
              <w:rPr>
                <w:rFonts w:eastAsia="Calibri"/>
                <w:bCs/>
                <w:szCs w:val="22"/>
                <w:lang w:val="en-US"/>
              </w:rPr>
              <w:t>The SCL type definition is found in Figure 47.</w:t>
            </w:r>
          </w:p>
          <w:p w:rsidR="002F6308" w:rsidRPr="002F6308" w:rsidRDefault="002F6308" w:rsidP="002F6308">
            <w:pPr>
              <w:ind w:left="0" w:firstLine="0"/>
              <w:rPr>
                <w:rFonts w:eastAsia="Calibri"/>
                <w:bCs/>
                <w:szCs w:val="22"/>
              </w:rPr>
            </w:pPr>
            <w:r w:rsidRPr="002F6308">
              <w:rPr>
                <w:rFonts w:eastAsia="Calibri"/>
                <w:bCs/>
                <w:szCs w:val="22"/>
              </w:rPr>
              <w:t>IANA has no defined port address for C37.118.2; only private port numbers may be used.</w:t>
            </w:r>
          </w:p>
        </w:tc>
      </w:tr>
    </w:tbl>
    <w:p w:rsidR="002F6308" w:rsidRDefault="002F6308" w:rsidP="002F6308">
      <w:pPr>
        <w:ind w:left="0" w:firstLine="0"/>
        <w:jc w:val="center"/>
        <w:rPr>
          <w:b/>
        </w:rPr>
      </w:pPr>
      <w:r>
        <w:rPr>
          <w:noProof/>
          <w:lang w:val="en-US"/>
        </w:rPr>
        <w:lastRenderedPageBreak/>
        <w:drawing>
          <wp:inline distT="0" distB="0" distL="0" distR="0" wp14:anchorId="15AD2012" wp14:editId="2DB41839">
            <wp:extent cx="5939790" cy="1647825"/>
            <wp:effectExtent l="0" t="0" r="3810"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39790" cy="1647825"/>
                    </a:xfrm>
                    <a:prstGeom prst="rect">
                      <a:avLst/>
                    </a:prstGeom>
                  </pic:spPr>
                </pic:pic>
              </a:graphicData>
            </a:graphic>
          </wp:inline>
        </w:drawing>
      </w:r>
    </w:p>
    <w:p w:rsidR="002F6308" w:rsidRDefault="002F6308" w:rsidP="002F6308">
      <w:pPr>
        <w:tabs>
          <w:tab w:val="left" w:pos="0"/>
        </w:tabs>
        <w:ind w:left="870"/>
        <w:jc w:val="center"/>
        <w:rPr>
          <w:b/>
          <w:spacing w:val="7"/>
        </w:rPr>
      </w:pPr>
      <w:r w:rsidRPr="00731F96">
        <w:rPr>
          <w:b/>
          <w:spacing w:val="4"/>
        </w:rPr>
        <w:t>47</w:t>
      </w:r>
      <w:r>
        <w:rPr>
          <w:b/>
          <w:spacing w:val="4"/>
          <w:lang w:val="en-US"/>
        </w:rPr>
        <w:t>-</w:t>
      </w:r>
      <w:r>
        <w:rPr>
          <w:b/>
          <w:spacing w:val="4"/>
        </w:rPr>
        <w:t>р зураг</w:t>
      </w:r>
      <w:r w:rsidRPr="00731F96">
        <w:rPr>
          <w:b/>
          <w:spacing w:val="4"/>
        </w:rPr>
        <w:t xml:space="preserve"> </w:t>
      </w:r>
      <w:r w:rsidRPr="00EF2D2B">
        <w:rPr>
          <w:b/>
        </w:rPr>
        <w:t>–</w:t>
      </w:r>
      <w:r>
        <w:rPr>
          <w:b/>
        </w:rPr>
        <w:t xml:space="preserve"> </w:t>
      </w:r>
      <w:r w:rsidRPr="00EF2D2B">
        <w:rPr>
          <w:b/>
          <w:spacing w:val="7"/>
        </w:rPr>
        <w:t>tp_ C37-118-IP-Portтодорхойлолт</w:t>
      </w:r>
    </w:p>
    <w:p w:rsidR="002F6308" w:rsidRPr="00D33687" w:rsidRDefault="002F6308" w:rsidP="002F6308">
      <w:pPr>
        <w:tabs>
          <w:tab w:val="left" w:pos="0"/>
        </w:tabs>
        <w:ind w:left="870"/>
        <w:jc w:val="center"/>
      </w:pPr>
      <w:r w:rsidRPr="00EF2D2B">
        <w:rPr>
          <w:b/>
          <w:spacing w:val="6"/>
        </w:rPr>
        <w:t>Figure 47 – Definition tp_ C37-118-IP-Port</w:t>
      </w:r>
    </w:p>
    <w:p w:rsidR="002F6308" w:rsidRDefault="002F6308"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2F6308" w:rsidTr="002F6308">
        <w:tc>
          <w:tcPr>
            <w:tcW w:w="4672" w:type="dxa"/>
          </w:tcPr>
          <w:p w:rsidR="003209C3" w:rsidRPr="003209C3" w:rsidRDefault="003209C3" w:rsidP="002F6308">
            <w:pPr>
              <w:ind w:left="0" w:firstLine="0"/>
              <w:rPr>
                <w:rFonts w:eastAsia="Calibri"/>
                <w:bCs/>
                <w:szCs w:val="22"/>
              </w:rPr>
            </w:pPr>
            <w:r w:rsidRPr="003209C3">
              <w:rPr>
                <w:rFonts w:eastAsia="Calibri"/>
                <w:bCs/>
                <w:szCs w:val="22"/>
              </w:rPr>
              <w:t>IANA-д C37.118.2-д зориулагдсан порт хаяг байхгүй; зөвхөн хувийн портын дугаарыг ашиглаж болно.</w:t>
            </w:r>
          </w:p>
          <w:p w:rsidR="002F6308" w:rsidRPr="002F6308" w:rsidRDefault="002F6308" w:rsidP="002F6308">
            <w:pPr>
              <w:ind w:left="0" w:firstLine="0"/>
              <w:rPr>
                <w:rFonts w:eastAsia="Calibri"/>
                <w:b/>
                <w:bCs/>
                <w:szCs w:val="22"/>
              </w:rPr>
            </w:pPr>
            <w:r w:rsidRPr="002F6308">
              <w:rPr>
                <w:rFonts w:eastAsia="Calibri"/>
                <w:b/>
                <w:bCs/>
                <w:szCs w:val="22"/>
              </w:rPr>
              <w:t>13.3 IEEE C37.118.2-ийн тохируулгыг дэмжих SCL өргөтгөлүүд</w:t>
            </w:r>
          </w:p>
          <w:p w:rsidR="002F6308" w:rsidRPr="002F6308" w:rsidRDefault="002F6308" w:rsidP="002F6308">
            <w:pPr>
              <w:ind w:left="0" w:firstLine="0"/>
              <w:rPr>
                <w:rFonts w:eastAsia="Calibri"/>
                <w:bCs/>
                <w:szCs w:val="22"/>
              </w:rPr>
            </w:pPr>
            <w:r w:rsidRPr="002F6308">
              <w:rPr>
                <w:rFonts w:eastAsia="Calibri"/>
                <w:bCs/>
                <w:szCs w:val="22"/>
              </w:rPr>
              <w:t>C37.118.2 аппликейшний түвшинг өөр өөр доод түвшний протоколуудаар дүрсэлж болно.  Энд тодорхойлсон зураглал нь TCP ба UDP-ийн зураглалаар өөрийгөө хязгаарладаг. Дараа нь нэмэлт зураглалыг нэмж болно.</w:t>
            </w:r>
          </w:p>
          <w:p w:rsidR="002F6308" w:rsidRPr="002F6308" w:rsidRDefault="002F6308" w:rsidP="002F6308">
            <w:pPr>
              <w:ind w:left="0" w:firstLine="0"/>
              <w:rPr>
                <w:rFonts w:eastAsia="Calibri"/>
                <w:bCs/>
                <w:szCs w:val="22"/>
              </w:rPr>
            </w:pPr>
            <w:r w:rsidRPr="002F6308">
              <w:rPr>
                <w:rFonts w:eastAsia="Calibri"/>
                <w:bCs/>
                <w:szCs w:val="22"/>
              </w:rPr>
              <w:t xml:space="preserve">Энэхүү зураглал нь IEC 61850 өгөгдлийн загварт зураглал боловсруулах процессыг хязгаарладаг. Тохируулгын өгөгдлийг зурагдаагүй боловч IEC 61850 загвараар солигдсон бөгөөд өөрөө SCL-ийн </w:t>
            </w:r>
            <w:r w:rsidRPr="002F6308">
              <w:rPr>
                <w:rFonts w:eastAsia="Calibri"/>
                <w:bCs/>
                <w:szCs w:val="22"/>
              </w:rPr>
              <w:lastRenderedPageBreak/>
              <w:t>тодорхойлолттой. IEC 61850-д түүвэр телеграмтай төстэй телеграмын тодорхой шинж чанараас шалтгаалан зураглалыг зөвхөн C37.118.2 телеграмын процессын өгөгдлийн утгууд дээр хийдэг. IEC 61850 өгөгдлийг тэмдэглэгдсэн аливаа цаг хугацаа нь телеграмын нийтлэг цаг хугацааны тэмдгээс цаг хугацаа, C37.118.2-т тодорхойлсоноор зохих чанарын битээс авах шаардлагатай.</w:t>
            </w:r>
          </w:p>
          <w:p w:rsidR="002F6308" w:rsidRPr="002F6308" w:rsidRDefault="002F6308" w:rsidP="002F6308">
            <w:pPr>
              <w:ind w:left="0" w:firstLine="0"/>
              <w:rPr>
                <w:rFonts w:eastAsia="Calibri"/>
                <w:bCs/>
                <w:szCs w:val="22"/>
              </w:rPr>
            </w:pPr>
            <w:r w:rsidRPr="002F6308">
              <w:rPr>
                <w:rFonts w:eastAsia="Calibri"/>
                <w:bCs/>
                <w:szCs w:val="22"/>
              </w:rPr>
              <w:t>IEC 61850 векторын өгөгдлийн зураглалыг фазуудын туйлын дүрслэлд энгийн аргаар хийж болно. Хэрэв телеграм дээрх фазын өгөгдөл тэгш өнцөгт бол, мөн IEC 61850 суурилсан хандалтын загварт хөрвүүлж, түүнийг хүлээн авагч клиент нь туйлын дүрслэл болгон хөрвүүлэх ёстой. Хэрэв зөвхөн өгөгдлийн семантикийг аппликейшинд дамжуулж байвал энэ нь шаардлагагүй, ж.нь аппликейшин тэгш өнцөгт дүрслэлийг шууд зохицуулах ёстой баSCL тайлбарыг зөвхөн семантикийг аппликейшин руу шилжүүлэхэд ашигладаг.</w:t>
            </w:r>
          </w:p>
          <w:p w:rsidR="002F6308" w:rsidRPr="002F6308" w:rsidRDefault="002F6308" w:rsidP="002F6308">
            <w:pPr>
              <w:ind w:left="0" w:firstLine="0"/>
              <w:rPr>
                <w:rFonts w:eastAsia="Calibri"/>
                <w:bCs/>
                <w:szCs w:val="22"/>
              </w:rPr>
            </w:pPr>
            <w:r w:rsidRPr="002F6308">
              <w:rPr>
                <w:rFonts w:eastAsia="Calibri"/>
                <w:bCs/>
                <w:szCs w:val="22"/>
              </w:rPr>
              <w:t>Телеграмын зураглал дээрх фазор өгөгдөл ба давтамж нь IEC 61850-ийн LN ангийн MMXU-ийн логик зангилааны өгөгдлийн объектууд руу шууд ордог. C37.118.2 телеграмд тодорхойлогдоогүй аналог ба тоон өгөгдлийг зохих өгөгдлийн төрөлд тохирсон, шаардлагатай семантикийг агуулсан аливаа IEC 61850 өгөгдлийн объектын зураглал хийх боломжтой.Утгын семантикийг баримтжуулахын тулд IEC 61850 логик зангилааны анги, өгөгдлийн объектын нэрийг сонгох хэрэгтэй.</w:t>
            </w:r>
          </w:p>
          <w:p w:rsidR="002F6308" w:rsidRPr="002F6308" w:rsidRDefault="002F6308" w:rsidP="002F6308">
            <w:pPr>
              <w:ind w:left="0" w:firstLine="0"/>
              <w:rPr>
                <w:rFonts w:eastAsia="Calibri"/>
                <w:bCs/>
                <w:szCs w:val="22"/>
              </w:rPr>
            </w:pPr>
            <w:r w:rsidRPr="002F6308">
              <w:rPr>
                <w:rFonts w:eastAsia="Calibri"/>
                <w:bCs/>
                <w:szCs w:val="22"/>
              </w:rPr>
              <w:t xml:space="preserve">Давтамжийн хурдыг тодорхойлох IEC 61850 өгөгдлийн объектыг тодорхойлох шаардлагатай. Энэ тодорхойлолтыг 15.4-өөс үзнэ үү. Үүнийг LNs PFRC, MMXU эсвэл MMXN-ийн өргөтгөлөөр </w:t>
            </w:r>
            <w:r w:rsidRPr="002F6308">
              <w:rPr>
                <w:rFonts w:eastAsia="Calibri"/>
                <w:bCs/>
                <w:szCs w:val="22"/>
              </w:rPr>
              <w:lastRenderedPageBreak/>
              <w:t>загварчилсан, ж.нь өгөгдлийн объект HzRte. Энэ нь эхний санал болгосон аргаас илүү хялбар боловч IEC 61850-7-4-д стандартчилагдсан байх шаардлагатай.</w:t>
            </w:r>
          </w:p>
          <w:p w:rsidR="002F6308" w:rsidRPr="003209C3" w:rsidRDefault="002F6308" w:rsidP="002F6308">
            <w:pPr>
              <w:ind w:left="0" w:firstLine="0"/>
              <w:rPr>
                <w:rFonts w:eastAsia="Calibri"/>
                <w:bCs/>
                <w:sz w:val="20"/>
                <w:szCs w:val="20"/>
              </w:rPr>
            </w:pPr>
            <w:r w:rsidRPr="003209C3">
              <w:rPr>
                <w:rFonts w:eastAsia="Calibri"/>
                <w:bCs/>
                <w:sz w:val="20"/>
                <w:szCs w:val="20"/>
              </w:rPr>
              <w:t>ТАЙЛБАР: Энэ хувилбар нь байршил сэлгэн залгагч хоёрлосон төлөвийн өгөгдлийн зураглалыг дэмжихгүй (IEC 61850 атрибутын төрөл Dbpos).</w:t>
            </w:r>
          </w:p>
          <w:p w:rsidR="002F6308" w:rsidRPr="003209C3" w:rsidRDefault="002F6308" w:rsidP="002F6308">
            <w:pPr>
              <w:ind w:left="0" w:firstLine="0"/>
              <w:rPr>
                <w:rFonts w:eastAsia="Calibri"/>
                <w:b/>
                <w:bCs/>
                <w:szCs w:val="22"/>
              </w:rPr>
            </w:pPr>
            <w:r w:rsidRPr="003209C3">
              <w:rPr>
                <w:rFonts w:eastAsia="Calibri"/>
                <w:b/>
                <w:bCs/>
                <w:szCs w:val="22"/>
              </w:rPr>
              <w:t>13.3.1 Үндсэн протоко</w:t>
            </w:r>
            <w:r w:rsidR="003209C3" w:rsidRPr="003209C3">
              <w:rPr>
                <w:rFonts w:eastAsia="Calibri"/>
                <w:b/>
                <w:bCs/>
                <w:szCs w:val="22"/>
              </w:rPr>
              <w:t xml:space="preserve">л </w:t>
            </w:r>
          </w:p>
          <w:p w:rsidR="002F6308" w:rsidRPr="002F6308" w:rsidRDefault="002F6308" w:rsidP="002F6308">
            <w:pPr>
              <w:ind w:left="0" w:firstLine="0"/>
              <w:rPr>
                <w:rFonts w:eastAsia="Calibri"/>
                <w:bCs/>
                <w:szCs w:val="22"/>
              </w:rPr>
            </w:pPr>
            <w:r w:rsidRPr="002F6308">
              <w:rPr>
                <w:rFonts w:eastAsia="Calibri"/>
                <w:bCs/>
                <w:szCs w:val="22"/>
              </w:rPr>
              <w:t>Энэ зураглал нь үндсэн протокол болох UDP болон TCP-ийг дэмждэг. Нэг протоколоор харилцдаг бүх IED-ууд нь энэ протоколыг тодорхойлдог SubNetwork-дтохирох хандалтын цэгүүдтэй холбогдсон байна. Энэ зорилгоор дараахь SubNetwork төрлүүдийг тодорхойлсон:</w:t>
            </w:r>
          </w:p>
        </w:tc>
        <w:tc>
          <w:tcPr>
            <w:tcW w:w="4672" w:type="dxa"/>
          </w:tcPr>
          <w:p w:rsidR="002F6308" w:rsidRDefault="002F6308" w:rsidP="002F6308">
            <w:pPr>
              <w:ind w:left="0" w:firstLine="0"/>
              <w:rPr>
                <w:rFonts w:eastAsia="Calibri"/>
                <w:bCs/>
                <w:szCs w:val="22"/>
              </w:rPr>
            </w:pPr>
            <w:r w:rsidRPr="002F6308">
              <w:rPr>
                <w:rFonts w:eastAsia="Calibri"/>
                <w:bCs/>
                <w:szCs w:val="22"/>
              </w:rPr>
              <w:lastRenderedPageBreak/>
              <w:t>IANA has no defined port address for C37.118.2; only private port numbers may be used.</w:t>
            </w:r>
          </w:p>
          <w:p w:rsidR="002F6308" w:rsidRPr="002F6308" w:rsidRDefault="002F6308" w:rsidP="002F6308">
            <w:pPr>
              <w:ind w:left="0" w:firstLine="0"/>
              <w:rPr>
                <w:rFonts w:eastAsia="Calibri"/>
                <w:b/>
                <w:bCs/>
                <w:szCs w:val="22"/>
              </w:rPr>
            </w:pPr>
            <w:r w:rsidRPr="002F6308">
              <w:rPr>
                <w:rFonts w:eastAsia="Calibri"/>
                <w:b/>
                <w:bCs/>
                <w:szCs w:val="22"/>
              </w:rPr>
              <w:t>13.3 SCL extensions to support the configuration of IEEE C37.118.</w:t>
            </w:r>
          </w:p>
          <w:p w:rsidR="002F6308" w:rsidRPr="002F6308" w:rsidRDefault="002F6308" w:rsidP="002F6308">
            <w:pPr>
              <w:ind w:left="0" w:firstLine="0"/>
              <w:rPr>
                <w:rFonts w:eastAsia="Calibri"/>
                <w:bCs/>
                <w:szCs w:val="22"/>
              </w:rPr>
            </w:pPr>
            <w:r w:rsidRPr="002F6308">
              <w:rPr>
                <w:rFonts w:eastAsia="Calibri"/>
                <w:bCs/>
                <w:szCs w:val="22"/>
              </w:rPr>
              <w:t>The C37.118.2 application level can be mapped to different lower  level protocols.  The  mapping defined here restricts itself to a mapping onto TCP  and  UDP. Further mappings might be added later.</w:t>
            </w:r>
          </w:p>
          <w:p w:rsidR="002F6308" w:rsidRPr="002F6308" w:rsidRDefault="002F6308" w:rsidP="002F6308">
            <w:pPr>
              <w:ind w:left="0" w:firstLine="0"/>
              <w:rPr>
                <w:rFonts w:eastAsia="Calibri"/>
                <w:bCs/>
                <w:szCs w:val="22"/>
              </w:rPr>
            </w:pPr>
            <w:r w:rsidRPr="002F6308">
              <w:rPr>
                <w:rFonts w:eastAsia="Calibri"/>
                <w:bCs/>
                <w:szCs w:val="22"/>
              </w:rPr>
              <w:t>This mapping restricts on mapping process data to the IEC 61850 data model. Configuration data is not mapped, but replaced by the IEC 61850 model itself respective its SCL description. Due to the specific nature of the telegrams, which  is  similar to  sampled  value telegrams in IEC 61850,</w:t>
            </w:r>
            <w:r w:rsidRPr="002F6308">
              <w:rPr>
                <w:rFonts w:eastAsia="Calibri"/>
                <w:bCs/>
                <w:szCs w:val="22"/>
              </w:rPr>
              <w:tab/>
              <w:t>the mapping is done only</w:t>
            </w:r>
            <w:r w:rsidRPr="002F6308">
              <w:rPr>
                <w:rFonts w:eastAsia="Calibri"/>
                <w:bCs/>
                <w:szCs w:val="22"/>
              </w:rPr>
              <w:lastRenderedPageBreak/>
              <w:tab/>
              <w:t>to</w:t>
            </w:r>
            <w:r w:rsidRPr="002F6308">
              <w:rPr>
                <w:rFonts w:eastAsia="Calibri"/>
                <w:bCs/>
                <w:szCs w:val="22"/>
              </w:rPr>
              <w:tab/>
              <w:t>the</w:t>
            </w:r>
            <w:r w:rsidRPr="002F6308">
              <w:rPr>
                <w:rFonts w:eastAsia="Calibri"/>
                <w:bCs/>
                <w:szCs w:val="22"/>
              </w:rPr>
              <w:tab/>
              <w:t>process data values</w:t>
            </w:r>
            <w:r w:rsidRPr="002F6308">
              <w:rPr>
                <w:rFonts w:eastAsia="Calibri"/>
                <w:bCs/>
                <w:szCs w:val="22"/>
              </w:rPr>
              <w:tab/>
              <w:t>of</w:t>
            </w:r>
            <w:r w:rsidRPr="002F6308">
              <w:rPr>
                <w:rFonts w:eastAsia="Calibri"/>
                <w:bCs/>
                <w:szCs w:val="22"/>
              </w:rPr>
              <w:tab/>
              <w:t>the C37.118.2 telegrams. Any time stamped IEC 61850 data needs to derive the time from the telegram. Any time stamped IEC 61850 data needs to derive the time from the common time stamp of the telegram and the value quality from the appropriate quality bits as described in C37.118.</w:t>
            </w:r>
          </w:p>
          <w:p w:rsidR="002F6308" w:rsidRPr="002F6308" w:rsidRDefault="002F6308" w:rsidP="002F6308">
            <w:pPr>
              <w:ind w:left="0" w:firstLine="0"/>
              <w:rPr>
                <w:rFonts w:eastAsia="Calibri"/>
                <w:bCs/>
                <w:szCs w:val="22"/>
              </w:rPr>
            </w:pPr>
            <w:r w:rsidRPr="002F6308">
              <w:rPr>
                <w:rFonts w:eastAsia="Calibri"/>
                <w:bCs/>
                <w:szCs w:val="22"/>
              </w:rPr>
              <w:t>The mapping to the IEC 61850 vector data can be naturally made for the polar representation  of phasors. If the phasor data within the telegram is rectangular, AND  it shall be converted to  an IEC 61850 based access model, it has to be converted by the receiving client to polar representation. If only the semantics of  the data shall be  communicated to  the application,  this is not necessary, i.e. the application must  then  directly handle the  rectangular representation, and the SCL description is only used to transfer the semantics to the application.</w:t>
            </w:r>
          </w:p>
          <w:p w:rsidR="002F6308" w:rsidRPr="002F6308" w:rsidRDefault="002F6308" w:rsidP="002F6308">
            <w:pPr>
              <w:ind w:left="0" w:firstLine="0"/>
              <w:rPr>
                <w:rFonts w:eastAsia="Calibri"/>
                <w:bCs/>
                <w:szCs w:val="22"/>
              </w:rPr>
            </w:pPr>
            <w:r w:rsidRPr="002F6308">
              <w:rPr>
                <w:rFonts w:eastAsia="Calibri"/>
                <w:bCs/>
                <w:szCs w:val="22"/>
              </w:rPr>
              <w:t>The phasor data and the frequency contained in the telegram map directly to data objects of a logical node of LN class MMXU within IEC 61850. The unspecified analog and digital data in a C37.118.2 telegram can be mapped to any IEC 61850 data object fitting to the appropriate  data type and carrying the  needed semantic. The appropriate IEC 61850 logical node class and data object name has to be chosen to document the semantics of the value.</w:t>
            </w:r>
          </w:p>
          <w:p w:rsidR="002F6308" w:rsidRPr="002F6308" w:rsidRDefault="002F6308" w:rsidP="002F6308">
            <w:pPr>
              <w:ind w:left="0" w:firstLine="0"/>
              <w:rPr>
                <w:rFonts w:eastAsia="Calibri"/>
                <w:bCs/>
                <w:szCs w:val="22"/>
              </w:rPr>
            </w:pPr>
            <w:r w:rsidRPr="002F6308">
              <w:rPr>
                <w:rFonts w:eastAsia="Calibri"/>
                <w:bCs/>
                <w:szCs w:val="22"/>
              </w:rPr>
              <w:t xml:space="preserve">The IEC 61850 data object for rate of frequency needs to be defined. This definition is  found  in </w:t>
            </w:r>
            <w:hyperlink w:anchor="_bookmark83" w:history="1">
              <w:r w:rsidRPr="002F6308">
                <w:rPr>
                  <w:rFonts w:eastAsia="Calibri"/>
                  <w:bCs/>
                  <w:szCs w:val="22"/>
                </w:rPr>
                <w:t>15.4.</w:t>
              </w:r>
            </w:hyperlink>
            <w:r w:rsidRPr="002F6308">
              <w:rPr>
                <w:rFonts w:eastAsia="Calibri"/>
                <w:bCs/>
                <w:szCs w:val="22"/>
              </w:rPr>
              <w:t xml:space="preserve"> It is modelled by an extension of  the LNs PFRC, MMXU or  MMXN e.g. by a  data  object HzRte. This is simpler to use than the first recommended method, however needs to be standardized in IEC 61850-7-4.</w:t>
            </w:r>
          </w:p>
          <w:p w:rsidR="002F6308" w:rsidRPr="003209C3" w:rsidRDefault="002F6308" w:rsidP="002F6308">
            <w:pPr>
              <w:ind w:left="0" w:firstLine="0"/>
              <w:rPr>
                <w:rFonts w:eastAsia="Calibri"/>
                <w:bCs/>
                <w:sz w:val="20"/>
                <w:szCs w:val="20"/>
              </w:rPr>
            </w:pPr>
            <w:r w:rsidRPr="003209C3">
              <w:rPr>
                <w:rFonts w:eastAsia="Calibri"/>
                <w:bCs/>
                <w:sz w:val="20"/>
                <w:szCs w:val="20"/>
              </w:rPr>
              <w:lastRenderedPageBreak/>
              <w:t>NOTE This  version does  not  support  the mapping of  binary  status data to switch positions (IEC 61850 attribute  type Dbpos).</w:t>
            </w:r>
          </w:p>
          <w:p w:rsidR="002F6308" w:rsidRPr="003209C3" w:rsidRDefault="002F6308" w:rsidP="002F6308">
            <w:pPr>
              <w:ind w:left="0" w:firstLine="0"/>
              <w:rPr>
                <w:rFonts w:eastAsia="Calibri"/>
                <w:b/>
                <w:bCs/>
                <w:szCs w:val="22"/>
              </w:rPr>
            </w:pPr>
            <w:bookmarkStart w:id="69" w:name="13.3.1_The_underlying_protocol"/>
            <w:bookmarkEnd w:id="69"/>
            <w:r w:rsidRPr="003209C3">
              <w:rPr>
                <w:rFonts w:eastAsia="Calibri"/>
                <w:b/>
                <w:bCs/>
                <w:szCs w:val="22"/>
              </w:rPr>
              <w:t>13.3.1 The underlying protocol</w:t>
            </w:r>
          </w:p>
          <w:p w:rsidR="002F6308" w:rsidRPr="002F6308" w:rsidRDefault="002F6308" w:rsidP="002F6308">
            <w:pPr>
              <w:ind w:left="0" w:firstLine="0"/>
              <w:rPr>
                <w:rFonts w:eastAsia="Calibri"/>
                <w:bCs/>
                <w:szCs w:val="22"/>
              </w:rPr>
            </w:pPr>
            <w:r w:rsidRPr="002F6308">
              <w:rPr>
                <w:rFonts w:eastAsia="Calibri"/>
                <w:bCs/>
                <w:szCs w:val="22"/>
              </w:rPr>
              <w:t>This mapping supports UDP and TCP as underlying protocol. All IEDs communicating with the same protocol are connected with their appropriate access point to a  SubNetwork  defining  this protocol. The following SubNetwork types are defined for this purpose:</w:t>
            </w:r>
          </w:p>
          <w:p w:rsidR="002F6308" w:rsidRPr="002F6308" w:rsidRDefault="002F6308" w:rsidP="002F6308">
            <w:pPr>
              <w:ind w:left="0" w:firstLine="0"/>
              <w:rPr>
                <w:rFonts w:eastAsia="Calibri"/>
                <w:bCs/>
                <w:szCs w:val="22"/>
              </w:rPr>
            </w:pPr>
          </w:p>
        </w:tc>
      </w:tr>
    </w:tbl>
    <w:p w:rsidR="002F6308" w:rsidRDefault="002F6308" w:rsidP="00CD1812">
      <w:pPr>
        <w:ind w:left="0" w:firstLine="0"/>
        <w:jc w:val="center"/>
        <w:rPr>
          <w:b/>
        </w:rPr>
      </w:pPr>
    </w:p>
    <w:tbl>
      <w:tblPr>
        <w:tblStyle w:val="TableGrid"/>
        <w:tblW w:w="0" w:type="auto"/>
        <w:tblLook w:val="04A0" w:firstRow="1" w:lastRow="0" w:firstColumn="1" w:lastColumn="0" w:noHBand="0" w:noVBand="1"/>
      </w:tblPr>
      <w:tblGrid>
        <w:gridCol w:w="3114"/>
        <w:gridCol w:w="3115"/>
        <w:gridCol w:w="3115"/>
      </w:tblGrid>
      <w:tr w:rsidR="003209C3" w:rsidTr="003209C3">
        <w:tc>
          <w:tcPr>
            <w:tcW w:w="3114" w:type="dxa"/>
          </w:tcPr>
          <w:p w:rsidR="003209C3" w:rsidRPr="00EF2D2B" w:rsidRDefault="003209C3" w:rsidP="003209C3">
            <w:pPr>
              <w:pStyle w:val="TableParagraph"/>
              <w:tabs>
                <w:tab w:val="left" w:pos="0"/>
              </w:tabs>
              <w:spacing w:before="53" w:line="276" w:lineRule="auto"/>
              <w:ind w:left="945"/>
              <w:rPr>
                <w:b/>
                <w:sz w:val="20"/>
                <w:szCs w:val="20"/>
                <w:lang w:val="mn-MN"/>
              </w:rPr>
            </w:pPr>
            <w:r w:rsidRPr="00EF2D2B">
              <w:rPr>
                <w:b/>
                <w:sz w:val="20"/>
                <w:szCs w:val="20"/>
                <w:lang w:val="mn-MN"/>
              </w:rPr>
              <w:t>Протоколын төрөл</w:t>
            </w:r>
          </w:p>
        </w:tc>
        <w:tc>
          <w:tcPr>
            <w:tcW w:w="3115" w:type="dxa"/>
          </w:tcPr>
          <w:p w:rsidR="003209C3" w:rsidRPr="00731F96" w:rsidRDefault="003209C3" w:rsidP="003209C3">
            <w:pPr>
              <w:pStyle w:val="TableParagraph"/>
              <w:tabs>
                <w:tab w:val="left" w:pos="0"/>
              </w:tabs>
              <w:spacing w:before="53" w:line="276" w:lineRule="auto"/>
              <w:ind w:left="662"/>
              <w:rPr>
                <w:b/>
                <w:sz w:val="20"/>
                <w:szCs w:val="20"/>
                <w:lang w:val="mn-MN"/>
              </w:rPr>
            </w:pPr>
            <w:r w:rsidRPr="00731F96">
              <w:rPr>
                <w:b/>
                <w:sz w:val="20"/>
                <w:szCs w:val="20"/>
                <w:lang w:val="mn-MN"/>
              </w:rPr>
              <w:t>Хаягийн параметрүүд</w:t>
            </w:r>
          </w:p>
        </w:tc>
        <w:tc>
          <w:tcPr>
            <w:tcW w:w="3115" w:type="dxa"/>
          </w:tcPr>
          <w:p w:rsidR="003209C3" w:rsidRPr="00EF2D2B" w:rsidRDefault="003209C3" w:rsidP="003209C3">
            <w:pPr>
              <w:pStyle w:val="TableParagraph"/>
              <w:tabs>
                <w:tab w:val="left" w:pos="0"/>
              </w:tabs>
              <w:spacing w:before="53" w:line="276" w:lineRule="auto"/>
              <w:ind w:left="778" w:right="993"/>
              <w:jc w:val="center"/>
              <w:rPr>
                <w:b/>
                <w:sz w:val="20"/>
                <w:szCs w:val="20"/>
                <w:lang w:val="mn-MN"/>
              </w:rPr>
            </w:pPr>
            <w:r w:rsidRPr="00EF2D2B">
              <w:rPr>
                <w:b/>
                <w:sz w:val="20"/>
                <w:szCs w:val="20"/>
                <w:lang w:val="mn-MN"/>
              </w:rPr>
              <w:t>Тэмдэглэл</w:t>
            </w:r>
          </w:p>
        </w:tc>
      </w:tr>
      <w:tr w:rsidR="003209C3" w:rsidTr="003209C3">
        <w:tc>
          <w:tcPr>
            <w:tcW w:w="3114" w:type="dxa"/>
          </w:tcPr>
          <w:p w:rsidR="003209C3" w:rsidRPr="00EF2D2B" w:rsidRDefault="003209C3" w:rsidP="003209C3">
            <w:pPr>
              <w:pStyle w:val="TableParagraph"/>
              <w:tabs>
                <w:tab w:val="left" w:pos="0"/>
              </w:tabs>
              <w:spacing w:before="58" w:line="276" w:lineRule="auto"/>
              <w:rPr>
                <w:sz w:val="20"/>
                <w:szCs w:val="20"/>
                <w:lang w:val="mn-MN"/>
              </w:rPr>
            </w:pPr>
            <w:r w:rsidRPr="00EF2D2B">
              <w:rPr>
                <w:sz w:val="20"/>
                <w:szCs w:val="20"/>
                <w:lang w:val="mn-MN"/>
              </w:rPr>
              <w:t>C37-118-UDP</w:t>
            </w:r>
          </w:p>
        </w:tc>
        <w:tc>
          <w:tcPr>
            <w:tcW w:w="3115" w:type="dxa"/>
          </w:tcPr>
          <w:p w:rsidR="003209C3" w:rsidRPr="00731F96" w:rsidRDefault="003209C3" w:rsidP="003209C3">
            <w:pPr>
              <w:pStyle w:val="TableParagraph"/>
              <w:tabs>
                <w:tab w:val="left" w:pos="0"/>
              </w:tabs>
              <w:spacing w:before="58" w:line="276" w:lineRule="auto"/>
              <w:rPr>
                <w:sz w:val="20"/>
                <w:szCs w:val="20"/>
                <w:lang w:val="mn-MN"/>
              </w:rPr>
            </w:pPr>
            <w:r w:rsidRPr="00731F96">
              <w:rPr>
                <w:sz w:val="20"/>
                <w:szCs w:val="20"/>
                <w:lang w:val="mn-MN"/>
              </w:rPr>
              <w:t>IP, IP-SUBNET, IP-GATEWAY, C37-118-IP-Port</w:t>
            </w:r>
          </w:p>
        </w:tc>
        <w:tc>
          <w:tcPr>
            <w:tcW w:w="3115" w:type="dxa"/>
          </w:tcPr>
          <w:p w:rsidR="003209C3" w:rsidRPr="00EF2D2B" w:rsidRDefault="003209C3" w:rsidP="003209C3">
            <w:pPr>
              <w:pStyle w:val="TableParagraph"/>
              <w:tabs>
                <w:tab w:val="left" w:pos="0"/>
              </w:tabs>
              <w:spacing w:before="10" w:line="276" w:lineRule="auto"/>
              <w:rPr>
                <w:sz w:val="20"/>
                <w:szCs w:val="20"/>
                <w:lang w:val="mn-MN"/>
              </w:rPr>
            </w:pPr>
            <w:r w:rsidRPr="00EF2D2B">
              <w:rPr>
                <w:sz w:val="20"/>
                <w:szCs w:val="20"/>
                <w:lang w:val="mn-MN"/>
              </w:rPr>
              <w:t xml:space="preserve">GOOSE ба SV хаягууд зөвшөөрөгдөөгүй, IP хаяг нь multicast хаяг байж болно </w:t>
            </w:r>
          </w:p>
          <w:p w:rsidR="003209C3" w:rsidRPr="00EF2D2B" w:rsidRDefault="003209C3" w:rsidP="003209C3">
            <w:pPr>
              <w:pStyle w:val="TableParagraph"/>
              <w:tabs>
                <w:tab w:val="left" w:pos="0"/>
              </w:tabs>
              <w:spacing w:before="10" w:line="276" w:lineRule="auto"/>
              <w:ind w:left="148"/>
              <w:rPr>
                <w:sz w:val="20"/>
                <w:szCs w:val="20"/>
                <w:lang w:val="mn-MN"/>
              </w:rPr>
            </w:pPr>
          </w:p>
          <w:p w:rsidR="003209C3" w:rsidRPr="00EF2D2B" w:rsidRDefault="003209C3" w:rsidP="003209C3">
            <w:pPr>
              <w:pStyle w:val="TableParagraph"/>
              <w:tabs>
                <w:tab w:val="left" w:pos="0"/>
              </w:tabs>
              <w:spacing w:before="1" w:line="276" w:lineRule="auto"/>
              <w:rPr>
                <w:sz w:val="20"/>
                <w:szCs w:val="20"/>
                <w:lang w:val="mn-MN"/>
              </w:rPr>
            </w:pPr>
            <w:r w:rsidRPr="00EF2D2B">
              <w:rPr>
                <w:spacing w:val="4"/>
                <w:sz w:val="20"/>
                <w:szCs w:val="20"/>
                <w:lang w:val="mn-MN"/>
              </w:rPr>
              <w:t>C37-118-IP-Port-ийн тодорхойлолтыг 13.2.4.3-аас үзнэ үү.</w:t>
            </w:r>
          </w:p>
        </w:tc>
      </w:tr>
      <w:tr w:rsidR="003209C3" w:rsidTr="003209C3">
        <w:tc>
          <w:tcPr>
            <w:tcW w:w="3114" w:type="dxa"/>
          </w:tcPr>
          <w:p w:rsidR="003209C3" w:rsidRPr="00EF2D2B" w:rsidRDefault="003209C3" w:rsidP="003209C3">
            <w:pPr>
              <w:pStyle w:val="TableParagraph"/>
              <w:tabs>
                <w:tab w:val="left" w:pos="0"/>
              </w:tabs>
              <w:spacing w:line="276" w:lineRule="auto"/>
              <w:rPr>
                <w:sz w:val="20"/>
                <w:szCs w:val="20"/>
                <w:lang w:val="mn-MN"/>
              </w:rPr>
            </w:pPr>
            <w:r w:rsidRPr="00EF2D2B">
              <w:rPr>
                <w:sz w:val="20"/>
                <w:szCs w:val="20"/>
                <w:lang w:val="mn-MN"/>
              </w:rPr>
              <w:t>C37-118-TCP</w:t>
            </w:r>
          </w:p>
        </w:tc>
        <w:tc>
          <w:tcPr>
            <w:tcW w:w="3115" w:type="dxa"/>
          </w:tcPr>
          <w:p w:rsidR="003209C3" w:rsidRPr="00EF2D2B" w:rsidRDefault="003209C3" w:rsidP="003209C3">
            <w:pPr>
              <w:pStyle w:val="TableParagraph"/>
              <w:tabs>
                <w:tab w:val="left" w:pos="0"/>
              </w:tabs>
              <w:spacing w:before="58" w:line="276" w:lineRule="auto"/>
              <w:rPr>
                <w:sz w:val="20"/>
                <w:szCs w:val="20"/>
                <w:lang w:val="mn-MN"/>
              </w:rPr>
            </w:pPr>
            <w:r w:rsidRPr="00731F96">
              <w:rPr>
                <w:sz w:val="20"/>
                <w:szCs w:val="20"/>
                <w:lang w:val="mn-MN"/>
              </w:rPr>
              <w:t>IP, IP-SUBNET,</w:t>
            </w:r>
            <w:r w:rsidRPr="00EF2D2B">
              <w:rPr>
                <w:sz w:val="20"/>
                <w:szCs w:val="20"/>
                <w:lang w:val="mn-MN"/>
              </w:rPr>
              <w:t xml:space="preserve"> IP-GATEWAY</w:t>
            </w:r>
          </w:p>
        </w:tc>
        <w:tc>
          <w:tcPr>
            <w:tcW w:w="3115" w:type="dxa"/>
          </w:tcPr>
          <w:p w:rsidR="003209C3" w:rsidRPr="00EF2D2B" w:rsidRDefault="003209C3" w:rsidP="003209C3">
            <w:pPr>
              <w:pStyle w:val="TableParagraph"/>
              <w:tabs>
                <w:tab w:val="left" w:pos="0"/>
              </w:tabs>
              <w:spacing w:line="276" w:lineRule="auto"/>
              <w:ind w:right="180"/>
              <w:rPr>
                <w:sz w:val="20"/>
                <w:szCs w:val="20"/>
                <w:lang w:val="mn-MN"/>
              </w:rPr>
            </w:pPr>
            <w:r w:rsidRPr="00EF2D2B">
              <w:rPr>
                <w:sz w:val="20"/>
                <w:szCs w:val="20"/>
                <w:lang w:val="mn-MN"/>
              </w:rPr>
              <w:t>GOOSE ба SV хаягууд зөвшөөрөгдөөгүй</w:t>
            </w:r>
          </w:p>
        </w:tc>
      </w:tr>
    </w:tbl>
    <w:p w:rsidR="003209C3" w:rsidRDefault="003209C3" w:rsidP="00CD1812">
      <w:pPr>
        <w:ind w:left="0" w:firstLine="0"/>
        <w:jc w:val="center"/>
        <w:rPr>
          <w:b/>
        </w:rPr>
      </w:pPr>
    </w:p>
    <w:tbl>
      <w:tblPr>
        <w:tblStyle w:val="TableGrid"/>
        <w:tblW w:w="0" w:type="auto"/>
        <w:tblLook w:val="04A0" w:firstRow="1" w:lastRow="0" w:firstColumn="1" w:lastColumn="0" w:noHBand="0" w:noVBand="1"/>
      </w:tblPr>
      <w:tblGrid>
        <w:gridCol w:w="2908"/>
        <w:gridCol w:w="3076"/>
        <w:gridCol w:w="3360"/>
      </w:tblGrid>
      <w:tr w:rsidR="003209C3" w:rsidRPr="00EF2D2B" w:rsidTr="003209C3">
        <w:tc>
          <w:tcPr>
            <w:tcW w:w="2908" w:type="dxa"/>
          </w:tcPr>
          <w:p w:rsidR="003209C3" w:rsidRPr="00EF2D2B" w:rsidRDefault="003209C3" w:rsidP="003209C3">
            <w:pPr>
              <w:pStyle w:val="TableParagraph"/>
              <w:tabs>
                <w:tab w:val="left" w:pos="0"/>
              </w:tabs>
              <w:spacing w:before="53" w:line="276" w:lineRule="auto"/>
              <w:ind w:left="945"/>
              <w:rPr>
                <w:b/>
                <w:sz w:val="20"/>
                <w:szCs w:val="20"/>
                <w:lang w:val="mn-MN"/>
              </w:rPr>
            </w:pPr>
            <w:r w:rsidRPr="00EF2D2B">
              <w:rPr>
                <w:b/>
                <w:sz w:val="20"/>
                <w:szCs w:val="20"/>
                <w:lang w:val="mn-MN"/>
              </w:rPr>
              <w:t>Protocol type</w:t>
            </w:r>
          </w:p>
        </w:tc>
        <w:tc>
          <w:tcPr>
            <w:tcW w:w="3076" w:type="dxa"/>
          </w:tcPr>
          <w:p w:rsidR="003209C3" w:rsidRPr="00731F96" w:rsidRDefault="003209C3" w:rsidP="003209C3">
            <w:pPr>
              <w:pStyle w:val="TableParagraph"/>
              <w:tabs>
                <w:tab w:val="left" w:pos="0"/>
              </w:tabs>
              <w:spacing w:before="53" w:line="276" w:lineRule="auto"/>
              <w:ind w:left="662"/>
              <w:rPr>
                <w:b/>
                <w:sz w:val="20"/>
                <w:szCs w:val="20"/>
                <w:lang w:val="mn-MN"/>
              </w:rPr>
            </w:pPr>
            <w:r w:rsidRPr="00731F96">
              <w:rPr>
                <w:b/>
                <w:sz w:val="20"/>
                <w:szCs w:val="20"/>
                <w:lang w:val="mn-MN"/>
              </w:rPr>
              <w:t>Address parameters</w:t>
            </w:r>
          </w:p>
        </w:tc>
        <w:tc>
          <w:tcPr>
            <w:tcW w:w="3360" w:type="dxa"/>
          </w:tcPr>
          <w:p w:rsidR="003209C3" w:rsidRPr="00EF2D2B" w:rsidRDefault="003209C3" w:rsidP="003209C3">
            <w:pPr>
              <w:pStyle w:val="TableParagraph"/>
              <w:tabs>
                <w:tab w:val="left" w:pos="0"/>
              </w:tabs>
              <w:spacing w:before="53" w:line="276" w:lineRule="auto"/>
              <w:ind w:left="1149" w:right="1149"/>
              <w:jc w:val="center"/>
              <w:rPr>
                <w:b/>
                <w:sz w:val="20"/>
                <w:szCs w:val="20"/>
                <w:lang w:val="mn-MN"/>
              </w:rPr>
            </w:pPr>
            <w:r w:rsidRPr="00EF2D2B">
              <w:rPr>
                <w:b/>
                <w:sz w:val="20"/>
                <w:szCs w:val="20"/>
                <w:lang w:val="mn-MN"/>
              </w:rPr>
              <w:t>Remarks</w:t>
            </w:r>
          </w:p>
        </w:tc>
      </w:tr>
      <w:tr w:rsidR="003209C3" w:rsidRPr="00EF2D2B" w:rsidTr="003209C3">
        <w:tc>
          <w:tcPr>
            <w:tcW w:w="2908" w:type="dxa"/>
          </w:tcPr>
          <w:p w:rsidR="003209C3" w:rsidRPr="00EF2D2B" w:rsidRDefault="003209C3" w:rsidP="003209C3">
            <w:pPr>
              <w:pStyle w:val="TableParagraph"/>
              <w:tabs>
                <w:tab w:val="left" w:pos="0"/>
              </w:tabs>
              <w:spacing w:before="58" w:line="276" w:lineRule="auto"/>
              <w:ind w:left="105"/>
              <w:rPr>
                <w:sz w:val="20"/>
                <w:szCs w:val="20"/>
                <w:lang w:val="mn-MN"/>
              </w:rPr>
            </w:pPr>
            <w:r w:rsidRPr="00EF2D2B">
              <w:rPr>
                <w:sz w:val="20"/>
                <w:szCs w:val="20"/>
                <w:lang w:val="mn-MN"/>
              </w:rPr>
              <w:t>C37-118-UDP</w:t>
            </w:r>
          </w:p>
        </w:tc>
        <w:tc>
          <w:tcPr>
            <w:tcW w:w="3076" w:type="dxa"/>
          </w:tcPr>
          <w:p w:rsidR="003209C3" w:rsidRPr="00731F96" w:rsidRDefault="003209C3" w:rsidP="003209C3">
            <w:pPr>
              <w:pStyle w:val="TableParagraph"/>
              <w:tabs>
                <w:tab w:val="left" w:pos="0"/>
              </w:tabs>
              <w:spacing w:before="58" w:line="276" w:lineRule="auto"/>
              <w:rPr>
                <w:sz w:val="20"/>
                <w:szCs w:val="20"/>
                <w:lang w:val="mn-MN"/>
              </w:rPr>
            </w:pPr>
            <w:r w:rsidRPr="00731F96">
              <w:rPr>
                <w:sz w:val="20"/>
                <w:szCs w:val="20"/>
                <w:lang w:val="mn-MN"/>
              </w:rPr>
              <w:t>IP, IP-SUBNET, IP-GATEWAY, C37-118-IP-Port</w:t>
            </w:r>
          </w:p>
        </w:tc>
        <w:tc>
          <w:tcPr>
            <w:tcW w:w="3360" w:type="dxa"/>
          </w:tcPr>
          <w:p w:rsidR="003209C3" w:rsidRPr="00EF2D2B" w:rsidRDefault="003209C3" w:rsidP="003209C3">
            <w:pPr>
              <w:pStyle w:val="TableParagraph"/>
              <w:tabs>
                <w:tab w:val="left" w:pos="0"/>
              </w:tabs>
              <w:spacing w:before="58" w:line="276" w:lineRule="auto"/>
              <w:rPr>
                <w:sz w:val="20"/>
                <w:szCs w:val="20"/>
                <w:lang w:val="mn-MN"/>
              </w:rPr>
            </w:pPr>
            <w:r w:rsidRPr="00EF2D2B">
              <w:rPr>
                <w:sz w:val="20"/>
                <w:szCs w:val="20"/>
                <w:lang w:val="mn-MN"/>
              </w:rPr>
              <w:t>GOOSE and SV addresses not</w:t>
            </w:r>
          </w:p>
          <w:p w:rsidR="003209C3" w:rsidRPr="00EF2D2B" w:rsidRDefault="003209C3" w:rsidP="003209C3">
            <w:pPr>
              <w:pStyle w:val="TableParagraph"/>
              <w:tabs>
                <w:tab w:val="left" w:pos="0"/>
              </w:tabs>
              <w:spacing w:before="0" w:line="276" w:lineRule="auto"/>
              <w:rPr>
                <w:sz w:val="20"/>
                <w:szCs w:val="20"/>
                <w:lang w:val="mn-MN"/>
              </w:rPr>
            </w:pPr>
            <w:r w:rsidRPr="00EF2D2B">
              <w:rPr>
                <w:spacing w:val="5"/>
                <w:sz w:val="20"/>
                <w:szCs w:val="20"/>
                <w:lang w:val="mn-MN"/>
              </w:rPr>
              <w:t xml:space="preserve">allowed, the </w:t>
            </w:r>
            <w:r w:rsidRPr="00EF2D2B">
              <w:rPr>
                <w:spacing w:val="4"/>
                <w:sz w:val="20"/>
                <w:szCs w:val="20"/>
                <w:lang w:val="mn-MN"/>
              </w:rPr>
              <w:t xml:space="preserve">IP </w:t>
            </w:r>
            <w:r w:rsidRPr="00EF2D2B">
              <w:rPr>
                <w:spacing w:val="5"/>
                <w:sz w:val="20"/>
                <w:szCs w:val="20"/>
                <w:lang w:val="mn-MN"/>
              </w:rPr>
              <w:t xml:space="preserve">address </w:t>
            </w:r>
            <w:r w:rsidRPr="00EF2D2B">
              <w:rPr>
                <w:spacing w:val="4"/>
                <w:sz w:val="20"/>
                <w:szCs w:val="20"/>
                <w:lang w:val="mn-MN"/>
              </w:rPr>
              <w:t xml:space="preserve">can be </w:t>
            </w:r>
            <w:r w:rsidRPr="00EF2D2B">
              <w:rPr>
                <w:sz w:val="20"/>
                <w:szCs w:val="20"/>
                <w:lang w:val="mn-MN"/>
              </w:rPr>
              <w:t xml:space="preserve">a </w:t>
            </w:r>
            <w:r w:rsidRPr="00EF2D2B">
              <w:rPr>
                <w:spacing w:val="6"/>
                <w:sz w:val="20"/>
                <w:szCs w:val="20"/>
                <w:lang w:val="mn-MN"/>
              </w:rPr>
              <w:t>multicast</w:t>
            </w:r>
            <w:r w:rsidRPr="00EF2D2B">
              <w:rPr>
                <w:spacing w:val="16"/>
                <w:sz w:val="20"/>
                <w:szCs w:val="20"/>
                <w:lang w:val="mn-MN"/>
              </w:rPr>
              <w:t xml:space="preserve"> </w:t>
            </w:r>
            <w:r w:rsidRPr="00EF2D2B">
              <w:rPr>
                <w:spacing w:val="5"/>
                <w:sz w:val="20"/>
                <w:szCs w:val="20"/>
                <w:lang w:val="mn-MN"/>
              </w:rPr>
              <w:t>address</w:t>
            </w:r>
          </w:p>
          <w:p w:rsidR="003209C3" w:rsidRPr="00EF2D2B" w:rsidRDefault="003209C3" w:rsidP="003209C3">
            <w:pPr>
              <w:pStyle w:val="TableParagraph"/>
              <w:tabs>
                <w:tab w:val="left" w:pos="0"/>
              </w:tabs>
              <w:spacing w:before="1" w:line="276" w:lineRule="auto"/>
              <w:rPr>
                <w:sz w:val="20"/>
                <w:szCs w:val="20"/>
                <w:lang w:val="mn-MN"/>
              </w:rPr>
            </w:pPr>
            <w:r w:rsidRPr="00EF2D2B">
              <w:rPr>
                <w:spacing w:val="4"/>
                <w:sz w:val="20"/>
                <w:szCs w:val="20"/>
                <w:lang w:val="mn-MN"/>
              </w:rPr>
              <w:t xml:space="preserve">The </w:t>
            </w:r>
            <w:r w:rsidRPr="00EF2D2B">
              <w:rPr>
                <w:spacing w:val="6"/>
                <w:sz w:val="20"/>
                <w:szCs w:val="20"/>
                <w:lang w:val="mn-MN"/>
              </w:rPr>
              <w:t xml:space="preserve">definition </w:t>
            </w:r>
            <w:r w:rsidRPr="00EF2D2B">
              <w:rPr>
                <w:spacing w:val="3"/>
                <w:sz w:val="20"/>
                <w:szCs w:val="20"/>
                <w:lang w:val="mn-MN"/>
              </w:rPr>
              <w:t xml:space="preserve">of </w:t>
            </w:r>
            <w:r w:rsidRPr="00EF2D2B">
              <w:rPr>
                <w:spacing w:val="6"/>
                <w:sz w:val="20"/>
                <w:szCs w:val="20"/>
                <w:lang w:val="mn-MN"/>
              </w:rPr>
              <w:t xml:space="preserve">C37-118-IP-Port </w:t>
            </w:r>
            <w:r w:rsidRPr="00EF2D2B">
              <w:rPr>
                <w:spacing w:val="3"/>
                <w:sz w:val="20"/>
                <w:szCs w:val="20"/>
                <w:lang w:val="mn-MN"/>
              </w:rPr>
              <w:t xml:space="preserve">is </w:t>
            </w:r>
            <w:r w:rsidRPr="00EF2D2B">
              <w:rPr>
                <w:spacing w:val="5"/>
                <w:sz w:val="20"/>
                <w:szCs w:val="20"/>
                <w:lang w:val="mn-MN"/>
              </w:rPr>
              <w:t xml:space="preserve">found </w:t>
            </w:r>
            <w:r w:rsidRPr="00EF2D2B">
              <w:rPr>
                <w:spacing w:val="3"/>
                <w:sz w:val="20"/>
                <w:szCs w:val="20"/>
                <w:lang w:val="mn-MN"/>
              </w:rPr>
              <w:t>in</w:t>
            </w:r>
            <w:r w:rsidRPr="00EF2D2B">
              <w:rPr>
                <w:spacing w:val="24"/>
                <w:sz w:val="20"/>
                <w:szCs w:val="20"/>
                <w:lang w:val="mn-MN"/>
              </w:rPr>
              <w:t xml:space="preserve"> </w:t>
            </w:r>
            <w:hyperlink w:anchor="_bookmark81" w:history="1">
              <w:r w:rsidRPr="00EF2D2B">
                <w:rPr>
                  <w:spacing w:val="6"/>
                  <w:sz w:val="20"/>
                  <w:szCs w:val="20"/>
                  <w:lang w:val="mn-MN"/>
                </w:rPr>
                <w:t>13.2.4.3.</w:t>
              </w:r>
            </w:hyperlink>
          </w:p>
        </w:tc>
      </w:tr>
      <w:tr w:rsidR="003209C3" w:rsidRPr="00EF2D2B" w:rsidTr="003209C3">
        <w:tc>
          <w:tcPr>
            <w:tcW w:w="2908" w:type="dxa"/>
          </w:tcPr>
          <w:p w:rsidR="003209C3" w:rsidRPr="00EF2D2B" w:rsidRDefault="003209C3" w:rsidP="003209C3">
            <w:pPr>
              <w:pStyle w:val="TableParagraph"/>
              <w:tabs>
                <w:tab w:val="left" w:pos="0"/>
              </w:tabs>
              <w:spacing w:line="276" w:lineRule="auto"/>
              <w:ind w:left="105"/>
              <w:rPr>
                <w:sz w:val="20"/>
                <w:szCs w:val="20"/>
                <w:lang w:val="mn-MN"/>
              </w:rPr>
            </w:pPr>
            <w:r w:rsidRPr="00EF2D2B">
              <w:rPr>
                <w:sz w:val="20"/>
                <w:szCs w:val="20"/>
                <w:lang w:val="mn-MN"/>
              </w:rPr>
              <w:t>C37-118-TCP</w:t>
            </w:r>
          </w:p>
        </w:tc>
        <w:tc>
          <w:tcPr>
            <w:tcW w:w="3076" w:type="dxa"/>
          </w:tcPr>
          <w:p w:rsidR="003209C3" w:rsidRPr="00731F96" w:rsidRDefault="003209C3" w:rsidP="003209C3">
            <w:pPr>
              <w:pStyle w:val="TableParagraph"/>
              <w:tabs>
                <w:tab w:val="left" w:pos="0"/>
              </w:tabs>
              <w:spacing w:before="58" w:line="276" w:lineRule="auto"/>
              <w:rPr>
                <w:sz w:val="20"/>
                <w:szCs w:val="20"/>
                <w:lang w:val="mn-MN"/>
              </w:rPr>
            </w:pPr>
            <w:r w:rsidRPr="00731F96">
              <w:rPr>
                <w:sz w:val="20"/>
                <w:szCs w:val="20"/>
                <w:lang w:val="mn-MN"/>
              </w:rPr>
              <w:t>IP, IP-SUBNET, IP-GATEWAY</w:t>
            </w:r>
          </w:p>
        </w:tc>
        <w:tc>
          <w:tcPr>
            <w:tcW w:w="3360" w:type="dxa"/>
          </w:tcPr>
          <w:p w:rsidR="003209C3" w:rsidRPr="00EF2D2B" w:rsidRDefault="003209C3" w:rsidP="003209C3">
            <w:pPr>
              <w:pStyle w:val="TableParagraph"/>
              <w:tabs>
                <w:tab w:val="left" w:pos="0"/>
              </w:tabs>
              <w:spacing w:line="276" w:lineRule="auto"/>
              <w:ind w:right="180"/>
              <w:rPr>
                <w:sz w:val="20"/>
                <w:szCs w:val="20"/>
                <w:lang w:val="mn-MN"/>
              </w:rPr>
            </w:pPr>
            <w:r w:rsidRPr="00EF2D2B">
              <w:rPr>
                <w:sz w:val="20"/>
                <w:szCs w:val="20"/>
                <w:lang w:val="mn-MN"/>
              </w:rPr>
              <w:t>GOOSE and SV addresses not allowed</w:t>
            </w:r>
          </w:p>
        </w:tc>
      </w:tr>
    </w:tbl>
    <w:p w:rsidR="003209C3" w:rsidRDefault="003209C3"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3209C3" w:rsidTr="003209C3">
        <w:tc>
          <w:tcPr>
            <w:tcW w:w="4672" w:type="dxa"/>
          </w:tcPr>
          <w:p w:rsidR="003209C3" w:rsidRPr="003209C3" w:rsidRDefault="003209C3" w:rsidP="003209C3">
            <w:pPr>
              <w:ind w:left="0" w:firstLine="0"/>
              <w:rPr>
                <w:rFonts w:eastAsia="Calibri"/>
                <w:b/>
                <w:bCs/>
                <w:szCs w:val="22"/>
              </w:rPr>
            </w:pPr>
            <w:r w:rsidRPr="003209C3">
              <w:rPr>
                <w:rFonts w:eastAsia="Calibri"/>
                <w:b/>
                <w:bCs/>
                <w:szCs w:val="22"/>
              </w:rPr>
              <w:t>13.3.2 Өгөгдлийн утгууд</w:t>
            </w:r>
          </w:p>
          <w:p w:rsidR="003209C3" w:rsidRPr="003209C3" w:rsidRDefault="003209C3" w:rsidP="003209C3">
            <w:pPr>
              <w:ind w:left="0" w:firstLine="0"/>
              <w:rPr>
                <w:rFonts w:eastAsia="Calibri"/>
                <w:bCs/>
                <w:szCs w:val="22"/>
              </w:rPr>
            </w:pPr>
            <w:r w:rsidRPr="003209C3">
              <w:rPr>
                <w:rFonts w:eastAsia="Calibri"/>
                <w:bCs/>
                <w:szCs w:val="22"/>
              </w:rPr>
              <w:t>Өгөгдлийн утгын зураглал нь C37.118.2 телеграм ба IEC 61850 өгөгдлийн загварт утгын хоорондох хамаарлыг үүсгэдэг. Энэ холбоог үүсгэхийн тулд хоёр сонголтыг хийх боломжтой:</w:t>
            </w:r>
          </w:p>
          <w:p w:rsidR="003209C3" w:rsidRPr="003209C3" w:rsidRDefault="003209C3" w:rsidP="003209C3">
            <w:pPr>
              <w:ind w:left="0" w:firstLine="0"/>
              <w:rPr>
                <w:rFonts w:eastAsia="Calibri"/>
                <w:bCs/>
                <w:szCs w:val="22"/>
              </w:rPr>
            </w:pPr>
            <w:r w:rsidRPr="003209C3">
              <w:rPr>
                <w:rFonts w:eastAsia="Calibri"/>
                <w:bCs/>
                <w:szCs w:val="22"/>
              </w:rPr>
              <w:t xml:space="preserve">sAddr атрибутыг өгөгдлийн атрибутын түвшинд ашиглан тэдгээрийг телеграмд </w:t>
            </w:r>
            <w:r w:rsidRPr="003209C3">
              <w:rPr>
                <w:rFonts w:eastAsia="Calibri"/>
                <w:bCs/>
                <w:szCs w:val="22"/>
              </w:rPr>
              <w:lastRenderedPageBreak/>
              <w:t>дүрслэх, Өгөгдлийн загварт шаардлагатай түвшинд хуваарилагдах хувийн хаягийн төрлийг тодорхойлох.</w:t>
            </w:r>
          </w:p>
          <w:p w:rsidR="003209C3" w:rsidRPr="003209C3" w:rsidRDefault="003209C3" w:rsidP="003209C3">
            <w:pPr>
              <w:ind w:left="0" w:firstLine="0"/>
              <w:rPr>
                <w:rFonts w:eastAsia="Calibri"/>
                <w:bCs/>
                <w:szCs w:val="22"/>
              </w:rPr>
            </w:pPr>
            <w:r w:rsidRPr="003209C3">
              <w:rPr>
                <w:rFonts w:eastAsia="Calibri"/>
                <w:bCs/>
                <w:szCs w:val="22"/>
              </w:rPr>
              <w:t>IEEE C37.118.2-ийн хүрээнд телеграмын үүсгүүрийг тодорхойлох нь түүний IP үүсгүүр хаягаар хийгддэг бөгөөд телеграм дахь утгыг зөвхөн телеграмд байрладаг байршлаар нь тодорхойлдог. Энэхүү дүн-шинжилгээнд үндэслэн атрибутын түвшнээс бусад илүү шатлалын хаяглалтын схем шаардлагагүй. Давтагдах бүтэцтэй байж болох Фазор өгөгдлийн хуримтлуулагч (PDC) телеграммын хувьд давталтын тодорхойлолтыг логик төхөөрөмжийн түвшинд, жишээ нь өгөгдлийн атрибутын түвшнээс дээш тодорхой зааж өгөхийг зөвшөөрдөг.</w:t>
            </w:r>
          </w:p>
          <w:p w:rsidR="003209C3" w:rsidRPr="003209C3" w:rsidRDefault="003209C3" w:rsidP="003209C3">
            <w:pPr>
              <w:ind w:left="0" w:firstLine="0"/>
              <w:rPr>
                <w:rFonts w:eastAsia="Calibri"/>
                <w:bCs/>
                <w:szCs w:val="22"/>
              </w:rPr>
            </w:pPr>
            <w:r w:rsidRPr="003209C3">
              <w:rPr>
                <w:rFonts w:eastAsia="Calibri"/>
                <w:bCs/>
                <w:szCs w:val="22"/>
              </w:rPr>
              <w:t>Утгууд нь зөвхөн C37.118.2 өгөгдлийн телеграммд дүрслэх. Тохируулгын телеграммуудыг зураглагдаагүй болно, учир нь тэдгээрийн холбогдох мэдээллийг ижил төстэй мэдээллийг IEC 61850 өгөгдлийн загвар өөрөө өгдөг. Жишээ нь, хэрэв PDC телеграммын утга өөр өөр PMU-д хамаарах бол тус бүрийг өөр логик төхөөрөмжөөр загварчилна.</w:t>
            </w:r>
          </w:p>
          <w:p w:rsidR="003209C3" w:rsidRPr="003209C3" w:rsidRDefault="003209C3" w:rsidP="003209C3">
            <w:pPr>
              <w:ind w:left="0" w:firstLine="0"/>
              <w:rPr>
                <w:rFonts w:eastAsia="Calibri"/>
                <w:bCs/>
                <w:szCs w:val="22"/>
              </w:rPr>
            </w:pPr>
            <w:r w:rsidRPr="003209C3">
              <w:rPr>
                <w:rFonts w:eastAsia="Calibri"/>
                <w:bCs/>
                <w:szCs w:val="22"/>
              </w:rPr>
              <w:t>SAddr мөр нь дараах синтакситэй байна.</w:t>
            </w:r>
          </w:p>
          <w:p w:rsidR="003209C3" w:rsidRPr="003209C3" w:rsidRDefault="003209C3" w:rsidP="003209C3">
            <w:pPr>
              <w:ind w:left="0" w:firstLine="0"/>
              <w:rPr>
                <w:rFonts w:eastAsia="Calibri"/>
                <w:bCs/>
                <w:szCs w:val="22"/>
              </w:rPr>
            </w:pPr>
            <w:r w:rsidRPr="003209C3">
              <w:rPr>
                <w:rFonts w:eastAsia="Calibri"/>
                <w:bCs/>
                <w:szCs w:val="22"/>
              </w:rPr>
              <w:t xml:space="preserve">[&lt;repeatno&gt;], &lt;118Type&gt;,&lt;count&gt;[ ,&lt;bitoffs&gt;] </w:t>
            </w:r>
          </w:p>
          <w:p w:rsidR="003209C3" w:rsidRPr="003209C3" w:rsidRDefault="003209C3" w:rsidP="003209C3">
            <w:pPr>
              <w:ind w:left="0" w:firstLine="0"/>
              <w:rPr>
                <w:rFonts w:eastAsia="Calibri"/>
                <w:bCs/>
                <w:szCs w:val="22"/>
              </w:rPr>
            </w:pPr>
            <w:r w:rsidRPr="003209C3">
              <w:rPr>
                <w:rFonts w:eastAsia="Calibri"/>
                <w:bCs/>
                <w:szCs w:val="22"/>
              </w:rPr>
              <w:t>дараах агуулгатай:</w:t>
            </w:r>
          </w:p>
          <w:p w:rsidR="003209C3" w:rsidRPr="003209C3" w:rsidRDefault="003209C3" w:rsidP="003209C3">
            <w:pPr>
              <w:ind w:left="0" w:firstLine="0"/>
              <w:rPr>
                <w:rFonts w:eastAsia="Calibri"/>
                <w:bCs/>
                <w:szCs w:val="22"/>
              </w:rPr>
            </w:pPr>
            <w:r w:rsidRPr="003209C3">
              <w:rPr>
                <w:rFonts w:eastAsia="Calibri"/>
                <w:bCs/>
                <w:szCs w:val="22"/>
              </w:rPr>
              <w:t>LDevice түвшинд repeatno тодорхойлохын тулд дараахь Privateтөрлийг танилцуулж байна:C37.118-repeatno</w:t>
            </w:r>
          </w:p>
          <w:p w:rsidR="003209C3" w:rsidRPr="003209C3" w:rsidRDefault="003209C3" w:rsidP="003209C3">
            <w:pPr>
              <w:ind w:left="0" w:firstLine="0"/>
              <w:rPr>
                <w:rFonts w:eastAsia="Calibri"/>
                <w:bCs/>
                <w:szCs w:val="22"/>
              </w:rPr>
            </w:pPr>
            <w:r w:rsidRPr="003209C3">
              <w:rPr>
                <w:rFonts w:eastAsia="Calibri"/>
                <w:bCs/>
                <w:szCs w:val="22"/>
              </w:rPr>
              <w:t xml:space="preserve">Жишээ нь: </w:t>
            </w:r>
          </w:p>
          <w:p w:rsidR="003209C3" w:rsidRPr="003209C3" w:rsidRDefault="003209C3" w:rsidP="003209C3">
            <w:pPr>
              <w:ind w:left="0" w:firstLine="0"/>
              <w:rPr>
                <w:rFonts w:eastAsia="Calibri"/>
                <w:bCs/>
                <w:szCs w:val="22"/>
              </w:rPr>
            </w:pPr>
            <w:r w:rsidRPr="003209C3">
              <w:rPr>
                <w:rFonts w:eastAsia="Calibri"/>
                <w:bCs/>
                <w:szCs w:val="22"/>
              </w:rPr>
              <w:t>&lt;LDevice inst=”LD0”&gt;</w:t>
            </w:r>
          </w:p>
          <w:p w:rsidR="003209C3" w:rsidRPr="003209C3" w:rsidRDefault="003209C3" w:rsidP="003209C3">
            <w:pPr>
              <w:ind w:left="0" w:firstLine="0"/>
              <w:rPr>
                <w:rFonts w:eastAsia="Calibri"/>
                <w:bCs/>
                <w:szCs w:val="22"/>
              </w:rPr>
            </w:pPr>
            <w:r w:rsidRPr="003209C3">
              <w:rPr>
                <w:rFonts w:eastAsia="Calibri"/>
                <w:bCs/>
                <w:szCs w:val="22"/>
              </w:rPr>
              <w:t>&lt;Private type=”C37.118-repeatno”&gt;5&lt;/Private</w:t>
            </w:r>
          </w:p>
          <w:p w:rsidR="003209C3" w:rsidRPr="003209C3" w:rsidRDefault="003209C3" w:rsidP="003209C3">
            <w:pPr>
              <w:ind w:left="0" w:firstLine="0"/>
              <w:rPr>
                <w:rFonts w:eastAsia="Calibri"/>
                <w:bCs/>
                <w:szCs w:val="22"/>
              </w:rPr>
            </w:pPr>
            <w:r w:rsidRPr="003209C3">
              <w:rPr>
                <w:rFonts w:eastAsia="Calibri"/>
                <w:bCs/>
                <w:szCs w:val="22"/>
              </w:rPr>
              <w:t>&lt;LN0&gt;</w:t>
            </w:r>
          </w:p>
          <w:p w:rsidR="003209C3" w:rsidRPr="003209C3" w:rsidRDefault="003209C3" w:rsidP="003209C3">
            <w:pPr>
              <w:ind w:left="0" w:firstLine="0"/>
              <w:rPr>
                <w:rFonts w:eastAsia="Calibri"/>
                <w:bCs/>
                <w:szCs w:val="22"/>
              </w:rPr>
            </w:pPr>
            <w:r w:rsidRPr="003209C3">
              <w:rPr>
                <w:rFonts w:eastAsia="Calibri"/>
                <w:bCs/>
                <w:szCs w:val="22"/>
              </w:rPr>
              <w:t>…</w:t>
            </w:r>
          </w:p>
          <w:p w:rsidR="003209C3" w:rsidRPr="003209C3" w:rsidRDefault="003209C3" w:rsidP="003209C3">
            <w:pPr>
              <w:ind w:left="0" w:firstLine="0"/>
              <w:rPr>
                <w:rFonts w:eastAsia="Calibri"/>
                <w:bCs/>
                <w:szCs w:val="22"/>
              </w:rPr>
            </w:pPr>
            <w:r w:rsidRPr="003209C3">
              <w:rPr>
                <w:rFonts w:eastAsia="Calibri"/>
                <w:bCs/>
                <w:szCs w:val="22"/>
              </w:rPr>
              <w:lastRenderedPageBreak/>
              <w:t>&lt;/LN0&gt;</w:t>
            </w:r>
          </w:p>
          <w:p w:rsidR="003209C3" w:rsidRPr="003209C3" w:rsidRDefault="003209C3" w:rsidP="003209C3">
            <w:pPr>
              <w:ind w:left="0" w:firstLine="0"/>
              <w:rPr>
                <w:rFonts w:eastAsia="Calibri"/>
                <w:bCs/>
                <w:szCs w:val="22"/>
              </w:rPr>
            </w:pPr>
            <w:r w:rsidRPr="003209C3">
              <w:rPr>
                <w:rFonts w:eastAsia="Calibri"/>
                <w:bCs/>
                <w:szCs w:val="22"/>
              </w:rPr>
              <w:t>….</w:t>
            </w:r>
          </w:p>
          <w:p w:rsidR="003209C3" w:rsidRPr="003209C3" w:rsidRDefault="003209C3" w:rsidP="003209C3">
            <w:pPr>
              <w:ind w:left="0" w:firstLine="0"/>
              <w:rPr>
                <w:rFonts w:eastAsia="Calibri"/>
                <w:bCs/>
                <w:szCs w:val="22"/>
              </w:rPr>
            </w:pPr>
            <w:r w:rsidRPr="003209C3">
              <w:rPr>
                <w:rFonts w:eastAsia="Calibri"/>
                <w:bCs/>
                <w:szCs w:val="22"/>
              </w:rPr>
              <w:t>&lt;/LDevice&gt;</w:t>
            </w:r>
          </w:p>
        </w:tc>
        <w:tc>
          <w:tcPr>
            <w:tcW w:w="4672" w:type="dxa"/>
          </w:tcPr>
          <w:p w:rsidR="003209C3" w:rsidRPr="003209C3" w:rsidRDefault="003209C3" w:rsidP="003209C3">
            <w:pPr>
              <w:ind w:left="0" w:firstLine="0"/>
              <w:rPr>
                <w:rFonts w:eastAsia="Calibri"/>
                <w:b/>
                <w:bCs/>
                <w:szCs w:val="22"/>
              </w:rPr>
            </w:pPr>
            <w:r w:rsidRPr="003209C3">
              <w:rPr>
                <w:rFonts w:eastAsia="Calibri"/>
                <w:b/>
                <w:bCs/>
                <w:szCs w:val="22"/>
              </w:rPr>
              <w:lastRenderedPageBreak/>
              <w:t>13.3.2 The data values</w:t>
            </w:r>
          </w:p>
          <w:p w:rsidR="003209C3" w:rsidRPr="003209C3" w:rsidRDefault="003209C3" w:rsidP="003209C3">
            <w:pPr>
              <w:ind w:left="0" w:firstLine="0"/>
              <w:rPr>
                <w:rFonts w:eastAsia="Calibri"/>
                <w:bCs/>
                <w:szCs w:val="22"/>
              </w:rPr>
            </w:pPr>
            <w:r w:rsidRPr="003209C3">
              <w:rPr>
                <w:rFonts w:eastAsia="Calibri"/>
                <w:bCs/>
                <w:szCs w:val="22"/>
              </w:rPr>
              <w:t>The mapping of data values shall create a relation between the values in the C37.118.2 telegram and the IEC 61850 data model. To create this relation, two options are possible:</w:t>
            </w:r>
          </w:p>
          <w:p w:rsidR="003209C3" w:rsidRPr="003209C3" w:rsidRDefault="003209C3" w:rsidP="003209C3">
            <w:pPr>
              <w:ind w:left="0" w:firstLine="0"/>
              <w:rPr>
                <w:rFonts w:eastAsia="Calibri"/>
                <w:bCs/>
                <w:szCs w:val="22"/>
              </w:rPr>
            </w:pPr>
            <w:r w:rsidRPr="003209C3">
              <w:rPr>
                <w:rFonts w:eastAsia="Calibri"/>
                <w:bCs/>
                <w:szCs w:val="22"/>
              </w:rPr>
              <w:t xml:space="preserve">use the sAddr attribute at the data attribute level to map them to the telegram, define </w:t>
            </w:r>
            <w:r w:rsidRPr="003209C3">
              <w:rPr>
                <w:rFonts w:eastAsia="Calibri"/>
                <w:bCs/>
                <w:szCs w:val="22"/>
              </w:rPr>
              <w:lastRenderedPageBreak/>
              <w:t>a Private address type which may be allocated to the needed level of the  data  model.</w:t>
            </w:r>
          </w:p>
          <w:p w:rsidR="003209C3" w:rsidRPr="003209C3" w:rsidRDefault="003209C3" w:rsidP="003209C3">
            <w:pPr>
              <w:ind w:left="0" w:firstLine="0"/>
              <w:rPr>
                <w:rFonts w:eastAsia="Calibri"/>
                <w:bCs/>
                <w:szCs w:val="22"/>
              </w:rPr>
            </w:pPr>
            <w:r w:rsidRPr="003209C3">
              <w:rPr>
                <w:rFonts w:eastAsia="Calibri"/>
                <w:bCs/>
                <w:szCs w:val="22"/>
              </w:rPr>
              <w:t>Within IEEE C37.118.2, the identification of a telegram source is done by its IP  source  address, and the values within the telegram are identified only by their location in  the  telegram. Based upon this analysis, a more hierarchical addressing scheme, other than attribute level, is not needed. For Phasor Data Concentrator (PDC)  telegrams, which might have a repeating structure, it is optionally allowed to specify the repetition identification at the logical device level, i.e. above the data attribute level.</w:t>
            </w:r>
          </w:p>
          <w:p w:rsidR="003209C3" w:rsidRPr="003209C3" w:rsidRDefault="003209C3" w:rsidP="003209C3">
            <w:pPr>
              <w:ind w:left="0" w:firstLine="0"/>
              <w:rPr>
                <w:rFonts w:eastAsia="Calibri"/>
                <w:bCs/>
                <w:szCs w:val="22"/>
              </w:rPr>
            </w:pPr>
            <w:r w:rsidRPr="003209C3">
              <w:rPr>
                <w:rFonts w:eastAsia="Calibri"/>
                <w:bCs/>
                <w:szCs w:val="22"/>
              </w:rPr>
              <w:t>Values map to the C37.118.2 data telegram only. The configuration telegrams are not mapped, as their information respective equivalent information will be supplied by the IEC 61850 data model itself. E.g. if the values of a PDC telegram belong to different PMUs, each one shall be modelled by a different logical device.</w:t>
            </w:r>
          </w:p>
          <w:p w:rsidR="003209C3" w:rsidRPr="003209C3" w:rsidRDefault="003209C3" w:rsidP="003209C3">
            <w:pPr>
              <w:ind w:left="0" w:firstLine="0"/>
              <w:rPr>
                <w:rFonts w:eastAsia="Calibri"/>
                <w:bCs/>
                <w:szCs w:val="22"/>
              </w:rPr>
            </w:pPr>
            <w:r w:rsidRPr="003209C3">
              <w:rPr>
                <w:rFonts w:eastAsia="Calibri"/>
                <w:bCs/>
                <w:szCs w:val="22"/>
              </w:rPr>
              <w:t xml:space="preserve">The sAddr strina shall have the following syntax </w:t>
            </w:r>
          </w:p>
          <w:p w:rsidR="003209C3" w:rsidRPr="003209C3" w:rsidRDefault="003209C3" w:rsidP="003209C3">
            <w:pPr>
              <w:ind w:left="0" w:firstLine="0"/>
              <w:rPr>
                <w:rFonts w:eastAsia="Calibri"/>
                <w:bCs/>
                <w:szCs w:val="22"/>
              </w:rPr>
            </w:pPr>
            <w:r w:rsidRPr="003209C3">
              <w:rPr>
                <w:rFonts w:eastAsia="Calibri"/>
                <w:bCs/>
                <w:szCs w:val="22"/>
              </w:rPr>
              <w:t xml:space="preserve">[&lt;repeatno&gt;], &lt;118Type&gt;,&lt;count&gt; [ ,&lt;bitoffs&gt;] </w:t>
            </w:r>
          </w:p>
          <w:p w:rsidR="003209C3" w:rsidRPr="003209C3" w:rsidRDefault="003209C3" w:rsidP="003209C3">
            <w:pPr>
              <w:ind w:left="0" w:firstLine="0"/>
              <w:rPr>
                <w:rFonts w:eastAsia="Calibri"/>
                <w:bCs/>
                <w:szCs w:val="22"/>
              </w:rPr>
            </w:pPr>
            <w:r w:rsidRPr="003209C3">
              <w:rPr>
                <w:rFonts w:eastAsia="Calibri"/>
                <w:bCs/>
                <w:szCs w:val="22"/>
              </w:rPr>
              <w:t>with the following meaning</w:t>
            </w:r>
          </w:p>
          <w:p w:rsidR="003209C3" w:rsidRPr="003209C3" w:rsidRDefault="003209C3" w:rsidP="003209C3">
            <w:pPr>
              <w:ind w:left="0" w:firstLine="0"/>
              <w:rPr>
                <w:rFonts w:eastAsia="Calibri"/>
                <w:bCs/>
                <w:szCs w:val="22"/>
              </w:rPr>
            </w:pPr>
            <w:r w:rsidRPr="003209C3">
              <w:rPr>
                <w:rFonts w:eastAsia="Calibri"/>
                <w:bCs/>
                <w:szCs w:val="22"/>
              </w:rPr>
              <w:t>To specify the repeatno at LDevice level, the following Private type is introduced: C37.118-repeatno</w:t>
            </w:r>
          </w:p>
          <w:p w:rsidR="003209C3" w:rsidRPr="003209C3" w:rsidRDefault="003209C3" w:rsidP="003209C3">
            <w:pPr>
              <w:ind w:left="0" w:firstLine="0"/>
              <w:rPr>
                <w:rFonts w:eastAsia="Calibri"/>
                <w:bCs/>
                <w:szCs w:val="22"/>
              </w:rPr>
            </w:pPr>
            <w:r w:rsidRPr="003209C3">
              <w:rPr>
                <w:rFonts w:eastAsia="Calibri"/>
                <w:bCs/>
                <w:szCs w:val="22"/>
              </w:rPr>
              <w:t>Example:</w:t>
            </w:r>
          </w:p>
          <w:p w:rsidR="003209C3" w:rsidRPr="003209C3" w:rsidRDefault="003209C3" w:rsidP="003209C3">
            <w:pPr>
              <w:ind w:left="0" w:firstLine="0"/>
              <w:rPr>
                <w:rFonts w:eastAsia="Calibri"/>
                <w:bCs/>
                <w:szCs w:val="22"/>
              </w:rPr>
            </w:pPr>
            <w:r w:rsidRPr="003209C3">
              <w:rPr>
                <w:rFonts w:eastAsia="Calibri"/>
                <w:bCs/>
                <w:szCs w:val="22"/>
              </w:rPr>
              <w:t>&lt;LDevice inst=”LD0”&gt;</w:t>
            </w:r>
          </w:p>
          <w:p w:rsidR="003209C3" w:rsidRPr="003209C3" w:rsidRDefault="003209C3" w:rsidP="003209C3">
            <w:pPr>
              <w:ind w:left="0" w:firstLine="0"/>
              <w:rPr>
                <w:rFonts w:eastAsia="Calibri"/>
                <w:bCs/>
                <w:szCs w:val="22"/>
              </w:rPr>
            </w:pPr>
          </w:p>
          <w:p w:rsidR="003209C3" w:rsidRPr="003209C3" w:rsidRDefault="003209C3" w:rsidP="003209C3">
            <w:pPr>
              <w:ind w:left="0" w:firstLine="0"/>
              <w:rPr>
                <w:rFonts w:eastAsia="Calibri"/>
                <w:bCs/>
                <w:szCs w:val="22"/>
              </w:rPr>
            </w:pPr>
            <w:r w:rsidRPr="003209C3">
              <w:rPr>
                <w:rFonts w:eastAsia="Calibri"/>
                <w:bCs/>
                <w:szCs w:val="22"/>
              </w:rPr>
              <w:t>&lt;Private type=”C37.118-repeatno”&gt;5&lt;/Private&gt;</w:t>
            </w:r>
          </w:p>
          <w:p w:rsidR="003209C3" w:rsidRPr="003209C3" w:rsidRDefault="003209C3" w:rsidP="003209C3">
            <w:pPr>
              <w:ind w:left="0" w:firstLine="0"/>
              <w:rPr>
                <w:rFonts w:eastAsia="Calibri"/>
                <w:bCs/>
                <w:szCs w:val="22"/>
              </w:rPr>
            </w:pPr>
          </w:p>
          <w:p w:rsidR="003209C3" w:rsidRPr="003209C3" w:rsidRDefault="003209C3" w:rsidP="003209C3">
            <w:pPr>
              <w:ind w:left="0" w:firstLine="0"/>
              <w:rPr>
                <w:rFonts w:eastAsia="Calibri"/>
                <w:bCs/>
                <w:szCs w:val="22"/>
              </w:rPr>
            </w:pPr>
            <w:r w:rsidRPr="003209C3">
              <w:rPr>
                <w:rFonts w:eastAsia="Calibri"/>
                <w:bCs/>
                <w:szCs w:val="22"/>
              </w:rPr>
              <w:t>&lt;LN0&gt;</w:t>
            </w:r>
          </w:p>
          <w:p w:rsidR="003209C3" w:rsidRPr="003209C3" w:rsidRDefault="003209C3" w:rsidP="003209C3">
            <w:pPr>
              <w:ind w:left="0" w:firstLine="0"/>
              <w:rPr>
                <w:rFonts w:eastAsia="Calibri"/>
                <w:bCs/>
                <w:szCs w:val="22"/>
              </w:rPr>
            </w:pPr>
            <w:r w:rsidRPr="003209C3">
              <w:rPr>
                <w:rFonts w:eastAsia="Calibri"/>
                <w:bCs/>
                <w:szCs w:val="22"/>
              </w:rPr>
              <w:t>…</w:t>
            </w:r>
          </w:p>
          <w:p w:rsidR="003209C3" w:rsidRPr="003209C3" w:rsidRDefault="003209C3" w:rsidP="003209C3">
            <w:pPr>
              <w:ind w:left="0" w:firstLine="0"/>
              <w:rPr>
                <w:rFonts w:eastAsia="Calibri"/>
                <w:bCs/>
                <w:szCs w:val="22"/>
              </w:rPr>
            </w:pPr>
            <w:r w:rsidRPr="003209C3">
              <w:rPr>
                <w:rFonts w:eastAsia="Calibri"/>
                <w:bCs/>
                <w:szCs w:val="22"/>
              </w:rPr>
              <w:t>&lt;/LN0&gt;</w:t>
            </w:r>
          </w:p>
          <w:p w:rsidR="003209C3" w:rsidRPr="003209C3" w:rsidRDefault="003209C3" w:rsidP="003209C3">
            <w:pPr>
              <w:ind w:left="0" w:firstLine="0"/>
              <w:rPr>
                <w:rFonts w:eastAsia="Calibri"/>
                <w:bCs/>
                <w:szCs w:val="22"/>
              </w:rPr>
            </w:pPr>
            <w:r w:rsidRPr="003209C3">
              <w:rPr>
                <w:rFonts w:eastAsia="Calibri"/>
                <w:bCs/>
                <w:szCs w:val="22"/>
              </w:rPr>
              <w:t>….</w:t>
            </w:r>
          </w:p>
          <w:p w:rsidR="003209C3" w:rsidRPr="003209C3" w:rsidRDefault="003209C3" w:rsidP="003209C3">
            <w:pPr>
              <w:ind w:left="0" w:firstLine="0"/>
              <w:rPr>
                <w:rFonts w:eastAsia="Calibri"/>
                <w:bCs/>
                <w:szCs w:val="22"/>
              </w:rPr>
            </w:pPr>
            <w:r w:rsidRPr="003209C3">
              <w:rPr>
                <w:rFonts w:eastAsia="Calibri"/>
                <w:bCs/>
                <w:szCs w:val="22"/>
              </w:rPr>
              <w:t>&lt;/LDevice&gt;</w:t>
            </w:r>
          </w:p>
          <w:p w:rsidR="003209C3" w:rsidRPr="003209C3" w:rsidRDefault="003209C3" w:rsidP="003209C3">
            <w:pPr>
              <w:ind w:left="0" w:firstLine="0"/>
              <w:rPr>
                <w:rFonts w:eastAsia="Calibri"/>
                <w:bCs/>
                <w:szCs w:val="22"/>
              </w:rPr>
            </w:pPr>
          </w:p>
        </w:tc>
      </w:tr>
    </w:tbl>
    <w:p w:rsidR="003209C3" w:rsidRDefault="003209C3" w:rsidP="00CD1812">
      <w:pPr>
        <w:ind w:left="0" w:firstLine="0"/>
        <w:jc w:val="center"/>
        <w:rPr>
          <w:b/>
        </w:rPr>
      </w:pPr>
    </w:p>
    <w:tbl>
      <w:tblPr>
        <w:tblStyle w:val="TableGrid"/>
        <w:tblW w:w="0" w:type="auto"/>
        <w:tblLook w:val="04A0" w:firstRow="1" w:lastRow="0" w:firstColumn="1" w:lastColumn="0" w:noHBand="0" w:noVBand="1"/>
      </w:tblPr>
      <w:tblGrid>
        <w:gridCol w:w="1944"/>
        <w:gridCol w:w="2967"/>
        <w:gridCol w:w="4433"/>
      </w:tblGrid>
      <w:tr w:rsidR="007D594B" w:rsidTr="007D594B">
        <w:tc>
          <w:tcPr>
            <w:tcW w:w="1944" w:type="dxa"/>
          </w:tcPr>
          <w:p w:rsidR="007D594B" w:rsidRPr="00EF2D2B" w:rsidRDefault="007D594B" w:rsidP="007D594B">
            <w:pPr>
              <w:pStyle w:val="TableParagraph"/>
              <w:tabs>
                <w:tab w:val="left" w:pos="0"/>
              </w:tabs>
              <w:spacing w:before="53" w:line="276" w:lineRule="auto"/>
              <w:ind w:left="472"/>
              <w:jc w:val="center"/>
              <w:rPr>
                <w:b/>
                <w:sz w:val="20"/>
                <w:szCs w:val="20"/>
                <w:lang w:val="mn-MN"/>
              </w:rPr>
            </w:pPr>
            <w:r w:rsidRPr="00EF2D2B">
              <w:rPr>
                <w:b/>
                <w:sz w:val="20"/>
                <w:szCs w:val="20"/>
                <w:lang w:val="mn-MN"/>
              </w:rPr>
              <w:t>Синтаксийн элемент</w:t>
            </w:r>
          </w:p>
        </w:tc>
        <w:tc>
          <w:tcPr>
            <w:tcW w:w="2967" w:type="dxa"/>
          </w:tcPr>
          <w:p w:rsidR="007D594B" w:rsidRPr="00731F96" w:rsidRDefault="007D594B" w:rsidP="007D594B">
            <w:pPr>
              <w:pStyle w:val="TableParagraph"/>
              <w:tabs>
                <w:tab w:val="left" w:pos="0"/>
              </w:tabs>
              <w:spacing w:before="53" w:line="276" w:lineRule="auto"/>
              <w:ind w:left="1081" w:right="1072"/>
              <w:jc w:val="center"/>
              <w:rPr>
                <w:b/>
                <w:sz w:val="20"/>
                <w:szCs w:val="20"/>
                <w:lang w:val="mn-MN"/>
              </w:rPr>
            </w:pPr>
            <w:r w:rsidRPr="00731F96">
              <w:rPr>
                <w:b/>
                <w:sz w:val="20"/>
                <w:szCs w:val="20"/>
                <w:lang w:val="mn-MN"/>
              </w:rPr>
              <w:t>Хүрээ</w:t>
            </w:r>
          </w:p>
        </w:tc>
        <w:tc>
          <w:tcPr>
            <w:tcW w:w="4433" w:type="dxa"/>
          </w:tcPr>
          <w:p w:rsidR="007D594B" w:rsidRPr="00EF2D2B" w:rsidRDefault="007D594B" w:rsidP="007D594B">
            <w:pPr>
              <w:pStyle w:val="TableParagraph"/>
              <w:tabs>
                <w:tab w:val="left" w:pos="0"/>
              </w:tabs>
              <w:spacing w:before="53" w:line="276" w:lineRule="auto"/>
              <w:ind w:left="1724" w:right="1721"/>
              <w:jc w:val="center"/>
              <w:rPr>
                <w:b/>
                <w:sz w:val="20"/>
                <w:szCs w:val="20"/>
                <w:lang w:val="mn-MN"/>
              </w:rPr>
            </w:pPr>
            <w:r w:rsidRPr="00EF2D2B">
              <w:rPr>
                <w:b/>
                <w:sz w:val="20"/>
                <w:szCs w:val="20"/>
                <w:lang w:val="mn-MN"/>
              </w:rPr>
              <w:t>Агуулга</w:t>
            </w:r>
          </w:p>
        </w:tc>
      </w:tr>
      <w:tr w:rsidR="007D594B" w:rsidTr="007D594B">
        <w:tc>
          <w:tcPr>
            <w:tcW w:w="1944" w:type="dxa"/>
          </w:tcPr>
          <w:p w:rsidR="007D594B" w:rsidRPr="007D594B" w:rsidRDefault="007D594B" w:rsidP="007D594B">
            <w:pPr>
              <w:ind w:left="0" w:firstLine="0"/>
              <w:rPr>
                <w:rFonts w:eastAsia="Calibri"/>
                <w:bCs/>
                <w:sz w:val="20"/>
                <w:szCs w:val="20"/>
              </w:rPr>
            </w:pPr>
            <w:r w:rsidRPr="007D594B">
              <w:rPr>
                <w:rFonts w:eastAsia="Calibri"/>
                <w:bCs/>
                <w:sz w:val="20"/>
                <w:szCs w:val="20"/>
              </w:rPr>
              <w:t>repeatno</w:t>
            </w:r>
          </w:p>
        </w:tc>
        <w:tc>
          <w:tcPr>
            <w:tcW w:w="2967" w:type="dxa"/>
          </w:tcPr>
          <w:p w:rsidR="007D594B" w:rsidRPr="007D594B" w:rsidRDefault="007D594B" w:rsidP="007D594B">
            <w:pPr>
              <w:ind w:left="0" w:firstLine="0"/>
              <w:rPr>
                <w:rFonts w:eastAsia="Calibri"/>
                <w:bCs/>
                <w:sz w:val="20"/>
                <w:szCs w:val="20"/>
              </w:rPr>
            </w:pPr>
            <w:r w:rsidRPr="007D594B">
              <w:rPr>
                <w:rFonts w:eastAsia="Calibri"/>
                <w:bCs/>
                <w:sz w:val="20"/>
                <w:szCs w:val="20"/>
              </w:rPr>
              <w:t>0..n</w:t>
            </w:r>
          </w:p>
        </w:tc>
        <w:tc>
          <w:tcPr>
            <w:tcW w:w="4433" w:type="dxa"/>
          </w:tcPr>
          <w:p w:rsidR="007D594B" w:rsidRPr="007D594B" w:rsidRDefault="007D594B" w:rsidP="007D594B">
            <w:pPr>
              <w:ind w:left="0" w:firstLine="0"/>
              <w:rPr>
                <w:rFonts w:eastAsia="Calibri"/>
                <w:bCs/>
                <w:sz w:val="20"/>
                <w:szCs w:val="20"/>
              </w:rPr>
            </w:pPr>
            <w:r w:rsidRPr="007D594B">
              <w:rPr>
                <w:rFonts w:eastAsia="Calibri"/>
                <w:bCs/>
                <w:sz w:val="20"/>
                <w:szCs w:val="20"/>
              </w:rPr>
              <w:t>Өгөгдлийн утгын бүтцийн хэсгийн давталтын дугаар (ASDU). Хэрэв давталт байхгүй бол түүний утга LDevice түвшинд өгөгдсөн буюу тэг болно.</w:t>
            </w:r>
          </w:p>
        </w:tc>
      </w:tr>
      <w:tr w:rsidR="007D594B" w:rsidTr="007D594B">
        <w:tc>
          <w:tcPr>
            <w:tcW w:w="1944" w:type="dxa"/>
          </w:tcPr>
          <w:p w:rsidR="007D594B" w:rsidRPr="007D594B" w:rsidRDefault="007D594B" w:rsidP="007D594B">
            <w:pPr>
              <w:ind w:left="0" w:firstLine="0"/>
              <w:rPr>
                <w:rFonts w:eastAsia="Calibri"/>
                <w:bCs/>
                <w:sz w:val="20"/>
                <w:szCs w:val="20"/>
              </w:rPr>
            </w:pPr>
            <w:r w:rsidRPr="007D594B">
              <w:rPr>
                <w:rFonts w:eastAsia="Calibri"/>
                <w:bCs/>
                <w:sz w:val="20"/>
                <w:szCs w:val="20"/>
              </w:rPr>
              <w:t>118Type</w:t>
            </w:r>
          </w:p>
        </w:tc>
        <w:tc>
          <w:tcPr>
            <w:tcW w:w="2967" w:type="dxa"/>
          </w:tcPr>
          <w:p w:rsidR="007D594B" w:rsidRPr="007D594B" w:rsidRDefault="007D594B" w:rsidP="007D594B">
            <w:pPr>
              <w:ind w:left="0" w:firstLine="0"/>
              <w:rPr>
                <w:rFonts w:eastAsia="Calibri"/>
                <w:bCs/>
                <w:sz w:val="20"/>
                <w:szCs w:val="20"/>
              </w:rPr>
            </w:pPr>
            <w:r w:rsidRPr="007D594B">
              <w:rPr>
                <w:rFonts w:eastAsia="Calibri"/>
                <w:bCs/>
                <w:sz w:val="20"/>
                <w:szCs w:val="20"/>
              </w:rPr>
              <w:t>PHASORS, ANALOG, DIGITAL, FREQ, DFREQ, STAT</w:t>
            </w:r>
          </w:p>
        </w:tc>
        <w:tc>
          <w:tcPr>
            <w:tcW w:w="4433" w:type="dxa"/>
          </w:tcPr>
          <w:p w:rsidR="007D594B" w:rsidRPr="007D594B" w:rsidRDefault="007D594B" w:rsidP="007D594B">
            <w:pPr>
              <w:ind w:left="0" w:firstLine="0"/>
              <w:rPr>
                <w:rFonts w:eastAsia="Calibri"/>
                <w:bCs/>
                <w:sz w:val="20"/>
                <w:szCs w:val="20"/>
              </w:rPr>
            </w:pPr>
            <w:r w:rsidRPr="007D594B">
              <w:rPr>
                <w:rFonts w:eastAsia="Calibri"/>
                <w:bCs/>
                <w:sz w:val="20"/>
                <w:szCs w:val="20"/>
              </w:rPr>
              <w:t>C37.118.2-т тодорхойлсон өгөгдлийн төрөл</w:t>
            </w:r>
          </w:p>
        </w:tc>
      </w:tr>
      <w:tr w:rsidR="007D594B" w:rsidTr="007D594B">
        <w:tc>
          <w:tcPr>
            <w:tcW w:w="1944" w:type="dxa"/>
          </w:tcPr>
          <w:p w:rsidR="007D594B" w:rsidRPr="007D594B" w:rsidRDefault="007D594B" w:rsidP="007D594B">
            <w:pPr>
              <w:ind w:left="0" w:firstLine="0"/>
              <w:rPr>
                <w:rFonts w:eastAsia="Calibri"/>
                <w:bCs/>
                <w:sz w:val="20"/>
                <w:szCs w:val="20"/>
              </w:rPr>
            </w:pPr>
            <w:r w:rsidRPr="007D594B">
              <w:rPr>
                <w:rFonts w:eastAsia="Calibri"/>
                <w:bCs/>
                <w:sz w:val="20"/>
                <w:szCs w:val="20"/>
              </w:rPr>
              <w:t>Count</w:t>
            </w:r>
          </w:p>
        </w:tc>
        <w:tc>
          <w:tcPr>
            <w:tcW w:w="2967" w:type="dxa"/>
          </w:tcPr>
          <w:p w:rsidR="007D594B" w:rsidRPr="007D594B" w:rsidRDefault="007D594B" w:rsidP="007D594B">
            <w:pPr>
              <w:ind w:left="0" w:firstLine="0"/>
              <w:rPr>
                <w:rFonts w:eastAsia="Calibri"/>
                <w:bCs/>
                <w:sz w:val="20"/>
                <w:szCs w:val="20"/>
              </w:rPr>
            </w:pPr>
            <w:r w:rsidRPr="007D594B">
              <w:rPr>
                <w:rFonts w:eastAsia="Calibri"/>
                <w:bCs/>
                <w:sz w:val="20"/>
                <w:szCs w:val="20"/>
              </w:rPr>
              <w:t>0..n</w:t>
            </w:r>
          </w:p>
        </w:tc>
        <w:tc>
          <w:tcPr>
            <w:tcW w:w="4433" w:type="dxa"/>
          </w:tcPr>
          <w:p w:rsidR="007D594B" w:rsidRPr="007D594B" w:rsidRDefault="007D594B" w:rsidP="007D594B">
            <w:pPr>
              <w:ind w:left="0" w:firstLine="0"/>
              <w:rPr>
                <w:rFonts w:eastAsia="Calibri"/>
                <w:bCs/>
                <w:sz w:val="20"/>
                <w:szCs w:val="20"/>
              </w:rPr>
            </w:pPr>
            <w:r w:rsidRPr="007D594B">
              <w:rPr>
                <w:rFonts w:eastAsia="Calibri"/>
                <w:bCs/>
                <w:sz w:val="20"/>
                <w:szCs w:val="20"/>
              </w:rPr>
              <w:t>n утга нь 118 төрлөөс хамаарна. Энэ нь ижил төрлийн бүх өгөгдлийн элементүүд дэх өгөгдлийн утгын харьцангуй нөхөлт.  PHASORS-д нэг фазын хувьд өгөгдлийг нөхөж өгдөг.</w:t>
            </w:r>
          </w:p>
        </w:tc>
      </w:tr>
      <w:tr w:rsidR="007D594B" w:rsidTr="007D594B">
        <w:tc>
          <w:tcPr>
            <w:tcW w:w="1944" w:type="dxa"/>
          </w:tcPr>
          <w:p w:rsidR="007D594B" w:rsidRPr="007D594B" w:rsidRDefault="007D594B" w:rsidP="007D594B">
            <w:pPr>
              <w:ind w:left="0" w:firstLine="0"/>
              <w:rPr>
                <w:rFonts w:eastAsia="Calibri"/>
                <w:bCs/>
                <w:sz w:val="20"/>
                <w:szCs w:val="20"/>
              </w:rPr>
            </w:pPr>
            <w:r w:rsidRPr="007D594B">
              <w:rPr>
                <w:rFonts w:eastAsia="Calibri"/>
                <w:bCs/>
                <w:sz w:val="20"/>
                <w:szCs w:val="20"/>
              </w:rPr>
              <w:t>Bitoffs</w:t>
            </w:r>
          </w:p>
        </w:tc>
        <w:tc>
          <w:tcPr>
            <w:tcW w:w="2967" w:type="dxa"/>
          </w:tcPr>
          <w:p w:rsidR="007D594B" w:rsidRPr="007D594B" w:rsidRDefault="007D594B" w:rsidP="007D594B">
            <w:pPr>
              <w:ind w:left="0" w:firstLine="0"/>
              <w:rPr>
                <w:rFonts w:eastAsia="Calibri"/>
                <w:bCs/>
                <w:sz w:val="20"/>
                <w:szCs w:val="20"/>
              </w:rPr>
            </w:pPr>
            <w:r w:rsidRPr="007D594B">
              <w:rPr>
                <w:rFonts w:eastAsia="Calibri"/>
                <w:bCs/>
                <w:sz w:val="20"/>
                <w:szCs w:val="20"/>
              </w:rPr>
              <w:t>0..15</w:t>
            </w:r>
          </w:p>
        </w:tc>
        <w:tc>
          <w:tcPr>
            <w:tcW w:w="4433" w:type="dxa"/>
          </w:tcPr>
          <w:p w:rsidR="007D594B" w:rsidRPr="007D594B" w:rsidRDefault="007D594B" w:rsidP="007D594B">
            <w:pPr>
              <w:ind w:left="0" w:firstLine="0"/>
              <w:rPr>
                <w:rFonts w:eastAsia="Calibri"/>
                <w:bCs/>
                <w:sz w:val="20"/>
                <w:szCs w:val="20"/>
              </w:rPr>
            </w:pPr>
            <w:r w:rsidRPr="007D594B">
              <w:rPr>
                <w:rFonts w:eastAsia="Calibri"/>
                <w:bCs/>
                <w:sz w:val="20"/>
                <w:szCs w:val="20"/>
              </w:rPr>
              <w:t>Тоогоор тодорхойлогдсон 16 битийн утгын доторх бит. Бит бүр нь BOOLEAN төрлийн IEC61850 өгөгдлийн атрибут эсвэл Enum-ийн эрүүл мэндийн хобогдолтой дохиололд дүрслэгддэг бөгөөд битийн утга 0 нь OK (1), харин битийн утга 1 нь Alarm (3) гэж дүрслэгддэг. Зөвхөн 118Type = DIGITAL эсвэл STAT-т шаардлагатай.</w:t>
            </w:r>
          </w:p>
        </w:tc>
      </w:tr>
    </w:tbl>
    <w:p w:rsidR="007D594B" w:rsidRDefault="007D594B" w:rsidP="00CD1812">
      <w:pPr>
        <w:ind w:left="0" w:firstLine="0"/>
        <w:jc w:val="center"/>
        <w:rPr>
          <w:b/>
        </w:rPr>
      </w:pPr>
    </w:p>
    <w:tbl>
      <w:tblPr>
        <w:tblStyle w:val="TableGrid"/>
        <w:tblW w:w="0" w:type="auto"/>
        <w:tblLook w:val="04A0" w:firstRow="1" w:lastRow="0" w:firstColumn="1" w:lastColumn="0" w:noHBand="0" w:noVBand="1"/>
      </w:tblPr>
      <w:tblGrid>
        <w:gridCol w:w="1890"/>
        <w:gridCol w:w="2981"/>
        <w:gridCol w:w="4473"/>
      </w:tblGrid>
      <w:tr w:rsidR="007D594B" w:rsidRPr="00EF2D2B" w:rsidTr="007D594B">
        <w:tc>
          <w:tcPr>
            <w:tcW w:w="1890" w:type="dxa"/>
          </w:tcPr>
          <w:p w:rsidR="007D594B" w:rsidRPr="00731F96" w:rsidRDefault="007D594B" w:rsidP="007D594B">
            <w:pPr>
              <w:pStyle w:val="TableParagraph"/>
              <w:tabs>
                <w:tab w:val="left" w:pos="0"/>
              </w:tabs>
              <w:spacing w:before="53" w:line="276" w:lineRule="auto"/>
              <w:ind w:left="472"/>
              <w:rPr>
                <w:b/>
                <w:sz w:val="20"/>
                <w:szCs w:val="20"/>
                <w:lang w:val="mn-MN"/>
              </w:rPr>
            </w:pPr>
            <w:r w:rsidRPr="00EF2D2B">
              <w:rPr>
                <w:b/>
                <w:sz w:val="20"/>
                <w:szCs w:val="20"/>
                <w:lang w:val="mn-MN"/>
              </w:rPr>
              <w:t>Syntax element</w:t>
            </w:r>
          </w:p>
        </w:tc>
        <w:tc>
          <w:tcPr>
            <w:tcW w:w="2981" w:type="dxa"/>
          </w:tcPr>
          <w:p w:rsidR="007D594B" w:rsidRPr="00EF2D2B" w:rsidRDefault="007D594B" w:rsidP="007D594B">
            <w:pPr>
              <w:pStyle w:val="TableParagraph"/>
              <w:tabs>
                <w:tab w:val="left" w:pos="0"/>
              </w:tabs>
              <w:spacing w:before="53" w:line="276" w:lineRule="auto"/>
              <w:ind w:left="1081" w:right="1072"/>
              <w:jc w:val="center"/>
              <w:rPr>
                <w:b/>
                <w:sz w:val="20"/>
                <w:szCs w:val="20"/>
                <w:lang w:val="mn-MN"/>
              </w:rPr>
            </w:pPr>
            <w:r w:rsidRPr="00EF2D2B">
              <w:rPr>
                <w:b/>
                <w:sz w:val="20"/>
                <w:szCs w:val="20"/>
                <w:lang w:val="mn-MN"/>
              </w:rPr>
              <w:t>Range</w:t>
            </w:r>
          </w:p>
        </w:tc>
        <w:tc>
          <w:tcPr>
            <w:tcW w:w="4473" w:type="dxa"/>
          </w:tcPr>
          <w:p w:rsidR="007D594B" w:rsidRPr="00EF2D2B" w:rsidRDefault="007D594B" w:rsidP="007D594B">
            <w:pPr>
              <w:pStyle w:val="TableParagraph"/>
              <w:tabs>
                <w:tab w:val="left" w:pos="0"/>
              </w:tabs>
              <w:spacing w:before="53" w:line="276" w:lineRule="auto"/>
              <w:ind w:left="1724" w:right="1721"/>
              <w:jc w:val="center"/>
              <w:rPr>
                <w:b/>
                <w:sz w:val="20"/>
                <w:szCs w:val="20"/>
                <w:lang w:val="mn-MN"/>
              </w:rPr>
            </w:pPr>
            <w:r w:rsidRPr="00EF2D2B">
              <w:rPr>
                <w:b/>
                <w:sz w:val="20"/>
                <w:szCs w:val="20"/>
                <w:lang w:val="mn-MN"/>
              </w:rPr>
              <w:t>Meaning</w:t>
            </w:r>
          </w:p>
        </w:tc>
      </w:tr>
      <w:tr w:rsidR="007D594B" w:rsidRPr="007D594B" w:rsidTr="007D594B">
        <w:tc>
          <w:tcPr>
            <w:tcW w:w="1890" w:type="dxa"/>
          </w:tcPr>
          <w:p w:rsidR="007D594B" w:rsidRPr="007D594B" w:rsidRDefault="007D594B" w:rsidP="007D594B">
            <w:pPr>
              <w:ind w:left="0" w:firstLine="0"/>
              <w:rPr>
                <w:rFonts w:eastAsia="Calibri"/>
                <w:bCs/>
                <w:sz w:val="20"/>
                <w:szCs w:val="20"/>
              </w:rPr>
            </w:pPr>
            <w:r w:rsidRPr="007D594B">
              <w:rPr>
                <w:rFonts w:eastAsia="Calibri"/>
                <w:bCs/>
                <w:sz w:val="20"/>
                <w:szCs w:val="20"/>
              </w:rPr>
              <w:t>repeatno</w:t>
            </w:r>
          </w:p>
        </w:tc>
        <w:tc>
          <w:tcPr>
            <w:tcW w:w="2981" w:type="dxa"/>
          </w:tcPr>
          <w:p w:rsidR="007D594B" w:rsidRPr="007D594B" w:rsidRDefault="007D594B" w:rsidP="007D594B">
            <w:pPr>
              <w:ind w:left="0" w:firstLine="0"/>
              <w:rPr>
                <w:rFonts w:eastAsia="Calibri"/>
                <w:bCs/>
                <w:sz w:val="20"/>
                <w:szCs w:val="20"/>
              </w:rPr>
            </w:pPr>
            <w:r w:rsidRPr="007D594B">
              <w:rPr>
                <w:rFonts w:eastAsia="Calibri"/>
                <w:bCs/>
                <w:sz w:val="20"/>
                <w:szCs w:val="20"/>
              </w:rPr>
              <w:t>0..n</w:t>
            </w:r>
          </w:p>
        </w:tc>
        <w:tc>
          <w:tcPr>
            <w:tcW w:w="4473" w:type="dxa"/>
          </w:tcPr>
          <w:p w:rsidR="007D594B" w:rsidRPr="007D594B" w:rsidRDefault="007D594B" w:rsidP="007D594B">
            <w:pPr>
              <w:ind w:left="0" w:firstLine="0"/>
              <w:rPr>
                <w:rFonts w:eastAsia="Calibri"/>
                <w:bCs/>
                <w:sz w:val="20"/>
                <w:szCs w:val="20"/>
              </w:rPr>
            </w:pPr>
            <w:r w:rsidRPr="007D594B">
              <w:rPr>
                <w:rFonts w:eastAsia="Calibri"/>
                <w:bCs/>
                <w:sz w:val="20"/>
                <w:szCs w:val="20"/>
              </w:rPr>
              <w:t>Repetition number of the data value structure part (ASDU). If repeatno is missing, its value is either stated at the LDevice level, or is zero.</w:t>
            </w:r>
          </w:p>
        </w:tc>
      </w:tr>
      <w:tr w:rsidR="007D594B" w:rsidRPr="007D594B" w:rsidTr="007D594B">
        <w:tc>
          <w:tcPr>
            <w:tcW w:w="1890" w:type="dxa"/>
          </w:tcPr>
          <w:p w:rsidR="007D594B" w:rsidRPr="007D594B" w:rsidRDefault="007D594B" w:rsidP="007D594B">
            <w:pPr>
              <w:ind w:left="0" w:firstLine="0"/>
              <w:rPr>
                <w:rFonts w:eastAsia="Calibri"/>
                <w:bCs/>
                <w:sz w:val="20"/>
                <w:szCs w:val="20"/>
              </w:rPr>
            </w:pPr>
            <w:r w:rsidRPr="007D594B">
              <w:rPr>
                <w:rFonts w:eastAsia="Calibri"/>
                <w:bCs/>
                <w:sz w:val="20"/>
                <w:szCs w:val="20"/>
              </w:rPr>
              <w:t>118Type</w:t>
            </w:r>
          </w:p>
        </w:tc>
        <w:tc>
          <w:tcPr>
            <w:tcW w:w="2981" w:type="dxa"/>
          </w:tcPr>
          <w:p w:rsidR="007D594B" w:rsidRPr="007D594B" w:rsidRDefault="007D594B" w:rsidP="007D594B">
            <w:pPr>
              <w:ind w:left="0" w:firstLine="0"/>
              <w:rPr>
                <w:rFonts w:eastAsia="Calibri"/>
                <w:bCs/>
                <w:sz w:val="20"/>
                <w:szCs w:val="20"/>
              </w:rPr>
            </w:pPr>
            <w:r w:rsidRPr="007D594B">
              <w:rPr>
                <w:rFonts w:eastAsia="Calibri"/>
                <w:bCs/>
                <w:sz w:val="20"/>
                <w:szCs w:val="20"/>
              </w:rPr>
              <w:t>PHASORS, ANALOG, DIGITAL, FREQ, DFREQ, STAT</w:t>
            </w:r>
          </w:p>
        </w:tc>
        <w:tc>
          <w:tcPr>
            <w:tcW w:w="4473" w:type="dxa"/>
          </w:tcPr>
          <w:p w:rsidR="007D594B" w:rsidRPr="007D594B" w:rsidRDefault="007D594B" w:rsidP="007D594B">
            <w:pPr>
              <w:ind w:left="0" w:firstLine="0"/>
              <w:rPr>
                <w:rFonts w:eastAsia="Calibri"/>
                <w:bCs/>
                <w:sz w:val="20"/>
                <w:szCs w:val="20"/>
              </w:rPr>
            </w:pPr>
            <w:r w:rsidRPr="007D594B">
              <w:rPr>
                <w:rFonts w:eastAsia="Calibri"/>
                <w:bCs/>
                <w:sz w:val="20"/>
                <w:szCs w:val="20"/>
              </w:rPr>
              <w:t>The type of data as described in C37.118.2</w:t>
            </w:r>
          </w:p>
        </w:tc>
      </w:tr>
      <w:tr w:rsidR="007D594B" w:rsidRPr="007D594B" w:rsidTr="007D594B">
        <w:tc>
          <w:tcPr>
            <w:tcW w:w="1890" w:type="dxa"/>
          </w:tcPr>
          <w:p w:rsidR="007D594B" w:rsidRPr="007D594B" w:rsidRDefault="007D594B" w:rsidP="007D594B">
            <w:pPr>
              <w:ind w:left="0" w:firstLine="0"/>
              <w:rPr>
                <w:rFonts w:eastAsia="Calibri"/>
                <w:bCs/>
                <w:sz w:val="20"/>
                <w:szCs w:val="20"/>
              </w:rPr>
            </w:pPr>
            <w:r w:rsidRPr="007D594B">
              <w:rPr>
                <w:rFonts w:eastAsia="Calibri"/>
                <w:bCs/>
                <w:sz w:val="20"/>
                <w:szCs w:val="20"/>
              </w:rPr>
              <w:t>Count</w:t>
            </w:r>
          </w:p>
        </w:tc>
        <w:tc>
          <w:tcPr>
            <w:tcW w:w="2981" w:type="dxa"/>
          </w:tcPr>
          <w:p w:rsidR="007D594B" w:rsidRPr="007D594B" w:rsidRDefault="007D594B" w:rsidP="007D594B">
            <w:pPr>
              <w:ind w:left="0" w:firstLine="0"/>
              <w:rPr>
                <w:rFonts w:eastAsia="Calibri"/>
                <w:bCs/>
                <w:sz w:val="20"/>
                <w:szCs w:val="20"/>
              </w:rPr>
            </w:pPr>
            <w:r w:rsidRPr="007D594B">
              <w:rPr>
                <w:rFonts w:eastAsia="Calibri"/>
                <w:bCs/>
                <w:sz w:val="20"/>
                <w:szCs w:val="20"/>
              </w:rPr>
              <w:t>0..n</w:t>
            </w:r>
          </w:p>
        </w:tc>
        <w:tc>
          <w:tcPr>
            <w:tcW w:w="4473" w:type="dxa"/>
          </w:tcPr>
          <w:p w:rsidR="007D594B" w:rsidRPr="007D594B" w:rsidRDefault="007D594B" w:rsidP="007D594B">
            <w:pPr>
              <w:ind w:left="0" w:firstLine="0"/>
              <w:rPr>
                <w:rFonts w:eastAsia="Calibri"/>
                <w:bCs/>
                <w:sz w:val="20"/>
                <w:szCs w:val="20"/>
              </w:rPr>
            </w:pPr>
            <w:r w:rsidRPr="007D594B">
              <w:rPr>
                <w:rFonts w:eastAsia="Calibri"/>
                <w:bCs/>
                <w:sz w:val="20"/>
                <w:szCs w:val="20"/>
              </w:rPr>
              <w:t>The value of n depends on the 118 type. It is the relative offset of the data value within all data</w:t>
            </w:r>
          </w:p>
          <w:p w:rsidR="007D594B" w:rsidRPr="007D594B" w:rsidRDefault="007D594B" w:rsidP="007D594B">
            <w:pPr>
              <w:ind w:left="0" w:firstLine="0"/>
              <w:rPr>
                <w:rFonts w:eastAsia="Calibri"/>
                <w:bCs/>
                <w:sz w:val="20"/>
                <w:szCs w:val="20"/>
              </w:rPr>
            </w:pPr>
            <w:r w:rsidRPr="007D594B">
              <w:rPr>
                <w:rFonts w:eastAsia="Calibri"/>
                <w:bCs/>
                <w:sz w:val="20"/>
                <w:szCs w:val="20"/>
              </w:rPr>
              <w:t>elements of the same type. For PHASORS, the offset of the data per phasor.</w:t>
            </w:r>
          </w:p>
        </w:tc>
      </w:tr>
      <w:tr w:rsidR="007D594B" w:rsidRPr="007D594B" w:rsidTr="007D594B">
        <w:tc>
          <w:tcPr>
            <w:tcW w:w="1890" w:type="dxa"/>
          </w:tcPr>
          <w:p w:rsidR="007D594B" w:rsidRPr="007D594B" w:rsidRDefault="007D594B" w:rsidP="007D594B">
            <w:pPr>
              <w:ind w:left="0" w:firstLine="0"/>
              <w:rPr>
                <w:rFonts w:eastAsia="Calibri"/>
                <w:bCs/>
                <w:sz w:val="20"/>
                <w:szCs w:val="20"/>
              </w:rPr>
            </w:pPr>
            <w:r w:rsidRPr="007D594B">
              <w:rPr>
                <w:rFonts w:eastAsia="Calibri"/>
                <w:bCs/>
                <w:sz w:val="20"/>
                <w:szCs w:val="20"/>
              </w:rPr>
              <w:t>Bitoffs</w:t>
            </w:r>
          </w:p>
        </w:tc>
        <w:tc>
          <w:tcPr>
            <w:tcW w:w="2981" w:type="dxa"/>
          </w:tcPr>
          <w:p w:rsidR="007D594B" w:rsidRPr="007D594B" w:rsidRDefault="007D594B" w:rsidP="007D594B">
            <w:pPr>
              <w:ind w:left="0" w:firstLine="0"/>
              <w:rPr>
                <w:rFonts w:eastAsia="Calibri"/>
                <w:bCs/>
                <w:sz w:val="20"/>
                <w:szCs w:val="20"/>
              </w:rPr>
            </w:pPr>
            <w:r w:rsidRPr="007D594B">
              <w:rPr>
                <w:rFonts w:eastAsia="Calibri"/>
                <w:bCs/>
                <w:sz w:val="20"/>
                <w:szCs w:val="20"/>
              </w:rPr>
              <w:t>0..15</w:t>
            </w:r>
          </w:p>
        </w:tc>
        <w:tc>
          <w:tcPr>
            <w:tcW w:w="4473" w:type="dxa"/>
          </w:tcPr>
          <w:p w:rsidR="007D594B" w:rsidRPr="007D594B" w:rsidRDefault="007D594B" w:rsidP="007D594B">
            <w:pPr>
              <w:ind w:left="0" w:firstLine="0"/>
              <w:rPr>
                <w:rFonts w:eastAsia="Calibri"/>
                <w:bCs/>
                <w:sz w:val="20"/>
                <w:szCs w:val="20"/>
              </w:rPr>
            </w:pPr>
            <w:r w:rsidRPr="007D594B">
              <w:rPr>
                <w:rFonts w:eastAsia="Calibri"/>
                <w:bCs/>
                <w:sz w:val="20"/>
                <w:szCs w:val="20"/>
              </w:rPr>
              <w:t>The bit within the 16 bit value identified by count. Each bit maps to an IEC61850 data attribute of type BOOLEAN, or a health respective alarm</w:t>
            </w:r>
          </w:p>
          <w:p w:rsidR="007D594B" w:rsidRPr="007D594B" w:rsidRDefault="007D594B" w:rsidP="007D594B">
            <w:pPr>
              <w:ind w:left="0" w:firstLine="0"/>
              <w:rPr>
                <w:rFonts w:eastAsia="Calibri"/>
                <w:bCs/>
                <w:sz w:val="20"/>
                <w:szCs w:val="20"/>
              </w:rPr>
            </w:pPr>
            <w:r w:rsidRPr="007D594B">
              <w:rPr>
                <w:rFonts w:eastAsia="Calibri"/>
                <w:bCs/>
                <w:sz w:val="20"/>
                <w:szCs w:val="20"/>
              </w:rPr>
              <w:t>Enum , where bit value 0 is mapped to OK (1), and bit value 1 to Alarm (3). Only needed for 118Type = DIGITAL or STAT.</w:t>
            </w:r>
          </w:p>
        </w:tc>
      </w:tr>
    </w:tbl>
    <w:p w:rsidR="007D594B" w:rsidRDefault="007D594B"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7D594B" w:rsidTr="007D594B">
        <w:tc>
          <w:tcPr>
            <w:tcW w:w="4672" w:type="dxa"/>
          </w:tcPr>
          <w:p w:rsidR="007D594B" w:rsidRPr="007D594B" w:rsidRDefault="007D594B" w:rsidP="007D594B">
            <w:pPr>
              <w:ind w:left="0" w:firstLine="0"/>
              <w:rPr>
                <w:rFonts w:eastAsia="Calibri"/>
                <w:b/>
                <w:bCs/>
                <w:szCs w:val="22"/>
              </w:rPr>
            </w:pPr>
            <w:r w:rsidRPr="007D594B">
              <w:rPr>
                <w:rFonts w:eastAsia="Calibri"/>
                <w:b/>
                <w:bCs/>
                <w:szCs w:val="22"/>
              </w:rPr>
              <w:t>13.3.3 SCL жишээ</w:t>
            </w:r>
          </w:p>
          <w:p w:rsidR="007D594B" w:rsidRPr="007D594B" w:rsidRDefault="007D594B" w:rsidP="007D594B">
            <w:pPr>
              <w:ind w:left="0" w:firstLine="0"/>
              <w:rPr>
                <w:rFonts w:eastAsia="Calibri"/>
                <w:bCs/>
                <w:szCs w:val="22"/>
              </w:rPr>
            </w:pPr>
            <w:r w:rsidRPr="007D594B">
              <w:rPr>
                <w:rFonts w:eastAsia="Calibri"/>
                <w:bCs/>
                <w:szCs w:val="22"/>
              </w:rPr>
              <w:t>Дараах жишээ нь IED дээр өгөгдлийн объектын үлгэрлэсэн жишээг харуулав.</w:t>
            </w:r>
          </w:p>
          <w:p w:rsidR="007D594B" w:rsidRPr="007D594B" w:rsidRDefault="007D594B" w:rsidP="007D594B">
            <w:pPr>
              <w:ind w:left="0" w:firstLine="0"/>
              <w:rPr>
                <w:rFonts w:eastAsia="Calibri"/>
                <w:bCs/>
                <w:szCs w:val="22"/>
              </w:rPr>
            </w:pPr>
            <w:r w:rsidRPr="007D594B">
              <w:rPr>
                <w:rFonts w:eastAsia="Calibri"/>
                <w:bCs/>
                <w:szCs w:val="22"/>
              </w:rPr>
              <w:lastRenderedPageBreak/>
              <w:t>SAddr атрибутуудыг IED жишээний түвшинд, мөн DataTypeTemplate түвшинд хавсаргаж болохыг анхаар хэрэгтэй. Сүүлийн сонголт нь өгөгдлийн төрлийн тодорхойлолтын нэмэлт тодорхойлолтыг шаардаж болох боловч ижил төрлийн хэд хэдэн PMU (ижил хаягийн утгатай) ижил SCD файлд байгаа бол тодорхойлолтыг жишээний түвшинд хадгалдаг.</w:t>
            </w:r>
          </w:p>
          <w:p w:rsidR="007D594B" w:rsidRPr="007D594B" w:rsidRDefault="007D594B" w:rsidP="007D594B">
            <w:pPr>
              <w:ind w:left="0" w:firstLine="0"/>
              <w:rPr>
                <w:rFonts w:eastAsia="Calibri"/>
                <w:bCs/>
                <w:szCs w:val="22"/>
              </w:rPr>
            </w:pPr>
            <w:r w:rsidRPr="007D594B">
              <w:rPr>
                <w:rFonts w:eastAsia="Calibri"/>
                <w:bCs/>
                <w:szCs w:val="22"/>
              </w:rPr>
              <w:t>&lt;IED name=”MyPMU” …&gt;</w:t>
            </w:r>
          </w:p>
          <w:p w:rsidR="007D594B" w:rsidRPr="007D594B" w:rsidRDefault="007D594B" w:rsidP="007D594B">
            <w:pPr>
              <w:ind w:left="0" w:firstLine="0"/>
              <w:rPr>
                <w:rFonts w:eastAsia="Calibri"/>
                <w:bCs/>
                <w:szCs w:val="22"/>
              </w:rPr>
            </w:pPr>
            <w:r w:rsidRPr="007D594B">
              <w:rPr>
                <w:rFonts w:eastAsia="Calibri"/>
                <w:bCs/>
                <w:szCs w:val="22"/>
              </w:rPr>
              <w:t>….</w:t>
            </w:r>
          </w:p>
          <w:p w:rsidR="007D594B" w:rsidRPr="007D594B" w:rsidRDefault="007D594B" w:rsidP="007D594B">
            <w:pPr>
              <w:ind w:left="0" w:firstLine="0"/>
              <w:rPr>
                <w:rFonts w:eastAsia="Calibri"/>
                <w:bCs/>
                <w:szCs w:val="22"/>
              </w:rPr>
            </w:pPr>
            <w:r w:rsidRPr="007D594B">
              <w:rPr>
                <w:rFonts w:eastAsia="Calibri"/>
                <w:bCs/>
                <w:szCs w:val="22"/>
              </w:rPr>
              <w:t>&lt;LN lnClass=”MMXU” ….&gt;</w:t>
            </w:r>
          </w:p>
          <w:p w:rsidR="007D594B" w:rsidRPr="007D594B" w:rsidRDefault="007D594B" w:rsidP="007D594B">
            <w:pPr>
              <w:ind w:left="0" w:firstLine="0"/>
              <w:rPr>
                <w:rFonts w:eastAsia="Calibri"/>
                <w:bCs/>
                <w:szCs w:val="22"/>
              </w:rPr>
            </w:pPr>
            <w:r w:rsidRPr="007D594B">
              <w:rPr>
                <w:rFonts w:eastAsia="Calibri"/>
                <w:bCs/>
                <w:szCs w:val="22"/>
              </w:rPr>
              <w:t>&lt;DOI name=”PhV”&gt;</w:t>
            </w:r>
          </w:p>
          <w:p w:rsidR="007D594B" w:rsidRPr="007D594B" w:rsidRDefault="007D594B" w:rsidP="007D594B">
            <w:pPr>
              <w:ind w:left="0" w:firstLine="0"/>
              <w:rPr>
                <w:rFonts w:eastAsia="Calibri"/>
                <w:bCs/>
                <w:szCs w:val="22"/>
              </w:rPr>
            </w:pPr>
            <w:r w:rsidRPr="007D594B">
              <w:rPr>
                <w:rFonts w:eastAsia="Calibri"/>
                <w:bCs/>
                <w:szCs w:val="22"/>
              </w:rPr>
              <w:t>&lt;SDI name=”phsA”&gt;</w:t>
            </w:r>
          </w:p>
          <w:p w:rsidR="007D594B" w:rsidRPr="007D594B" w:rsidRDefault="007D594B" w:rsidP="007D594B">
            <w:pPr>
              <w:ind w:left="0" w:firstLine="0"/>
              <w:rPr>
                <w:rFonts w:eastAsia="Calibri"/>
                <w:bCs/>
                <w:szCs w:val="22"/>
              </w:rPr>
            </w:pPr>
            <w:r w:rsidRPr="007D594B">
              <w:rPr>
                <w:rFonts w:eastAsia="Calibri"/>
                <w:bCs/>
                <w:szCs w:val="22"/>
              </w:rPr>
              <w:t>&lt;SDI name=”cVal”&gt;</w:t>
            </w:r>
          </w:p>
          <w:p w:rsidR="007D594B" w:rsidRPr="007D594B" w:rsidRDefault="007D594B" w:rsidP="007D594B">
            <w:pPr>
              <w:ind w:left="0" w:firstLine="0"/>
              <w:rPr>
                <w:rFonts w:eastAsia="Calibri"/>
                <w:bCs/>
                <w:szCs w:val="22"/>
              </w:rPr>
            </w:pPr>
            <w:r w:rsidRPr="007D594B">
              <w:rPr>
                <w:rFonts w:eastAsia="Calibri"/>
                <w:bCs/>
                <w:szCs w:val="22"/>
              </w:rPr>
              <w:t>&lt;SDI name=”mag”&gt;</w:t>
            </w:r>
          </w:p>
          <w:p w:rsidR="007D594B" w:rsidRPr="007D594B" w:rsidRDefault="007D594B" w:rsidP="007D594B">
            <w:pPr>
              <w:ind w:left="0" w:firstLine="0"/>
              <w:rPr>
                <w:rFonts w:eastAsia="Calibri"/>
                <w:bCs/>
                <w:szCs w:val="22"/>
              </w:rPr>
            </w:pPr>
            <w:r w:rsidRPr="007D594B">
              <w:rPr>
                <w:rFonts w:eastAsia="Calibri"/>
                <w:bCs/>
                <w:szCs w:val="22"/>
              </w:rPr>
              <w:t>&lt;DAI name=”f” sAddr=”0,PHASORS,2” /&gt;</w:t>
            </w:r>
          </w:p>
          <w:p w:rsidR="007D594B" w:rsidRPr="007D594B" w:rsidRDefault="007D594B" w:rsidP="007D594B">
            <w:pPr>
              <w:ind w:left="0" w:firstLine="0"/>
              <w:rPr>
                <w:rFonts w:eastAsia="Calibri"/>
                <w:bCs/>
                <w:szCs w:val="22"/>
              </w:rPr>
            </w:pPr>
            <w:r w:rsidRPr="007D594B">
              <w:rPr>
                <w:rFonts w:eastAsia="Calibri"/>
                <w:bCs/>
                <w:szCs w:val="22"/>
              </w:rPr>
              <w:t>&lt;!-- хөвөх цэг бүхий хүчдэлийнфазын фозорын утга А амплитуд нь эхний ASDU дахь хоёрдахь фазорын утга --&gt;</w:t>
            </w:r>
          </w:p>
          <w:p w:rsidR="007D594B" w:rsidRPr="007D594B" w:rsidRDefault="007D594B" w:rsidP="007D594B">
            <w:pPr>
              <w:ind w:left="0" w:firstLine="0"/>
              <w:rPr>
                <w:rFonts w:eastAsia="Calibri"/>
                <w:bCs/>
                <w:szCs w:val="22"/>
              </w:rPr>
            </w:pPr>
            <w:r w:rsidRPr="007D594B">
              <w:rPr>
                <w:rFonts w:eastAsia="Calibri"/>
                <w:bCs/>
                <w:szCs w:val="22"/>
              </w:rPr>
              <w:t>&lt;/SDI&gt;</w:t>
            </w:r>
          </w:p>
          <w:p w:rsidR="007D594B" w:rsidRPr="007D594B" w:rsidRDefault="007D594B" w:rsidP="007D594B">
            <w:pPr>
              <w:ind w:left="0" w:firstLine="0"/>
              <w:rPr>
                <w:rFonts w:eastAsia="Calibri"/>
                <w:bCs/>
                <w:szCs w:val="22"/>
              </w:rPr>
            </w:pPr>
            <w:r w:rsidRPr="007D594B">
              <w:rPr>
                <w:rFonts w:eastAsia="Calibri"/>
                <w:bCs/>
                <w:szCs w:val="22"/>
              </w:rPr>
              <w:t>&lt;SDI name=”ang”&gt;</w:t>
            </w:r>
          </w:p>
          <w:p w:rsidR="007D594B" w:rsidRPr="007D594B" w:rsidRDefault="007D594B" w:rsidP="007D594B">
            <w:pPr>
              <w:ind w:left="0" w:firstLine="0"/>
              <w:rPr>
                <w:rFonts w:eastAsia="Calibri"/>
                <w:bCs/>
                <w:szCs w:val="22"/>
              </w:rPr>
            </w:pPr>
            <w:r w:rsidRPr="007D594B">
              <w:rPr>
                <w:rFonts w:eastAsia="Calibri"/>
                <w:bCs/>
                <w:szCs w:val="22"/>
              </w:rPr>
              <w:t>&lt;DAI name=”f” sAddr=”,PHASORS,2” /&gt;</w:t>
            </w:r>
          </w:p>
          <w:p w:rsidR="007D594B" w:rsidRPr="007D594B" w:rsidRDefault="007D594B" w:rsidP="007D594B">
            <w:pPr>
              <w:ind w:left="0" w:firstLine="0"/>
              <w:rPr>
                <w:rFonts w:eastAsia="Calibri"/>
                <w:bCs/>
                <w:szCs w:val="22"/>
              </w:rPr>
            </w:pPr>
            <w:r w:rsidRPr="007D594B">
              <w:rPr>
                <w:rFonts w:eastAsia="Calibri"/>
                <w:bCs/>
                <w:szCs w:val="22"/>
              </w:rPr>
              <w:t xml:space="preserve">&lt;!-- хөвөх цэг бүхий хүчдэлийнфазын фозорын утга А өнцгийг нэг дор олно; энэ хэсэг эсвэл энэ sAddr-ийг алгасч болзошгүй; LDevice-ийн түвшинд ямар ч repeatno байхгүй тулrepeatnoнь 0 утгыг илэрхийлнэ - &gt; </w:t>
            </w:r>
          </w:p>
          <w:p w:rsidR="007D594B" w:rsidRPr="007D594B" w:rsidRDefault="007D594B" w:rsidP="007D594B">
            <w:pPr>
              <w:ind w:left="0" w:firstLine="0"/>
              <w:rPr>
                <w:rFonts w:eastAsia="Calibri"/>
                <w:bCs/>
                <w:szCs w:val="22"/>
              </w:rPr>
            </w:pPr>
            <w:r w:rsidRPr="007D594B">
              <w:rPr>
                <w:rFonts w:eastAsia="Calibri"/>
                <w:bCs/>
                <w:szCs w:val="22"/>
              </w:rPr>
              <w:t>&lt;/SDI&gt;</w:t>
            </w:r>
          </w:p>
          <w:p w:rsidR="007D594B" w:rsidRPr="007D594B" w:rsidRDefault="007D594B" w:rsidP="007D594B">
            <w:pPr>
              <w:ind w:left="0" w:firstLine="0"/>
              <w:rPr>
                <w:rFonts w:eastAsia="Calibri"/>
                <w:bCs/>
                <w:szCs w:val="22"/>
              </w:rPr>
            </w:pPr>
            <w:r w:rsidRPr="007D594B">
              <w:rPr>
                <w:rFonts w:eastAsia="Calibri"/>
                <w:bCs/>
                <w:szCs w:val="22"/>
              </w:rPr>
              <w:t>&lt;/SDI&gt;</w:t>
            </w:r>
          </w:p>
          <w:p w:rsidR="007D594B" w:rsidRPr="007D594B" w:rsidRDefault="007D594B" w:rsidP="007D594B">
            <w:pPr>
              <w:ind w:left="0" w:firstLine="0"/>
              <w:rPr>
                <w:rFonts w:eastAsia="Calibri"/>
                <w:bCs/>
                <w:szCs w:val="22"/>
              </w:rPr>
            </w:pPr>
            <w:r w:rsidRPr="007D594B">
              <w:rPr>
                <w:rFonts w:eastAsia="Calibri"/>
                <w:bCs/>
                <w:szCs w:val="22"/>
              </w:rPr>
              <w:t>&lt;/SDI&gt;</w:t>
            </w:r>
          </w:p>
          <w:p w:rsidR="007D594B" w:rsidRPr="007D594B" w:rsidRDefault="007D594B" w:rsidP="007D594B">
            <w:pPr>
              <w:ind w:left="0" w:firstLine="0"/>
              <w:rPr>
                <w:rFonts w:eastAsia="Calibri"/>
                <w:bCs/>
                <w:szCs w:val="22"/>
              </w:rPr>
            </w:pPr>
            <w:r w:rsidRPr="007D594B">
              <w:rPr>
                <w:rFonts w:eastAsia="Calibri"/>
                <w:bCs/>
                <w:szCs w:val="22"/>
              </w:rPr>
              <w:t>&lt;/DOI&gt;</w:t>
            </w:r>
          </w:p>
          <w:p w:rsidR="007D594B" w:rsidRPr="007D594B" w:rsidRDefault="007D594B" w:rsidP="007D594B">
            <w:pPr>
              <w:ind w:left="0" w:firstLine="0"/>
              <w:rPr>
                <w:rFonts w:eastAsia="Calibri"/>
                <w:bCs/>
                <w:szCs w:val="22"/>
              </w:rPr>
            </w:pPr>
            <w:r w:rsidRPr="007D594B">
              <w:rPr>
                <w:rFonts w:eastAsia="Calibri"/>
                <w:bCs/>
                <w:szCs w:val="22"/>
              </w:rPr>
              <w:t>&lt;/LN&gt;</w:t>
            </w:r>
          </w:p>
          <w:p w:rsidR="007D594B" w:rsidRPr="007D594B" w:rsidRDefault="007D594B" w:rsidP="007D594B">
            <w:pPr>
              <w:ind w:left="0" w:firstLine="0"/>
              <w:rPr>
                <w:rFonts w:eastAsia="Calibri"/>
                <w:bCs/>
                <w:szCs w:val="22"/>
              </w:rPr>
            </w:pPr>
            <w:r w:rsidRPr="007D594B">
              <w:rPr>
                <w:rFonts w:eastAsia="Calibri"/>
                <w:bCs/>
                <w:szCs w:val="22"/>
              </w:rPr>
              <w:t>&lt;/IED&gt;</w:t>
            </w:r>
          </w:p>
          <w:p w:rsidR="007D594B" w:rsidRPr="007D594B" w:rsidRDefault="007D594B" w:rsidP="007D594B">
            <w:pPr>
              <w:ind w:left="0" w:firstLine="0"/>
              <w:rPr>
                <w:rFonts w:eastAsia="Calibri"/>
                <w:bCs/>
                <w:szCs w:val="22"/>
              </w:rPr>
            </w:pPr>
            <w:r w:rsidRPr="007D594B">
              <w:rPr>
                <w:rFonts w:eastAsia="Calibri"/>
                <w:bCs/>
                <w:szCs w:val="22"/>
              </w:rPr>
              <w:t>….</w:t>
            </w:r>
          </w:p>
          <w:p w:rsidR="007D594B" w:rsidRPr="007D594B" w:rsidRDefault="007D594B" w:rsidP="007D594B">
            <w:pPr>
              <w:ind w:left="0" w:firstLine="0"/>
              <w:rPr>
                <w:rFonts w:eastAsia="Calibri"/>
                <w:bCs/>
                <w:szCs w:val="22"/>
              </w:rPr>
            </w:pPr>
            <w:r w:rsidRPr="007D594B">
              <w:rPr>
                <w:rFonts w:eastAsia="Calibri"/>
                <w:bCs/>
                <w:szCs w:val="22"/>
              </w:rPr>
              <w:t>SCL-ийн бүрэн жишээг Хавсралт А-аас үзнэ үү.</w:t>
            </w:r>
          </w:p>
          <w:p w:rsidR="007D594B" w:rsidRPr="007D594B" w:rsidRDefault="007D594B" w:rsidP="007D594B">
            <w:pPr>
              <w:ind w:left="0" w:firstLine="0"/>
              <w:rPr>
                <w:rFonts w:eastAsia="Calibri"/>
                <w:b/>
                <w:bCs/>
                <w:szCs w:val="22"/>
              </w:rPr>
            </w:pPr>
            <w:bookmarkStart w:id="70" w:name="14_Effect_on_IEC_61850-7-2"/>
            <w:bookmarkEnd w:id="70"/>
            <w:r w:rsidRPr="007D594B">
              <w:rPr>
                <w:rFonts w:eastAsia="Calibri"/>
                <w:b/>
                <w:bCs/>
                <w:szCs w:val="22"/>
              </w:rPr>
              <w:t>14 IEC 61850-7-2 дээр үзүүлэх нөлөө</w:t>
            </w:r>
          </w:p>
          <w:p w:rsidR="007D594B" w:rsidRPr="007D594B" w:rsidRDefault="007D594B" w:rsidP="007D594B">
            <w:pPr>
              <w:ind w:left="0" w:firstLine="0"/>
              <w:rPr>
                <w:rFonts w:eastAsia="Calibri"/>
                <w:bCs/>
                <w:szCs w:val="22"/>
              </w:rPr>
            </w:pPr>
            <w:r w:rsidRPr="007D594B">
              <w:rPr>
                <w:rFonts w:eastAsia="Calibri"/>
                <w:bCs/>
                <w:szCs w:val="22"/>
              </w:rPr>
              <w:t xml:space="preserve">IEEE C37.118.1 CFG-2 ба CFG-3 тохируулгын командуудтай дүйцэхүйц байдлыг хангахын тулд </w:t>
            </w:r>
            <w:r w:rsidRPr="007D594B">
              <w:rPr>
                <w:rFonts w:eastAsia="Calibri"/>
                <w:bCs/>
                <w:szCs w:val="22"/>
              </w:rPr>
              <w:lastRenderedPageBreak/>
              <w:t>GetSavReference ба GetSavElementNumber сервесийг нэмж оруулна.</w:t>
            </w:r>
          </w:p>
          <w:p w:rsidR="007D594B" w:rsidRPr="007D594B" w:rsidRDefault="007D594B" w:rsidP="007D594B">
            <w:pPr>
              <w:ind w:left="0" w:firstLine="0"/>
              <w:rPr>
                <w:rFonts w:eastAsia="Calibri"/>
                <w:b/>
                <w:bCs/>
                <w:szCs w:val="22"/>
              </w:rPr>
            </w:pPr>
            <w:bookmarkStart w:id="71" w:name="15_Effect_on_IEC_61850-7-4"/>
            <w:bookmarkEnd w:id="71"/>
            <w:r w:rsidRPr="007D594B">
              <w:rPr>
                <w:rFonts w:eastAsia="Calibri"/>
                <w:b/>
                <w:bCs/>
                <w:szCs w:val="22"/>
              </w:rPr>
              <w:t>15 IEC61850-7-4дээр үзүүлэх нөлөө</w:t>
            </w:r>
          </w:p>
          <w:p w:rsidR="007D594B" w:rsidRPr="007D594B" w:rsidRDefault="007D594B" w:rsidP="007D594B">
            <w:pPr>
              <w:ind w:left="0" w:firstLine="0"/>
              <w:rPr>
                <w:rFonts w:eastAsia="Calibri"/>
                <w:b/>
                <w:bCs/>
                <w:szCs w:val="22"/>
              </w:rPr>
            </w:pPr>
            <w:bookmarkStart w:id="72" w:name="15.1_General"/>
            <w:bookmarkEnd w:id="72"/>
            <w:r w:rsidRPr="007D594B">
              <w:rPr>
                <w:rFonts w:eastAsia="Calibri"/>
                <w:b/>
                <w:bCs/>
                <w:szCs w:val="22"/>
              </w:rPr>
              <w:t>15.1 Ерөнхий</w:t>
            </w:r>
          </w:p>
          <w:p w:rsidR="007D594B" w:rsidRPr="007D594B" w:rsidRDefault="007D594B" w:rsidP="007D594B">
            <w:pPr>
              <w:ind w:left="0" w:firstLine="0"/>
              <w:rPr>
                <w:rFonts w:eastAsia="Calibri"/>
                <w:bCs/>
                <w:szCs w:val="22"/>
              </w:rPr>
            </w:pPr>
            <w:r w:rsidRPr="007D594B">
              <w:rPr>
                <w:rFonts w:eastAsia="Calibri"/>
                <w:bCs/>
                <w:szCs w:val="22"/>
              </w:rPr>
              <w:t>Энэхүү баримт бичигт IEC 61850-7-4-т шаардлагатай хэд хэдэн өөрчлөлтийг тусгасан болно. Эдгээр өөрчлөлтүүд/өргөтгөлүүдийг сайн тодорхойлсон нэрийн мөрөөр(namespace)тодорхойлно.</w:t>
            </w:r>
          </w:p>
          <w:p w:rsidR="007D594B" w:rsidRPr="007D594B" w:rsidRDefault="007D594B" w:rsidP="007D594B">
            <w:pPr>
              <w:ind w:left="0" w:firstLine="0"/>
              <w:rPr>
                <w:rFonts w:eastAsia="Calibri"/>
                <w:bCs/>
                <w:szCs w:val="22"/>
              </w:rPr>
            </w:pPr>
            <w:r w:rsidRPr="007D594B">
              <w:rPr>
                <w:rFonts w:eastAsia="Calibri"/>
                <w:bCs/>
                <w:szCs w:val="22"/>
              </w:rPr>
              <w:t>Дараах дэд бүлгүүдэд өөрчлөлт баnamespace тодорхойлолтыг нарийвчлан тодорхойлсон.</w:t>
            </w:r>
          </w:p>
          <w:p w:rsidR="007D594B" w:rsidRPr="007D594B" w:rsidRDefault="007D594B" w:rsidP="007D594B">
            <w:pPr>
              <w:ind w:left="0" w:firstLine="0"/>
              <w:rPr>
                <w:rFonts w:eastAsia="Calibri"/>
                <w:b/>
                <w:bCs/>
                <w:szCs w:val="22"/>
              </w:rPr>
            </w:pPr>
            <w:bookmarkStart w:id="73" w:name="15.2_Namespace_definition"/>
            <w:bookmarkEnd w:id="73"/>
            <w:r w:rsidRPr="007D594B">
              <w:rPr>
                <w:rFonts w:eastAsia="Calibri"/>
                <w:b/>
                <w:bCs/>
                <w:szCs w:val="22"/>
              </w:rPr>
              <w:t>15.2 Namespace тодорхойлолт</w:t>
            </w:r>
          </w:p>
          <w:p w:rsidR="007D594B" w:rsidRPr="007D594B" w:rsidRDefault="007D594B" w:rsidP="007D594B">
            <w:pPr>
              <w:ind w:left="0" w:firstLine="0"/>
              <w:rPr>
                <w:rFonts w:eastAsia="Calibri"/>
                <w:bCs/>
                <w:szCs w:val="22"/>
              </w:rPr>
            </w:pPr>
            <w:r w:rsidRPr="007D594B">
              <w:rPr>
                <w:rFonts w:eastAsia="Calibri"/>
                <w:bCs/>
                <w:szCs w:val="22"/>
              </w:rPr>
              <w:t>IEC 61850-7-4-т нэмэлт өөрчлөлт оруулахад ба IEC 61850-ийн бусад хэсгүүдийг тодорхойлоход ашигласан namespace нь: "IEC / TR 61850-90-5".</w:t>
            </w:r>
          </w:p>
          <w:p w:rsidR="007D594B" w:rsidRPr="007D594B" w:rsidRDefault="007D594B" w:rsidP="007D594B">
            <w:pPr>
              <w:ind w:left="0" w:firstLine="0"/>
              <w:rPr>
                <w:rFonts w:eastAsia="Calibri"/>
                <w:b/>
                <w:bCs/>
                <w:szCs w:val="22"/>
              </w:rPr>
            </w:pPr>
            <w:r w:rsidRPr="007D594B">
              <w:rPr>
                <w:rFonts w:eastAsia="Calibri"/>
                <w:b/>
                <w:bCs/>
                <w:szCs w:val="22"/>
              </w:rPr>
              <w:t xml:space="preserve">15.3 ClcMth өргөтгөл </w:t>
            </w:r>
          </w:p>
          <w:p w:rsidR="007D594B" w:rsidRPr="007D594B" w:rsidRDefault="007D594B" w:rsidP="007D594B">
            <w:pPr>
              <w:ind w:left="0" w:firstLine="0"/>
              <w:rPr>
                <w:rFonts w:eastAsia="Calibri"/>
                <w:bCs/>
                <w:szCs w:val="22"/>
              </w:rPr>
            </w:pPr>
            <w:r w:rsidRPr="007D594B">
              <w:rPr>
                <w:rFonts w:eastAsia="Calibri"/>
                <w:bCs/>
                <w:szCs w:val="22"/>
              </w:rPr>
              <w:t>ClcMth тооллын багцад өргөтгөл хийхдээ P-CLASS ба M-CLASS-ийг багтаасан тодорхойлолтууд (Хүснэгт 6-г үзнэ үү).</w:t>
            </w:r>
          </w:p>
          <w:p w:rsidR="007D594B" w:rsidRPr="007D594B" w:rsidRDefault="007D594B" w:rsidP="007D594B">
            <w:pPr>
              <w:ind w:left="0" w:firstLine="0"/>
              <w:rPr>
                <w:rFonts w:eastAsia="Calibri"/>
                <w:b/>
                <w:bCs/>
                <w:szCs w:val="22"/>
              </w:rPr>
            </w:pPr>
            <w:bookmarkStart w:id="74" w:name="_bookmark83"/>
            <w:bookmarkStart w:id="75" w:name="15.4_Addition_of_rate_of_change_of_frequ"/>
            <w:bookmarkEnd w:id="74"/>
            <w:bookmarkEnd w:id="75"/>
            <w:r w:rsidRPr="007D594B">
              <w:rPr>
                <w:rFonts w:eastAsia="Calibri"/>
                <w:b/>
                <w:bCs/>
                <w:szCs w:val="22"/>
              </w:rPr>
              <w:t>15.4 Давтамжийн өөрчлөлтийн хурдыг нэмэх (ROCOF) DataObject</w:t>
            </w:r>
          </w:p>
          <w:p w:rsidR="007D594B" w:rsidRPr="007D594B" w:rsidRDefault="007D594B" w:rsidP="007D594B">
            <w:pPr>
              <w:ind w:left="0" w:firstLine="0"/>
              <w:rPr>
                <w:rFonts w:eastAsia="Calibri"/>
                <w:bCs/>
                <w:szCs w:val="22"/>
              </w:rPr>
            </w:pPr>
            <w:r w:rsidRPr="007D594B">
              <w:rPr>
                <w:rFonts w:eastAsia="Calibri"/>
                <w:bCs/>
                <w:szCs w:val="22"/>
              </w:rPr>
              <w:t>IEEE C37.118.1 нь давтамжийн өөрчлөлтийн хурдыг (ROCOF) илэрхийлсэн утгыг тооцоолох техникийг тодорхойлдог.</w:t>
            </w:r>
          </w:p>
          <w:p w:rsidR="007D594B" w:rsidRPr="007D594B" w:rsidRDefault="007D594B" w:rsidP="007D594B">
            <w:pPr>
              <w:ind w:left="0" w:firstLine="0"/>
              <w:rPr>
                <w:rFonts w:eastAsia="Calibri"/>
                <w:bCs/>
                <w:szCs w:val="22"/>
              </w:rPr>
            </w:pPr>
          </w:p>
          <w:p w:rsidR="007D594B" w:rsidRPr="007D594B" w:rsidRDefault="007D594B" w:rsidP="007D594B">
            <w:pPr>
              <w:ind w:left="0" w:firstLine="0"/>
              <w:rPr>
                <w:rFonts w:eastAsia="Calibri"/>
                <w:bCs/>
                <w:szCs w:val="22"/>
              </w:rPr>
            </w:pPr>
            <w:r w:rsidRPr="007D594B">
              <w:rPr>
                <w:rFonts w:eastAsia="Calibri"/>
                <w:bCs/>
                <w:szCs w:val="22"/>
              </w:rPr>
              <w:t>Норматив тооцооллын аргыг IEEE C37.118.1-т тодорхойлсон. Дараахь текстийг IEEE C37.118.1-ээс иш татсан башаардагдах мэдээлэл гэж үзнэ:</w:t>
            </w:r>
          </w:p>
          <w:p w:rsidR="007D594B" w:rsidRPr="007D594B" w:rsidRDefault="007D594B" w:rsidP="007D594B">
            <w:pPr>
              <w:ind w:left="0" w:firstLine="0"/>
              <w:rPr>
                <w:rFonts w:eastAsia="Calibri"/>
                <w:bCs/>
                <w:szCs w:val="22"/>
              </w:rPr>
            </w:pPr>
            <w:r w:rsidRPr="007D594B">
              <w:rPr>
                <w:rFonts w:eastAsia="Calibri"/>
                <w:bCs/>
                <w:szCs w:val="22"/>
              </w:rPr>
              <w:t>"PMU нь давтамжийн өөрчлөлтийн хурд (ROCOF)-ийг тооцоолж, давтамжийг тайлагнах чадвартай байх ёстой. Энэ хэмжилтийн хувьд дараах стандарт тодорхойлолтыг ашиглана. Синусоид сигнал өгвөл</w:t>
            </w:r>
          </w:p>
          <w:p w:rsidR="007D594B" w:rsidRPr="007D594B" w:rsidRDefault="007D594B" w:rsidP="007D594B">
            <w:pPr>
              <w:ind w:left="0" w:firstLine="0"/>
              <w:rPr>
                <w:rFonts w:eastAsia="Calibri"/>
                <w:bCs/>
                <w:szCs w:val="22"/>
              </w:rPr>
            </w:pPr>
            <w:r w:rsidRPr="007D594B">
              <w:rPr>
                <w:rFonts w:eastAsia="Calibri"/>
                <w:bCs/>
                <w:szCs w:val="22"/>
              </w:rPr>
              <w:t>X(t) = Xmcos [ψ(t)]</w:t>
            </w:r>
          </w:p>
          <w:p w:rsidR="007D594B" w:rsidRPr="007D594B" w:rsidRDefault="007D594B" w:rsidP="007D594B">
            <w:pPr>
              <w:ind w:left="0" w:firstLine="0"/>
              <w:rPr>
                <w:rFonts w:eastAsia="Calibri"/>
                <w:bCs/>
                <w:szCs w:val="22"/>
              </w:rPr>
            </w:pPr>
            <w:r w:rsidRPr="007D594B">
              <w:rPr>
                <w:rFonts w:eastAsia="Calibri"/>
                <w:bCs/>
                <w:szCs w:val="22"/>
              </w:rPr>
              <w:t>Давтамжийг тодорхойлбол:</w:t>
            </w:r>
          </w:p>
          <w:p w:rsidR="007D594B" w:rsidRPr="007D594B" w:rsidRDefault="007D594B" w:rsidP="007D594B">
            <w:pPr>
              <w:ind w:left="0" w:firstLine="0"/>
              <w:rPr>
                <w:rFonts w:eastAsia="Calibri"/>
                <w:bCs/>
                <w:szCs w:val="22"/>
              </w:rPr>
            </w:pPr>
            <w:r w:rsidRPr="007D594B">
              <w:rPr>
                <w:rFonts w:eastAsia="Calibri"/>
                <w:bCs/>
                <w:szCs w:val="22"/>
              </w:rPr>
              <w:t>f(t)= 1. dψ(t)2π</w:t>
            </w:r>
            <w:r w:rsidRPr="007D594B">
              <w:rPr>
                <w:rFonts w:eastAsia="Calibri"/>
                <w:bCs/>
                <w:szCs w:val="22"/>
              </w:rPr>
              <w:tab/>
              <w:t>dt</w:t>
            </w:r>
          </w:p>
          <w:p w:rsidR="007D594B" w:rsidRPr="007D594B" w:rsidRDefault="007D594B" w:rsidP="007D594B">
            <w:pPr>
              <w:ind w:left="0" w:firstLine="0"/>
              <w:rPr>
                <w:rFonts w:eastAsia="Calibri"/>
                <w:bCs/>
                <w:szCs w:val="22"/>
              </w:rPr>
            </w:pPr>
            <w:r w:rsidRPr="007D594B">
              <w:rPr>
                <w:rFonts w:eastAsia="Calibri"/>
                <w:bCs/>
                <w:szCs w:val="22"/>
              </w:rPr>
              <w:lastRenderedPageBreak/>
              <w:t>ба давтамжийн өөрчлөлтийн хурд ROCOF = df (t)/dt</w:t>
            </w:r>
          </w:p>
          <w:p w:rsidR="007D594B" w:rsidRPr="007D594B" w:rsidRDefault="007D594B" w:rsidP="007D594B">
            <w:pPr>
              <w:ind w:left="0" w:firstLine="0"/>
              <w:rPr>
                <w:rFonts w:eastAsia="Calibri"/>
                <w:bCs/>
                <w:szCs w:val="22"/>
              </w:rPr>
            </w:pPr>
            <w:r w:rsidRPr="007D594B">
              <w:rPr>
                <w:rFonts w:eastAsia="Calibri"/>
                <w:bCs/>
                <w:szCs w:val="22"/>
              </w:rPr>
              <w:t>Системийн номинал давтамж (</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 xml:space="preserve">) -тай хамааруулж синхрофазорыг үргэлж тооцдог.Хэрэв косинусын аргументыг ψ(t) = </w:t>
            </w:r>
            <m:oMath>
              <m:sSub>
                <m:sSubPr>
                  <m:ctrlPr>
                    <w:rPr>
                      <w:rFonts w:ascii="Cambria Math" w:eastAsia="Calibri" w:hAnsi="Cambria Math"/>
                      <w:bCs/>
                      <w:szCs w:val="22"/>
                    </w:rPr>
                  </m:ctrlPr>
                </m:sSubPr>
                <m:e>
                  <m:r>
                    <m:rPr>
                      <m:sty m:val="p"/>
                    </m:rPr>
                    <w:rPr>
                      <w:rFonts w:ascii="Cambria Math" w:eastAsia="Calibri" w:hAnsi="Cambria Math"/>
                      <w:szCs w:val="22"/>
                    </w:rPr>
                    <m:t>ω</m:t>
                  </m:r>
                </m:e>
                <m:sub>
                  <m:r>
                    <m:rPr>
                      <m:sty m:val="p"/>
                    </m:rPr>
                    <w:rPr>
                      <w:rFonts w:ascii="Cambria Math" w:eastAsia="Calibri" w:hAnsi="Cambria Math"/>
                      <w:szCs w:val="22"/>
                    </w:rPr>
                    <m:t>0</m:t>
                  </m:r>
                </m:sub>
              </m:sSub>
            </m:oMath>
            <w:r w:rsidRPr="007D594B">
              <w:rPr>
                <w:rFonts w:eastAsia="Calibri"/>
                <w:bCs/>
                <w:szCs w:val="22"/>
              </w:rPr>
              <w:t>t + φ(t) = 2π</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t + φ(t) = 2π [</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t + φ(t)/ 2π],  гэж үзвэл, давтамжийн томъёо нь</w:t>
            </w:r>
          </w:p>
          <w:p w:rsidR="007D594B" w:rsidRPr="007D594B" w:rsidRDefault="007D594B" w:rsidP="007D594B">
            <w:pPr>
              <w:ind w:left="0" w:firstLine="0"/>
              <w:rPr>
                <w:rFonts w:eastAsia="Calibri"/>
                <w:bCs/>
                <w:szCs w:val="22"/>
              </w:rPr>
            </w:pPr>
            <w:r w:rsidRPr="007D594B">
              <w:rPr>
                <w:rFonts w:eastAsia="Calibri"/>
                <w:bCs/>
                <w:szCs w:val="22"/>
              </w:rPr>
              <w:t xml:space="preserve">f(t) = </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 xml:space="preserve"> + d[φ (t)/2π]/dt = </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 xml:space="preserve"> + Δf (t) энд, Δf(t) нь номинал давтамжийн хазайлт ба </w:t>
            </w:r>
          </w:p>
          <w:p w:rsidR="007D594B" w:rsidRPr="007D594B" w:rsidRDefault="007D594B" w:rsidP="007D594B">
            <w:pPr>
              <w:ind w:left="0" w:firstLine="0"/>
              <w:rPr>
                <w:rFonts w:eastAsia="Calibri"/>
                <w:bCs/>
                <w:szCs w:val="22"/>
              </w:rPr>
            </w:pPr>
            <w:r w:rsidRPr="007D594B">
              <w:rPr>
                <w:rFonts w:eastAsia="Calibri"/>
                <w:bCs/>
                <w:szCs w:val="22"/>
              </w:rPr>
              <w:t xml:space="preserve">ROCOF = </w:t>
            </w:r>
            <m:oMath>
              <m:sSup>
                <m:sSupPr>
                  <m:ctrlPr>
                    <w:rPr>
                      <w:rFonts w:ascii="Cambria Math" w:eastAsia="Calibri" w:hAnsi="Cambria Math"/>
                      <w:bCs/>
                      <w:szCs w:val="22"/>
                    </w:rPr>
                  </m:ctrlPr>
                </m:sSupPr>
                <m:e>
                  <m:r>
                    <w:rPr>
                      <w:rFonts w:ascii="Cambria Math" w:eastAsia="Calibri" w:hAnsi="Cambria Math"/>
                      <w:szCs w:val="22"/>
                    </w:rPr>
                    <m:t>d</m:t>
                  </m:r>
                </m:e>
                <m:sup>
                  <m:r>
                    <m:rPr>
                      <m:sty m:val="p"/>
                    </m:rPr>
                    <w:rPr>
                      <w:rFonts w:ascii="Cambria Math" w:eastAsia="Calibri" w:hAnsi="Cambria Math"/>
                      <w:szCs w:val="22"/>
                    </w:rPr>
                    <m:t>2</m:t>
                  </m:r>
                </m:sup>
              </m:sSup>
            </m:oMath>
            <w:r w:rsidRPr="007D594B">
              <w:rPr>
                <w:rFonts w:eastAsia="Calibri"/>
                <w:bCs/>
                <w:szCs w:val="22"/>
              </w:rPr>
              <w:t>[φ(t)/2π]/dt2 = d(Δf(t))/dt</w:t>
            </w:r>
          </w:p>
          <w:p w:rsidR="007D594B" w:rsidRPr="007D594B" w:rsidRDefault="007D594B" w:rsidP="007D594B">
            <w:pPr>
              <w:ind w:left="0" w:firstLine="0"/>
              <w:rPr>
                <w:rFonts w:eastAsia="Calibri"/>
                <w:bCs/>
                <w:szCs w:val="22"/>
              </w:rPr>
            </w:pPr>
            <w:r w:rsidRPr="007D594B">
              <w:rPr>
                <w:rFonts w:eastAsia="Calibri"/>
                <w:bCs/>
                <w:szCs w:val="22"/>
              </w:rPr>
              <w:t>Фазорын хэмжилт дэх давтамжийг бодит давтамж f (t) буюу номинал давтамжийн хазайлт, ∆f (t) гэж үзэж болно. Тогтвортой төлөвийн нөхцөлд ∆f (t) -г скаляр тоо  ∆f хэлбэрээр илэрхийлж болно.”</w:t>
            </w:r>
          </w:p>
          <w:p w:rsidR="007D594B" w:rsidRPr="007D594B" w:rsidRDefault="007D594B" w:rsidP="007D594B">
            <w:pPr>
              <w:ind w:left="0" w:firstLine="0"/>
              <w:rPr>
                <w:rFonts w:eastAsia="Calibri"/>
                <w:bCs/>
                <w:szCs w:val="22"/>
              </w:rPr>
            </w:pPr>
            <w:r w:rsidRPr="007D594B">
              <w:rPr>
                <w:rFonts w:eastAsia="Calibri"/>
                <w:bCs/>
                <w:szCs w:val="22"/>
              </w:rPr>
              <w:t>IEC 61850-ийн зорилгын үүднээс нөхцөлт DataObject-ийг IEC 61850-7-4-т MMXU ба/буюу MMXN Logical Node тодорхойлолтыг нэмж оруулна. DataObject-ийн нэр нь "HzRte" байх ба энэ нь давтамжийн өөрчлөлтийн хурдыг заана. "HzRte" нь Нийтлэг Өгөгдлийн Анги (CDC) MV байна. HzRte DataObject утга нь хөвөх цэг байх ёстой.</w:t>
            </w:r>
          </w:p>
          <w:p w:rsidR="007D594B" w:rsidRPr="007D594B" w:rsidRDefault="007D594B" w:rsidP="007D594B">
            <w:pPr>
              <w:ind w:left="0" w:firstLine="0"/>
              <w:rPr>
                <w:rFonts w:eastAsia="Calibri"/>
                <w:bCs/>
                <w:szCs w:val="22"/>
              </w:rPr>
            </w:pPr>
            <w:r w:rsidRPr="007D594B">
              <w:rPr>
                <w:rFonts w:eastAsia="Calibri"/>
                <w:bCs/>
                <w:szCs w:val="22"/>
              </w:rPr>
              <w:t>IEC 61850-7-3-т тодорхойлсоноор нэгж ньГц/секунд байна. IEC 61850-7-3-т тодорхойлсноор үржүүлэгчийг “none” байхыг зөвлөж байна.</w:t>
            </w:r>
          </w:p>
          <w:p w:rsidR="007D594B" w:rsidRPr="007D594B" w:rsidRDefault="007D594B" w:rsidP="007D594B">
            <w:pPr>
              <w:ind w:left="0" w:firstLine="0"/>
              <w:rPr>
                <w:rFonts w:eastAsia="Calibri"/>
                <w:b/>
                <w:bCs/>
                <w:szCs w:val="22"/>
              </w:rPr>
            </w:pPr>
            <w:bookmarkStart w:id="76" w:name="15.5_Modifications_to_the_LTIM_logical_n"/>
            <w:bookmarkEnd w:id="76"/>
            <w:r w:rsidRPr="007D594B">
              <w:rPr>
                <w:rFonts w:eastAsia="Calibri"/>
                <w:b/>
                <w:bCs/>
                <w:szCs w:val="22"/>
              </w:rPr>
              <w:t>15.5 LTIM логик зангилааны ангийн өөрчлөлтүүд</w:t>
            </w:r>
          </w:p>
          <w:p w:rsidR="007D594B" w:rsidRPr="007D594B" w:rsidRDefault="007D594B" w:rsidP="007D594B">
            <w:pPr>
              <w:ind w:left="0" w:firstLine="0"/>
              <w:rPr>
                <w:rFonts w:eastAsia="Calibri"/>
                <w:bCs/>
                <w:szCs w:val="22"/>
              </w:rPr>
            </w:pPr>
            <w:r w:rsidRPr="007D594B">
              <w:rPr>
                <w:rFonts w:eastAsia="Calibri"/>
                <w:bCs/>
                <w:szCs w:val="22"/>
              </w:rPr>
              <w:t>Дараах Өгөгдлийн Объект семантикийг IEC 61850-7-4-ийн Хүснэгт 10, 6-р бүлэгт нэмж оруулна:</w:t>
            </w:r>
          </w:p>
        </w:tc>
        <w:tc>
          <w:tcPr>
            <w:tcW w:w="4672" w:type="dxa"/>
          </w:tcPr>
          <w:p w:rsidR="007D594B" w:rsidRPr="007D594B" w:rsidRDefault="007D594B" w:rsidP="007D594B">
            <w:pPr>
              <w:ind w:left="0" w:firstLine="0"/>
              <w:rPr>
                <w:rFonts w:eastAsia="Calibri"/>
                <w:b/>
                <w:bCs/>
                <w:szCs w:val="22"/>
              </w:rPr>
            </w:pPr>
            <w:r w:rsidRPr="007D594B">
              <w:rPr>
                <w:rFonts w:eastAsia="Calibri"/>
                <w:b/>
                <w:bCs/>
                <w:szCs w:val="22"/>
              </w:rPr>
              <w:lastRenderedPageBreak/>
              <w:t>13.3.3 SCL example</w:t>
            </w:r>
          </w:p>
          <w:p w:rsidR="007D594B" w:rsidRPr="007D594B" w:rsidRDefault="007D594B" w:rsidP="007D594B">
            <w:pPr>
              <w:ind w:left="0" w:firstLine="0"/>
              <w:rPr>
                <w:rFonts w:eastAsia="Calibri"/>
                <w:bCs/>
                <w:szCs w:val="22"/>
              </w:rPr>
            </w:pPr>
            <w:r w:rsidRPr="007D594B">
              <w:rPr>
                <w:rFonts w:eastAsia="Calibri"/>
                <w:bCs/>
                <w:szCs w:val="22"/>
              </w:rPr>
              <w:lastRenderedPageBreak/>
              <w:t>The following example illustrates the usage at the data object instance on the IED.</w:t>
            </w:r>
          </w:p>
          <w:p w:rsidR="007D594B" w:rsidRPr="007D594B" w:rsidRDefault="007D594B" w:rsidP="007D594B">
            <w:pPr>
              <w:ind w:left="0" w:firstLine="0"/>
              <w:rPr>
                <w:rFonts w:eastAsia="Calibri"/>
                <w:bCs/>
                <w:szCs w:val="22"/>
              </w:rPr>
            </w:pPr>
            <w:r w:rsidRPr="007D594B">
              <w:rPr>
                <w:rFonts w:eastAsia="Calibri"/>
                <w:bCs/>
                <w:szCs w:val="22"/>
              </w:rPr>
              <w:t>Observe that sAddr attributes can be attached at IED instance level as well as at DataTypeTemplate level. The last choice might need more data type template definitions, however saves the definition at instance level, if several PMUs of the same type (with same address values) are in the same SCD file.</w:t>
            </w:r>
          </w:p>
          <w:p w:rsidR="007D594B" w:rsidRPr="007D594B" w:rsidRDefault="007D594B" w:rsidP="007D594B">
            <w:pPr>
              <w:ind w:left="0" w:firstLine="0"/>
              <w:rPr>
                <w:rFonts w:eastAsia="Calibri"/>
                <w:bCs/>
                <w:szCs w:val="22"/>
              </w:rPr>
            </w:pPr>
            <w:r w:rsidRPr="007D594B">
              <w:rPr>
                <w:rFonts w:eastAsia="Calibri"/>
                <w:bCs/>
                <w:szCs w:val="22"/>
              </w:rPr>
              <w:t>&lt;IED name=”MyPMU” …&gt;</w:t>
            </w:r>
          </w:p>
          <w:p w:rsidR="007D594B" w:rsidRPr="007D594B" w:rsidRDefault="007D594B" w:rsidP="007D594B">
            <w:pPr>
              <w:ind w:left="0" w:firstLine="0"/>
              <w:rPr>
                <w:rFonts w:eastAsia="Calibri"/>
                <w:bCs/>
                <w:szCs w:val="22"/>
              </w:rPr>
            </w:pPr>
            <w:r w:rsidRPr="007D594B">
              <w:rPr>
                <w:rFonts w:eastAsia="Calibri"/>
                <w:bCs/>
                <w:szCs w:val="22"/>
              </w:rPr>
              <w:t>….</w:t>
            </w:r>
          </w:p>
          <w:p w:rsidR="007D594B" w:rsidRPr="007D594B" w:rsidRDefault="007D594B" w:rsidP="007D594B">
            <w:pPr>
              <w:ind w:left="0" w:firstLine="0"/>
              <w:rPr>
                <w:rFonts w:eastAsia="Calibri"/>
                <w:bCs/>
                <w:szCs w:val="22"/>
              </w:rPr>
            </w:pPr>
            <w:r w:rsidRPr="007D594B">
              <w:rPr>
                <w:rFonts w:eastAsia="Calibri"/>
                <w:bCs/>
                <w:szCs w:val="22"/>
              </w:rPr>
              <w:t>&lt;LN lnClass=”MMXU” ….&gt;</w:t>
            </w:r>
          </w:p>
          <w:p w:rsidR="007D594B" w:rsidRPr="007D594B" w:rsidRDefault="007D594B" w:rsidP="007D594B">
            <w:pPr>
              <w:ind w:left="0" w:firstLine="0"/>
              <w:rPr>
                <w:rFonts w:eastAsia="Calibri"/>
                <w:bCs/>
                <w:szCs w:val="22"/>
              </w:rPr>
            </w:pPr>
            <w:r w:rsidRPr="007D594B">
              <w:rPr>
                <w:rFonts w:eastAsia="Calibri"/>
                <w:bCs/>
                <w:szCs w:val="22"/>
              </w:rPr>
              <w:t>&lt;DOI name=”PhV”&gt;</w:t>
            </w:r>
          </w:p>
          <w:p w:rsidR="007D594B" w:rsidRPr="007D594B" w:rsidRDefault="007D594B" w:rsidP="007D594B">
            <w:pPr>
              <w:ind w:left="0" w:firstLine="0"/>
              <w:rPr>
                <w:rFonts w:eastAsia="Calibri"/>
                <w:bCs/>
                <w:szCs w:val="22"/>
              </w:rPr>
            </w:pPr>
            <w:r w:rsidRPr="007D594B">
              <w:rPr>
                <w:rFonts w:eastAsia="Calibri"/>
                <w:bCs/>
                <w:szCs w:val="22"/>
              </w:rPr>
              <w:t>&lt;SDI name=”phsA”&gt;</w:t>
            </w:r>
          </w:p>
          <w:p w:rsidR="007D594B" w:rsidRPr="007D594B" w:rsidRDefault="007D594B" w:rsidP="007D594B">
            <w:pPr>
              <w:ind w:left="0" w:firstLine="0"/>
              <w:rPr>
                <w:rFonts w:eastAsia="Calibri"/>
                <w:bCs/>
                <w:szCs w:val="22"/>
              </w:rPr>
            </w:pPr>
            <w:r w:rsidRPr="007D594B">
              <w:rPr>
                <w:rFonts w:eastAsia="Calibri"/>
                <w:bCs/>
                <w:szCs w:val="22"/>
              </w:rPr>
              <w:t>&lt;SDI name=”cVal”&gt;</w:t>
            </w:r>
          </w:p>
          <w:p w:rsidR="007D594B" w:rsidRPr="007D594B" w:rsidRDefault="007D594B" w:rsidP="007D594B">
            <w:pPr>
              <w:ind w:left="0" w:firstLine="0"/>
              <w:rPr>
                <w:rFonts w:eastAsia="Calibri"/>
                <w:bCs/>
                <w:szCs w:val="22"/>
              </w:rPr>
            </w:pPr>
            <w:r w:rsidRPr="007D594B">
              <w:rPr>
                <w:rFonts w:eastAsia="Calibri"/>
                <w:bCs/>
                <w:szCs w:val="22"/>
              </w:rPr>
              <w:t>&lt;SDI name=”mag”&gt;</w:t>
            </w:r>
          </w:p>
          <w:p w:rsidR="007D594B" w:rsidRPr="007D594B" w:rsidRDefault="007D594B" w:rsidP="007D594B">
            <w:pPr>
              <w:ind w:left="0" w:firstLine="0"/>
              <w:rPr>
                <w:rFonts w:eastAsia="Calibri"/>
                <w:bCs/>
                <w:szCs w:val="22"/>
              </w:rPr>
            </w:pPr>
            <w:r w:rsidRPr="007D594B">
              <w:rPr>
                <w:rFonts w:eastAsia="Calibri"/>
                <w:bCs/>
                <w:szCs w:val="22"/>
              </w:rPr>
              <w:t>&lt;DAI name=”f” sAddr=”0,PHASORS,2” /&gt;</w:t>
            </w:r>
          </w:p>
          <w:p w:rsidR="007D594B" w:rsidRPr="007D594B" w:rsidRDefault="007D594B" w:rsidP="007D594B">
            <w:pPr>
              <w:ind w:left="0" w:firstLine="0"/>
              <w:rPr>
                <w:rFonts w:eastAsia="Calibri"/>
                <w:bCs/>
                <w:szCs w:val="22"/>
              </w:rPr>
            </w:pPr>
            <w:r w:rsidRPr="007D594B">
              <w:rPr>
                <w:rFonts w:eastAsia="Calibri"/>
                <w:bCs/>
                <w:szCs w:val="22"/>
              </w:rPr>
              <w:t>&lt;!-- floating point value of voltage phasor phase A amplitude is the second phasor value in the first ASDU -- &gt;</w:t>
            </w:r>
          </w:p>
          <w:p w:rsidR="007D594B" w:rsidRPr="007D594B" w:rsidRDefault="007D594B" w:rsidP="007D594B">
            <w:pPr>
              <w:ind w:left="0" w:firstLine="0"/>
              <w:rPr>
                <w:rFonts w:eastAsia="Calibri"/>
                <w:bCs/>
                <w:szCs w:val="22"/>
              </w:rPr>
            </w:pPr>
            <w:r w:rsidRPr="007D594B">
              <w:rPr>
                <w:rFonts w:eastAsia="Calibri"/>
                <w:bCs/>
                <w:szCs w:val="22"/>
              </w:rPr>
              <w:t>&lt;/SDI&gt;</w:t>
            </w:r>
          </w:p>
          <w:p w:rsidR="007D594B" w:rsidRPr="007D594B" w:rsidRDefault="007D594B" w:rsidP="007D594B">
            <w:pPr>
              <w:ind w:left="0" w:firstLine="0"/>
              <w:rPr>
                <w:rFonts w:eastAsia="Calibri"/>
                <w:bCs/>
                <w:szCs w:val="22"/>
              </w:rPr>
            </w:pPr>
            <w:r w:rsidRPr="007D594B">
              <w:rPr>
                <w:rFonts w:eastAsia="Calibri"/>
                <w:bCs/>
                <w:szCs w:val="22"/>
              </w:rPr>
              <w:t>&lt;SDI name=”ang”&gt;</w:t>
            </w:r>
          </w:p>
          <w:p w:rsidR="007D594B" w:rsidRPr="007D594B" w:rsidRDefault="007D594B" w:rsidP="007D594B">
            <w:pPr>
              <w:ind w:left="0" w:firstLine="0"/>
              <w:rPr>
                <w:rFonts w:eastAsia="Calibri"/>
                <w:bCs/>
                <w:szCs w:val="22"/>
              </w:rPr>
            </w:pPr>
            <w:r w:rsidRPr="007D594B">
              <w:rPr>
                <w:rFonts w:eastAsia="Calibri"/>
                <w:bCs/>
                <w:szCs w:val="22"/>
              </w:rPr>
              <w:t>&lt;DAI name=”f” sAddr=”,PHASORS,2” /&gt;</w:t>
            </w:r>
          </w:p>
          <w:p w:rsidR="007D594B" w:rsidRPr="007D594B" w:rsidRDefault="007D594B" w:rsidP="007D594B">
            <w:pPr>
              <w:ind w:left="0" w:firstLine="0"/>
              <w:rPr>
                <w:rFonts w:eastAsia="Calibri"/>
                <w:bCs/>
                <w:szCs w:val="22"/>
              </w:rPr>
            </w:pPr>
            <w:r w:rsidRPr="007D594B">
              <w:rPr>
                <w:rFonts w:eastAsia="Calibri"/>
                <w:bCs/>
                <w:szCs w:val="22"/>
              </w:rPr>
              <w:t>&lt;!-- floating point value of voltage phasor phase A angle is  found at the same place; this  part  or this sAddr might therefore be skipped; missing repeatno indicates value 0,  as  no repeatno  is defined at LDevice level -- &gt;</w:t>
            </w:r>
          </w:p>
          <w:p w:rsidR="007D594B" w:rsidRPr="007D594B" w:rsidRDefault="007D594B" w:rsidP="007D594B">
            <w:pPr>
              <w:ind w:left="0" w:firstLine="0"/>
              <w:rPr>
                <w:rFonts w:eastAsia="Calibri"/>
                <w:bCs/>
                <w:szCs w:val="22"/>
              </w:rPr>
            </w:pPr>
            <w:r w:rsidRPr="007D594B">
              <w:rPr>
                <w:rFonts w:eastAsia="Calibri"/>
                <w:bCs/>
                <w:szCs w:val="22"/>
              </w:rPr>
              <w:t>&lt;/SDI&gt;</w:t>
            </w:r>
          </w:p>
          <w:p w:rsidR="007D594B" w:rsidRPr="007D594B" w:rsidRDefault="007D594B" w:rsidP="007D594B">
            <w:pPr>
              <w:ind w:left="0" w:firstLine="0"/>
              <w:rPr>
                <w:rFonts w:eastAsia="Calibri"/>
                <w:bCs/>
                <w:szCs w:val="22"/>
              </w:rPr>
            </w:pPr>
            <w:r w:rsidRPr="007D594B">
              <w:rPr>
                <w:rFonts w:eastAsia="Calibri"/>
                <w:bCs/>
                <w:szCs w:val="22"/>
              </w:rPr>
              <w:t>&lt;/SDI&gt;</w:t>
            </w:r>
          </w:p>
          <w:p w:rsidR="007D594B" w:rsidRPr="007D594B" w:rsidRDefault="007D594B" w:rsidP="007D594B">
            <w:pPr>
              <w:ind w:left="0" w:firstLine="0"/>
              <w:rPr>
                <w:rFonts w:eastAsia="Calibri"/>
                <w:bCs/>
                <w:szCs w:val="22"/>
              </w:rPr>
            </w:pPr>
            <w:r w:rsidRPr="007D594B">
              <w:rPr>
                <w:rFonts w:eastAsia="Calibri"/>
                <w:bCs/>
                <w:szCs w:val="22"/>
              </w:rPr>
              <w:t>&lt;/SDI&gt;</w:t>
            </w:r>
          </w:p>
          <w:p w:rsidR="007D594B" w:rsidRPr="007D594B" w:rsidRDefault="007D594B" w:rsidP="007D594B">
            <w:pPr>
              <w:ind w:left="0" w:firstLine="0"/>
              <w:rPr>
                <w:rFonts w:eastAsia="Calibri"/>
                <w:bCs/>
                <w:szCs w:val="22"/>
              </w:rPr>
            </w:pPr>
            <w:r w:rsidRPr="007D594B">
              <w:rPr>
                <w:rFonts w:eastAsia="Calibri"/>
                <w:bCs/>
                <w:szCs w:val="22"/>
              </w:rPr>
              <w:t>&lt;/DOI&gt;</w:t>
            </w:r>
          </w:p>
          <w:p w:rsidR="007D594B" w:rsidRPr="007D594B" w:rsidRDefault="007D594B" w:rsidP="007D594B">
            <w:pPr>
              <w:ind w:left="0" w:firstLine="0"/>
              <w:rPr>
                <w:rFonts w:eastAsia="Calibri"/>
                <w:bCs/>
                <w:szCs w:val="22"/>
              </w:rPr>
            </w:pPr>
            <w:r w:rsidRPr="007D594B">
              <w:rPr>
                <w:rFonts w:eastAsia="Calibri"/>
                <w:bCs/>
                <w:szCs w:val="22"/>
              </w:rPr>
              <w:t>&lt;/LN&gt;</w:t>
            </w:r>
          </w:p>
          <w:p w:rsidR="007D594B" w:rsidRPr="007D594B" w:rsidRDefault="007D594B" w:rsidP="007D594B">
            <w:pPr>
              <w:ind w:left="0" w:firstLine="0"/>
              <w:rPr>
                <w:rFonts w:eastAsia="Calibri"/>
                <w:bCs/>
                <w:szCs w:val="22"/>
              </w:rPr>
            </w:pPr>
            <w:r w:rsidRPr="007D594B">
              <w:rPr>
                <w:rFonts w:eastAsia="Calibri"/>
                <w:bCs/>
                <w:szCs w:val="22"/>
              </w:rPr>
              <w:t>&lt;/IED&gt;</w:t>
            </w:r>
          </w:p>
          <w:p w:rsidR="007D594B" w:rsidRPr="007D594B" w:rsidRDefault="007D594B" w:rsidP="007D594B">
            <w:pPr>
              <w:ind w:left="0" w:firstLine="0"/>
              <w:rPr>
                <w:rFonts w:eastAsia="Calibri"/>
                <w:bCs/>
                <w:szCs w:val="22"/>
              </w:rPr>
            </w:pPr>
            <w:r w:rsidRPr="007D594B">
              <w:rPr>
                <w:rFonts w:eastAsia="Calibri"/>
                <w:bCs/>
                <w:szCs w:val="22"/>
              </w:rPr>
              <w:t>….</w:t>
            </w:r>
          </w:p>
          <w:p w:rsidR="007D594B" w:rsidRPr="007D594B" w:rsidRDefault="007D594B" w:rsidP="007D594B">
            <w:pPr>
              <w:ind w:left="0" w:firstLine="0"/>
              <w:rPr>
                <w:rFonts w:eastAsia="Calibri"/>
                <w:bCs/>
                <w:szCs w:val="22"/>
              </w:rPr>
            </w:pPr>
            <w:r w:rsidRPr="007D594B">
              <w:rPr>
                <w:rFonts w:eastAsia="Calibri"/>
                <w:bCs/>
                <w:szCs w:val="22"/>
              </w:rPr>
              <w:t>For a full SCL example, see Annex A.</w:t>
            </w:r>
          </w:p>
          <w:p w:rsidR="007D594B" w:rsidRPr="007D594B" w:rsidRDefault="007D594B" w:rsidP="007D594B">
            <w:pPr>
              <w:ind w:left="0" w:firstLine="0"/>
              <w:rPr>
                <w:rFonts w:eastAsia="Calibri"/>
                <w:b/>
                <w:bCs/>
                <w:szCs w:val="22"/>
              </w:rPr>
            </w:pPr>
            <w:r w:rsidRPr="007D594B">
              <w:rPr>
                <w:rFonts w:eastAsia="Calibri"/>
                <w:b/>
                <w:bCs/>
                <w:szCs w:val="22"/>
              </w:rPr>
              <w:t>14 Effect on IEC 61850-7-2</w:t>
            </w:r>
          </w:p>
          <w:p w:rsidR="007D594B" w:rsidRPr="007D594B" w:rsidRDefault="007D594B" w:rsidP="007D594B">
            <w:pPr>
              <w:ind w:left="0" w:firstLine="0"/>
              <w:rPr>
                <w:rFonts w:eastAsia="Calibri"/>
                <w:bCs/>
                <w:szCs w:val="22"/>
              </w:rPr>
            </w:pPr>
            <w:r w:rsidRPr="007D594B">
              <w:rPr>
                <w:rFonts w:eastAsia="Calibri"/>
                <w:bCs/>
                <w:szCs w:val="22"/>
              </w:rPr>
              <w:t xml:space="preserve">In order to provide the equivalent of the IEEE C37.118.1 CFG-2 and CFG-3 configuration commands, </w:t>
            </w:r>
            <w:r w:rsidRPr="007D594B">
              <w:rPr>
                <w:rFonts w:eastAsia="Calibri"/>
                <w:bCs/>
                <w:szCs w:val="22"/>
              </w:rPr>
              <w:lastRenderedPageBreak/>
              <w:t>GetSavReference and GetSavElementNumber service shall be added.</w:t>
            </w:r>
          </w:p>
          <w:p w:rsidR="007D594B" w:rsidRPr="007D594B" w:rsidRDefault="007D594B" w:rsidP="007D594B">
            <w:pPr>
              <w:ind w:left="0" w:firstLine="0"/>
              <w:rPr>
                <w:rFonts w:eastAsia="Calibri"/>
                <w:b/>
                <w:bCs/>
                <w:szCs w:val="22"/>
              </w:rPr>
            </w:pPr>
            <w:r w:rsidRPr="007D594B">
              <w:rPr>
                <w:rFonts w:eastAsia="Calibri"/>
                <w:b/>
                <w:bCs/>
                <w:szCs w:val="22"/>
              </w:rPr>
              <w:t>15 Effect on IEC 61850-7-4</w:t>
            </w:r>
          </w:p>
          <w:p w:rsidR="007D594B" w:rsidRPr="007D594B" w:rsidRDefault="007D594B" w:rsidP="007D594B">
            <w:pPr>
              <w:ind w:left="0" w:firstLine="0"/>
              <w:rPr>
                <w:rFonts w:eastAsia="Calibri"/>
                <w:b/>
                <w:bCs/>
                <w:szCs w:val="22"/>
              </w:rPr>
            </w:pPr>
            <w:r w:rsidRPr="007D594B">
              <w:rPr>
                <w:rFonts w:eastAsia="Calibri"/>
                <w:b/>
                <w:bCs/>
                <w:szCs w:val="22"/>
              </w:rPr>
              <w:t>15.1 General</w:t>
            </w:r>
          </w:p>
          <w:p w:rsidR="007D594B" w:rsidRPr="007D594B" w:rsidRDefault="007D594B" w:rsidP="007D594B">
            <w:pPr>
              <w:ind w:left="0" w:firstLine="0"/>
              <w:rPr>
                <w:rFonts w:eastAsia="Calibri"/>
                <w:bCs/>
                <w:szCs w:val="22"/>
              </w:rPr>
            </w:pPr>
            <w:r w:rsidRPr="007D594B">
              <w:rPr>
                <w:rFonts w:eastAsia="Calibri"/>
                <w:bCs/>
                <w:szCs w:val="22"/>
              </w:rPr>
              <w:t>This</w:t>
            </w:r>
            <w:r w:rsidRPr="007D594B">
              <w:rPr>
                <w:rFonts w:eastAsia="Calibri"/>
                <w:bCs/>
                <w:szCs w:val="22"/>
              </w:rPr>
              <w:tab/>
              <w:t>document</w:t>
            </w:r>
            <w:r w:rsidRPr="007D594B">
              <w:rPr>
                <w:rFonts w:eastAsia="Calibri"/>
                <w:bCs/>
                <w:szCs w:val="22"/>
              </w:rPr>
              <w:tab/>
              <w:t>specifies several modifications</w:t>
            </w:r>
            <w:r w:rsidRPr="007D594B">
              <w:rPr>
                <w:rFonts w:eastAsia="Calibri"/>
                <w:bCs/>
                <w:szCs w:val="22"/>
              </w:rPr>
              <w:tab/>
              <w:t>needed</w:t>
            </w:r>
            <w:r w:rsidRPr="007D594B">
              <w:rPr>
                <w:rFonts w:eastAsia="Calibri"/>
                <w:bCs/>
                <w:szCs w:val="22"/>
              </w:rPr>
              <w:tab/>
              <w:t>to</w:t>
            </w:r>
            <w:r w:rsidRPr="007D594B">
              <w:rPr>
                <w:rFonts w:eastAsia="Calibri"/>
                <w:bCs/>
                <w:szCs w:val="22"/>
              </w:rPr>
              <w:tab/>
              <w:t>IEC 61850-7-4.</w:t>
            </w:r>
            <w:r w:rsidRPr="007D594B">
              <w:rPr>
                <w:rFonts w:eastAsia="Calibri"/>
                <w:bCs/>
                <w:szCs w:val="22"/>
              </w:rPr>
              <w:tab/>
              <w:t>These modifications/extensions shall be designated by a well-defined namespace.</w:t>
            </w:r>
          </w:p>
          <w:p w:rsidR="007D594B" w:rsidRPr="007D594B" w:rsidRDefault="007D594B" w:rsidP="007D594B">
            <w:pPr>
              <w:ind w:left="0" w:firstLine="0"/>
              <w:rPr>
                <w:rFonts w:eastAsia="Calibri"/>
                <w:bCs/>
                <w:szCs w:val="22"/>
              </w:rPr>
            </w:pPr>
            <w:r w:rsidRPr="007D594B">
              <w:rPr>
                <w:rFonts w:eastAsia="Calibri"/>
                <w:bCs/>
                <w:szCs w:val="22"/>
              </w:rPr>
              <w:t>The following subclauses detail the changes and namespace definition.</w:t>
            </w:r>
          </w:p>
          <w:p w:rsidR="007D594B" w:rsidRPr="007D594B" w:rsidRDefault="007D594B" w:rsidP="007D594B">
            <w:pPr>
              <w:ind w:left="0" w:firstLine="0"/>
              <w:rPr>
                <w:rFonts w:eastAsia="Calibri"/>
                <w:b/>
                <w:bCs/>
                <w:szCs w:val="22"/>
              </w:rPr>
            </w:pPr>
            <w:r w:rsidRPr="007D594B">
              <w:rPr>
                <w:rFonts w:eastAsia="Calibri"/>
                <w:b/>
                <w:bCs/>
                <w:szCs w:val="22"/>
              </w:rPr>
              <w:t>15.2 Namespace definition</w:t>
            </w:r>
          </w:p>
          <w:p w:rsidR="007D594B" w:rsidRPr="007D594B" w:rsidRDefault="007D594B" w:rsidP="007D594B">
            <w:pPr>
              <w:ind w:left="0" w:firstLine="0"/>
              <w:rPr>
                <w:rFonts w:eastAsia="Calibri"/>
                <w:bCs/>
                <w:szCs w:val="22"/>
              </w:rPr>
            </w:pPr>
            <w:r w:rsidRPr="007D594B">
              <w:rPr>
                <w:rFonts w:eastAsia="Calibri"/>
                <w:bCs/>
                <w:szCs w:val="22"/>
              </w:rPr>
              <w:t>The namespace used to identifying the definition additions to IEC 61850-7-4, and potentially other parts of IEC 61850, shall be: “IEC/TR 61850-90-5”.</w:t>
            </w:r>
          </w:p>
          <w:p w:rsidR="007D594B" w:rsidRPr="007D594B" w:rsidRDefault="007D594B" w:rsidP="007D594B">
            <w:pPr>
              <w:ind w:left="0" w:firstLine="0"/>
              <w:rPr>
                <w:rFonts w:eastAsia="Calibri"/>
                <w:b/>
                <w:bCs/>
                <w:szCs w:val="22"/>
              </w:rPr>
            </w:pPr>
            <w:r w:rsidRPr="007D594B">
              <w:rPr>
                <w:rFonts w:eastAsia="Calibri"/>
                <w:b/>
                <w:bCs/>
                <w:szCs w:val="22"/>
              </w:rPr>
              <w:t>15.3 Extension of ClcMth</w:t>
            </w:r>
          </w:p>
          <w:p w:rsidR="007D594B" w:rsidRPr="007D594B" w:rsidRDefault="007D594B" w:rsidP="007D594B">
            <w:pPr>
              <w:ind w:left="0" w:firstLine="0"/>
              <w:rPr>
                <w:rFonts w:eastAsia="Calibri"/>
                <w:bCs/>
                <w:szCs w:val="22"/>
              </w:rPr>
            </w:pPr>
            <w:r w:rsidRPr="007D594B">
              <w:rPr>
                <w:rFonts w:eastAsia="Calibri"/>
                <w:bCs/>
                <w:szCs w:val="22"/>
              </w:rPr>
              <w:t xml:space="preserve">The extension to the ClcMth enumerated set of definitions to include P-CLASS and M-CLASS (see </w:t>
            </w:r>
            <w:hyperlink w:anchor="_bookmark35" w:history="1">
              <w:r w:rsidRPr="007D594B">
                <w:rPr>
                  <w:rFonts w:eastAsia="Calibri"/>
                  <w:bCs/>
                  <w:szCs w:val="22"/>
                </w:rPr>
                <w:t>Table 6</w:t>
              </w:r>
            </w:hyperlink>
            <w:r w:rsidRPr="007D594B">
              <w:rPr>
                <w:rFonts w:eastAsia="Calibri"/>
                <w:bCs/>
                <w:szCs w:val="22"/>
              </w:rPr>
              <w:t>).</w:t>
            </w:r>
          </w:p>
          <w:p w:rsidR="007D594B" w:rsidRPr="007D594B" w:rsidRDefault="007D594B" w:rsidP="007D594B">
            <w:pPr>
              <w:ind w:left="0" w:firstLine="0"/>
              <w:rPr>
                <w:rFonts w:eastAsia="Calibri"/>
                <w:b/>
                <w:bCs/>
                <w:szCs w:val="22"/>
              </w:rPr>
            </w:pPr>
            <w:r w:rsidRPr="007D594B">
              <w:rPr>
                <w:rFonts w:eastAsia="Calibri"/>
                <w:b/>
                <w:bCs/>
                <w:szCs w:val="22"/>
              </w:rPr>
              <w:t>15.4 Addition of rate of change of frequency (ROCOF) DataObject</w:t>
            </w:r>
          </w:p>
          <w:p w:rsidR="007D594B" w:rsidRPr="007D594B" w:rsidRDefault="007D594B" w:rsidP="007D594B">
            <w:pPr>
              <w:ind w:left="0" w:firstLine="0"/>
              <w:rPr>
                <w:rFonts w:eastAsia="Calibri"/>
                <w:bCs/>
                <w:szCs w:val="22"/>
              </w:rPr>
            </w:pPr>
            <w:r w:rsidRPr="007D594B">
              <w:rPr>
                <w:rFonts w:eastAsia="Calibri"/>
                <w:bCs/>
                <w:szCs w:val="22"/>
              </w:rPr>
              <w:t>IEEE C37.118.1 defines the estimation technique for the value representing the Rate  of Change of Frequency (ROCOF).</w:t>
            </w:r>
          </w:p>
          <w:p w:rsidR="007D594B" w:rsidRPr="007D594B" w:rsidRDefault="007D594B" w:rsidP="007D594B">
            <w:pPr>
              <w:ind w:left="0" w:firstLine="0"/>
              <w:rPr>
                <w:rFonts w:eastAsia="Calibri"/>
                <w:bCs/>
                <w:szCs w:val="22"/>
              </w:rPr>
            </w:pPr>
            <w:r w:rsidRPr="007D594B">
              <w:rPr>
                <w:rFonts w:eastAsia="Calibri"/>
                <w:bCs/>
                <w:szCs w:val="22"/>
              </w:rPr>
              <w:t>The normative estimation method is defined in IEEE C37.118.1. The following  text  is  an extract from IEEE C37.118.1 and shall be considered informative:</w:t>
            </w:r>
          </w:p>
          <w:p w:rsidR="007D594B" w:rsidRPr="007D594B" w:rsidRDefault="007D594B" w:rsidP="007D594B">
            <w:pPr>
              <w:ind w:left="0" w:firstLine="0"/>
              <w:rPr>
                <w:rFonts w:eastAsia="Calibri"/>
                <w:bCs/>
                <w:szCs w:val="22"/>
              </w:rPr>
            </w:pPr>
            <w:r w:rsidRPr="007D594B">
              <w:rPr>
                <w:rFonts w:eastAsia="Calibri"/>
                <w:bCs/>
                <w:szCs w:val="22"/>
              </w:rPr>
              <w:t>“A PMU shall calculate and be capable of reporting frequency and rate of change of frequency (ROCOF). For this measurement, the following standard definitions shall be used. Given a sinusoidal signal:</w:t>
            </w:r>
          </w:p>
          <w:p w:rsidR="007D594B" w:rsidRPr="007D594B" w:rsidRDefault="007D594B" w:rsidP="007D594B">
            <w:pPr>
              <w:ind w:left="0" w:firstLine="0"/>
              <w:rPr>
                <w:rFonts w:eastAsia="Calibri"/>
                <w:bCs/>
                <w:szCs w:val="22"/>
              </w:rPr>
            </w:pPr>
            <w:r w:rsidRPr="007D594B">
              <w:rPr>
                <w:rFonts w:eastAsia="Calibri"/>
                <w:bCs/>
                <w:szCs w:val="22"/>
              </w:rPr>
              <w:t>X(t) = Xm cos [ψ(t)]</w:t>
            </w:r>
          </w:p>
          <w:p w:rsidR="007D594B" w:rsidRPr="007D594B" w:rsidRDefault="007D594B" w:rsidP="007D594B">
            <w:pPr>
              <w:ind w:left="0" w:firstLine="0"/>
              <w:rPr>
                <w:rFonts w:eastAsia="Calibri"/>
                <w:bCs/>
                <w:szCs w:val="22"/>
              </w:rPr>
            </w:pPr>
            <w:r w:rsidRPr="007D594B">
              <w:rPr>
                <w:rFonts w:eastAsia="Calibri"/>
                <w:bCs/>
                <w:szCs w:val="22"/>
              </w:rPr>
              <w:t>Frequency is defined by:</w:t>
            </w:r>
          </w:p>
          <w:p w:rsidR="007D594B" w:rsidRPr="007D594B" w:rsidRDefault="007D594B" w:rsidP="007D594B">
            <w:pPr>
              <w:ind w:left="0" w:firstLine="0"/>
              <w:rPr>
                <w:rFonts w:eastAsia="Calibri"/>
                <w:bCs/>
                <w:szCs w:val="22"/>
              </w:rPr>
            </w:pPr>
            <w:r w:rsidRPr="007D594B">
              <w:rPr>
                <w:rFonts w:eastAsia="Calibri"/>
                <w:bCs/>
                <w:szCs w:val="22"/>
              </w:rPr>
              <w:t>f(t)= 1 . dψ(t) 2π</w:t>
            </w:r>
            <w:r w:rsidRPr="007D594B">
              <w:rPr>
                <w:rFonts w:eastAsia="Calibri"/>
                <w:bCs/>
                <w:szCs w:val="22"/>
              </w:rPr>
              <w:tab/>
              <w:t>dt</w:t>
            </w:r>
          </w:p>
          <w:p w:rsidR="007D594B" w:rsidRPr="007D594B" w:rsidRDefault="007D594B" w:rsidP="007D594B">
            <w:pPr>
              <w:ind w:left="0" w:firstLine="0"/>
              <w:rPr>
                <w:rFonts w:eastAsia="Calibri"/>
                <w:bCs/>
                <w:szCs w:val="22"/>
              </w:rPr>
            </w:pPr>
            <w:r w:rsidRPr="007D594B">
              <w:rPr>
                <w:rFonts w:eastAsia="Calibri"/>
                <w:bCs/>
                <w:szCs w:val="22"/>
              </w:rPr>
              <w:t>and the rate of change of frequency ROCOF = df(t)/dt</w:t>
            </w:r>
          </w:p>
          <w:p w:rsidR="007D594B" w:rsidRPr="007D594B" w:rsidRDefault="007D594B" w:rsidP="007D594B">
            <w:pPr>
              <w:ind w:left="0" w:firstLine="0"/>
              <w:rPr>
                <w:rFonts w:eastAsia="Calibri"/>
                <w:bCs/>
                <w:szCs w:val="22"/>
              </w:rPr>
            </w:pPr>
            <w:r w:rsidRPr="007D594B">
              <w:rPr>
                <w:rFonts w:eastAsia="Calibri"/>
                <w:bCs/>
                <w:szCs w:val="22"/>
              </w:rPr>
              <w:t>Synchrophasors are always computed in relation to the system nominal frequency (</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 xml:space="preserve">). If the cosine argument is represented </w:t>
            </w:r>
            <w:r w:rsidRPr="007D594B">
              <w:rPr>
                <w:rFonts w:eastAsia="Calibri"/>
                <w:bCs/>
                <w:szCs w:val="22"/>
              </w:rPr>
              <w:lastRenderedPageBreak/>
              <w:t xml:space="preserve">as ψ(t) = </w:t>
            </w:r>
            <m:oMath>
              <m:sSub>
                <m:sSubPr>
                  <m:ctrlPr>
                    <w:rPr>
                      <w:rFonts w:ascii="Cambria Math" w:eastAsia="Calibri" w:hAnsi="Cambria Math"/>
                      <w:bCs/>
                      <w:szCs w:val="22"/>
                    </w:rPr>
                  </m:ctrlPr>
                </m:sSubPr>
                <m:e>
                  <m:r>
                    <m:rPr>
                      <m:sty m:val="p"/>
                    </m:rPr>
                    <w:rPr>
                      <w:rFonts w:ascii="Cambria Math" w:eastAsia="Calibri" w:hAnsi="Cambria Math"/>
                      <w:szCs w:val="22"/>
                    </w:rPr>
                    <m:t>ω</m:t>
                  </m:r>
                </m:e>
                <m:sub>
                  <m:r>
                    <m:rPr>
                      <m:sty m:val="p"/>
                    </m:rPr>
                    <w:rPr>
                      <w:rFonts w:ascii="Cambria Math" w:eastAsia="Calibri" w:hAnsi="Cambria Math"/>
                      <w:szCs w:val="22"/>
                    </w:rPr>
                    <m:t>0</m:t>
                  </m:r>
                </m:sub>
              </m:sSub>
            </m:oMath>
            <w:r w:rsidRPr="007D594B">
              <w:rPr>
                <w:rFonts w:eastAsia="Calibri"/>
                <w:bCs/>
                <w:szCs w:val="22"/>
              </w:rPr>
              <w:t>t + φ(t) = 2π</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t + φ(t) = 2π [</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t + φ(t)/ 2π], the formula for frequency becomes</w:t>
            </w:r>
          </w:p>
          <w:p w:rsidR="007D594B" w:rsidRPr="007D594B" w:rsidRDefault="007D594B" w:rsidP="007D594B">
            <w:pPr>
              <w:ind w:left="0" w:firstLine="0"/>
              <w:rPr>
                <w:rFonts w:eastAsia="Calibri"/>
                <w:bCs/>
                <w:szCs w:val="22"/>
              </w:rPr>
            </w:pPr>
            <w:r w:rsidRPr="007D594B">
              <w:rPr>
                <w:rFonts w:eastAsia="Calibri"/>
                <w:bCs/>
                <w:szCs w:val="22"/>
              </w:rPr>
              <w:t xml:space="preserve">f(t) = </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 xml:space="preserve"> + d[φ (t)/2π]/dt = </w:t>
            </w:r>
            <m:oMath>
              <m:sSub>
                <m:sSubPr>
                  <m:ctrlPr>
                    <w:rPr>
                      <w:rFonts w:ascii="Cambria Math" w:eastAsia="Calibri" w:hAnsi="Cambria Math"/>
                      <w:bCs/>
                      <w:szCs w:val="22"/>
                    </w:rPr>
                  </m:ctrlPr>
                </m:sSubPr>
                <m:e>
                  <m:r>
                    <w:rPr>
                      <w:rFonts w:ascii="Cambria Math" w:eastAsia="Calibri" w:hAnsi="Cambria Math"/>
                      <w:szCs w:val="22"/>
                    </w:rPr>
                    <m:t>f</m:t>
                  </m:r>
                </m:e>
                <m:sub>
                  <m:r>
                    <m:rPr>
                      <m:sty m:val="p"/>
                    </m:rPr>
                    <w:rPr>
                      <w:rFonts w:ascii="Cambria Math" w:eastAsia="Calibri" w:hAnsi="Cambria Math"/>
                      <w:szCs w:val="22"/>
                    </w:rPr>
                    <m:t>0</m:t>
                  </m:r>
                </m:sub>
              </m:sSub>
            </m:oMath>
            <w:r w:rsidRPr="007D594B">
              <w:rPr>
                <w:rFonts w:eastAsia="Calibri"/>
                <w:bCs/>
                <w:szCs w:val="22"/>
              </w:rPr>
              <w:t xml:space="preserve"> + Δf (t) where Δf(t) is the deviation of frequency from nominal and</w:t>
            </w:r>
          </w:p>
          <w:p w:rsidR="007D594B" w:rsidRPr="007D594B" w:rsidRDefault="007D594B" w:rsidP="007D594B">
            <w:pPr>
              <w:ind w:left="0" w:firstLine="0"/>
              <w:rPr>
                <w:rFonts w:eastAsia="Calibri"/>
                <w:bCs/>
                <w:szCs w:val="22"/>
              </w:rPr>
            </w:pPr>
            <w:r w:rsidRPr="007D594B">
              <w:rPr>
                <w:rFonts w:eastAsia="Calibri"/>
                <w:bCs/>
                <w:szCs w:val="22"/>
              </w:rPr>
              <w:t xml:space="preserve">ROCOF = </w:t>
            </w:r>
            <m:oMath>
              <m:sSup>
                <m:sSupPr>
                  <m:ctrlPr>
                    <w:rPr>
                      <w:rFonts w:ascii="Cambria Math" w:eastAsia="Calibri" w:hAnsi="Cambria Math"/>
                      <w:bCs/>
                      <w:szCs w:val="22"/>
                    </w:rPr>
                  </m:ctrlPr>
                </m:sSupPr>
                <m:e>
                  <m:r>
                    <w:rPr>
                      <w:rFonts w:ascii="Cambria Math" w:eastAsia="Calibri" w:hAnsi="Cambria Math"/>
                      <w:szCs w:val="22"/>
                    </w:rPr>
                    <m:t>d</m:t>
                  </m:r>
                </m:e>
                <m:sup>
                  <m:r>
                    <m:rPr>
                      <m:sty m:val="p"/>
                    </m:rPr>
                    <w:rPr>
                      <w:rFonts w:ascii="Cambria Math" w:eastAsia="Calibri" w:hAnsi="Cambria Math"/>
                      <w:szCs w:val="22"/>
                    </w:rPr>
                    <m:t>2</m:t>
                  </m:r>
                </m:sup>
              </m:sSup>
            </m:oMath>
            <w:r w:rsidRPr="007D594B">
              <w:rPr>
                <w:rFonts w:eastAsia="Calibri"/>
                <w:bCs/>
                <w:szCs w:val="22"/>
              </w:rPr>
              <w:t>[φ(t)/2π]/dt2 = d(Δf(t))/dt</w:t>
            </w:r>
          </w:p>
          <w:p w:rsidR="007D594B" w:rsidRPr="007D594B" w:rsidRDefault="007D594B" w:rsidP="007D594B">
            <w:pPr>
              <w:ind w:left="0" w:firstLine="0"/>
              <w:rPr>
                <w:rFonts w:eastAsia="Calibri"/>
                <w:bCs/>
                <w:szCs w:val="22"/>
              </w:rPr>
            </w:pPr>
            <w:r w:rsidRPr="007D594B">
              <w:rPr>
                <w:rFonts w:eastAsia="Calibri"/>
                <w:bCs/>
                <w:szCs w:val="22"/>
              </w:rPr>
              <w:t>Frequency in phasor measurements may be reported as the actual frequency f(t) or the deviation of frequency from nominal, ∆f(t). In steady-state conditions, ∆f(t) can be represented as a scalar number ∆f.”</w:t>
            </w:r>
          </w:p>
          <w:p w:rsidR="007D594B" w:rsidRPr="007D594B" w:rsidRDefault="007D594B" w:rsidP="007D594B">
            <w:pPr>
              <w:ind w:left="0" w:firstLine="0"/>
              <w:rPr>
                <w:rFonts w:eastAsia="Calibri"/>
                <w:bCs/>
                <w:szCs w:val="22"/>
              </w:rPr>
            </w:pPr>
            <w:r w:rsidRPr="007D594B">
              <w:rPr>
                <w:rFonts w:eastAsia="Calibri"/>
                <w:bCs/>
                <w:szCs w:val="22"/>
              </w:rPr>
              <w:t>For the purposes of IEC 61850, a conditional DataObject shall be added to the MMXU and/or MMXN Logical Node definition in IEC 61850-7-4. The DataObject name shall be “HzRte” indicating the rate of change of the frequency. “HzRte” shall be of the Common Data Class (CDC) MV. The HzRte DataObject value shall be floating point.</w:t>
            </w:r>
          </w:p>
          <w:p w:rsidR="007D594B" w:rsidRPr="007D594B" w:rsidRDefault="007D594B" w:rsidP="007D594B">
            <w:pPr>
              <w:ind w:left="0" w:firstLine="0"/>
              <w:rPr>
                <w:rFonts w:eastAsia="Calibri"/>
                <w:bCs/>
                <w:szCs w:val="22"/>
              </w:rPr>
            </w:pPr>
            <w:r w:rsidRPr="007D594B">
              <w:rPr>
                <w:rFonts w:eastAsia="Calibri"/>
                <w:bCs/>
                <w:szCs w:val="22"/>
              </w:rPr>
              <w:t>The units shall be Hz/second as specified IEC 61850-7-3. It is  recommended  that  the multiplier be “none” as defined in IEC 61850-7-3.</w:t>
            </w:r>
          </w:p>
          <w:p w:rsidR="007D594B" w:rsidRPr="007D594B" w:rsidRDefault="007D594B" w:rsidP="007D594B">
            <w:pPr>
              <w:widowControl w:val="0"/>
              <w:tabs>
                <w:tab w:val="left" w:pos="1182"/>
                <w:tab w:val="left" w:pos="1183"/>
              </w:tabs>
              <w:autoSpaceDE w:val="0"/>
              <w:autoSpaceDN w:val="0"/>
              <w:ind w:left="0" w:firstLine="0"/>
              <w:rPr>
                <w:rFonts w:eastAsia="Calibri"/>
                <w:b/>
                <w:bCs/>
                <w:szCs w:val="22"/>
              </w:rPr>
            </w:pPr>
            <w:bookmarkStart w:id="77" w:name="15.6_Modifications_to_the_LTMS_logical_n"/>
            <w:bookmarkEnd w:id="77"/>
            <w:r w:rsidRPr="007D594B">
              <w:rPr>
                <w:rFonts w:eastAsia="Calibri"/>
                <w:b/>
                <w:bCs/>
                <w:szCs w:val="22"/>
              </w:rPr>
              <w:t>15.5 Modifications to the LTMS logical node class</w:t>
            </w:r>
          </w:p>
          <w:p w:rsidR="007D594B" w:rsidRPr="007D594B" w:rsidRDefault="007D594B" w:rsidP="007D594B">
            <w:pPr>
              <w:ind w:left="0" w:firstLine="0"/>
              <w:rPr>
                <w:rFonts w:eastAsia="Calibri"/>
                <w:bCs/>
                <w:szCs w:val="22"/>
              </w:rPr>
            </w:pPr>
            <w:r w:rsidRPr="007D594B">
              <w:rPr>
                <w:rFonts w:eastAsia="Calibri"/>
                <w:bCs/>
                <w:szCs w:val="22"/>
              </w:rPr>
              <w:t>The following Data Object semantic shall be added to Clause 6, Table 10 of IEC 61850-7-4:</w:t>
            </w:r>
          </w:p>
          <w:p w:rsidR="007D594B" w:rsidRPr="007D594B" w:rsidRDefault="007D594B" w:rsidP="007D594B">
            <w:pPr>
              <w:ind w:left="0" w:firstLine="0"/>
              <w:rPr>
                <w:rFonts w:eastAsia="Calibri"/>
                <w:bCs/>
                <w:szCs w:val="22"/>
              </w:rPr>
            </w:pPr>
          </w:p>
        </w:tc>
      </w:tr>
    </w:tbl>
    <w:p w:rsidR="007D594B" w:rsidRDefault="007D594B" w:rsidP="007D594B">
      <w:pPr>
        <w:ind w:left="0" w:firstLine="0"/>
        <w:rPr>
          <w:b/>
        </w:rPr>
      </w:pPr>
    </w:p>
    <w:tbl>
      <w:tblPr>
        <w:tblStyle w:val="TableGrid"/>
        <w:tblW w:w="0" w:type="auto"/>
        <w:tblLook w:val="04A0" w:firstRow="1" w:lastRow="0" w:firstColumn="1" w:lastColumn="0" w:noHBand="0" w:noVBand="1"/>
      </w:tblPr>
      <w:tblGrid>
        <w:gridCol w:w="1271"/>
        <w:gridCol w:w="8073"/>
      </w:tblGrid>
      <w:tr w:rsidR="007D594B" w:rsidTr="007D594B">
        <w:tc>
          <w:tcPr>
            <w:tcW w:w="1271" w:type="dxa"/>
          </w:tcPr>
          <w:p w:rsidR="007D594B" w:rsidRPr="007D594B" w:rsidRDefault="007D594B" w:rsidP="00CD1812">
            <w:pPr>
              <w:ind w:left="0" w:firstLine="0"/>
              <w:jc w:val="center"/>
              <w:rPr>
                <w:lang w:val="en-US"/>
              </w:rPr>
            </w:pPr>
            <w:r w:rsidRPr="007D594B">
              <w:rPr>
                <w:lang w:val="en-US"/>
              </w:rPr>
              <w:t>TmLeaps</w:t>
            </w:r>
          </w:p>
        </w:tc>
        <w:tc>
          <w:tcPr>
            <w:tcW w:w="8073" w:type="dxa"/>
          </w:tcPr>
          <w:p w:rsidR="007D594B" w:rsidRPr="007D594B" w:rsidRDefault="007D594B" w:rsidP="007D594B">
            <w:pPr>
              <w:ind w:left="0" w:firstLine="0"/>
              <w:rPr>
                <w:rFonts w:eastAsia="Calibri"/>
                <w:bCs/>
                <w:szCs w:val="22"/>
              </w:rPr>
            </w:pPr>
            <w:r w:rsidRPr="007D594B">
              <w:rPr>
                <w:rFonts w:eastAsia="Calibri"/>
                <w:bCs/>
                <w:szCs w:val="22"/>
              </w:rPr>
              <w:t>Үсрэлтийн секундын (leap second) идэвхтэй байгаа эсэхийг илтгэнэ. TRUE утга нь leap second идэвхтэй байгааг илтгэнэ. FALSE утга ньleap secondидэвхгүй байгааг илтгэнэ.</w:t>
            </w:r>
          </w:p>
        </w:tc>
      </w:tr>
    </w:tbl>
    <w:p w:rsidR="007D594B" w:rsidRDefault="007D594B" w:rsidP="00CD1812">
      <w:pPr>
        <w:ind w:left="0" w:firstLine="0"/>
        <w:jc w:val="center"/>
        <w:rPr>
          <w:b/>
        </w:rPr>
      </w:pPr>
    </w:p>
    <w:tbl>
      <w:tblPr>
        <w:tblStyle w:val="TableGrid"/>
        <w:tblW w:w="0" w:type="auto"/>
        <w:tblLook w:val="04A0" w:firstRow="1" w:lastRow="0" w:firstColumn="1" w:lastColumn="0" w:noHBand="0" w:noVBand="1"/>
      </w:tblPr>
      <w:tblGrid>
        <w:gridCol w:w="1271"/>
        <w:gridCol w:w="8073"/>
      </w:tblGrid>
      <w:tr w:rsidR="007D594B" w:rsidRPr="007D594B" w:rsidTr="007D594B">
        <w:tc>
          <w:tcPr>
            <w:tcW w:w="1271" w:type="dxa"/>
          </w:tcPr>
          <w:p w:rsidR="007D594B" w:rsidRPr="007D594B" w:rsidRDefault="007D594B" w:rsidP="007D594B">
            <w:pPr>
              <w:ind w:left="0" w:firstLine="0"/>
              <w:rPr>
                <w:rFonts w:eastAsia="Calibri"/>
                <w:bCs/>
                <w:szCs w:val="22"/>
              </w:rPr>
            </w:pPr>
            <w:r w:rsidRPr="007D594B">
              <w:rPr>
                <w:rFonts w:eastAsia="Calibri"/>
                <w:bCs/>
                <w:szCs w:val="22"/>
              </w:rPr>
              <w:t>TmLeaps</w:t>
            </w:r>
          </w:p>
        </w:tc>
        <w:tc>
          <w:tcPr>
            <w:tcW w:w="8073" w:type="dxa"/>
          </w:tcPr>
          <w:p w:rsidR="007D594B" w:rsidRPr="007D594B" w:rsidRDefault="007D594B" w:rsidP="007D594B">
            <w:pPr>
              <w:ind w:left="0" w:firstLine="0"/>
              <w:rPr>
                <w:rFonts w:eastAsia="Calibri"/>
                <w:bCs/>
                <w:szCs w:val="22"/>
              </w:rPr>
            </w:pPr>
            <w:r w:rsidRPr="007D594B">
              <w:rPr>
                <w:rFonts w:eastAsia="Calibri"/>
                <w:bCs/>
                <w:szCs w:val="22"/>
              </w:rPr>
              <w:t>Indicates if a leap second is currently active. A value of  TRUE  shall  indicate that there is a leap second that is active. A value of FALSE shall indicate that no leap second is active.</w:t>
            </w:r>
          </w:p>
          <w:p w:rsidR="007D594B" w:rsidRPr="007D594B" w:rsidRDefault="007D594B" w:rsidP="007D594B">
            <w:pPr>
              <w:ind w:left="0" w:firstLine="0"/>
              <w:rPr>
                <w:rFonts w:eastAsia="Calibri"/>
                <w:bCs/>
                <w:szCs w:val="22"/>
              </w:rPr>
            </w:pPr>
          </w:p>
        </w:tc>
      </w:tr>
    </w:tbl>
    <w:p w:rsidR="007D594B" w:rsidRDefault="007D594B"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7D594B" w:rsidTr="007D594B">
        <w:tc>
          <w:tcPr>
            <w:tcW w:w="4672" w:type="dxa"/>
          </w:tcPr>
          <w:p w:rsidR="007D594B" w:rsidRDefault="007D594B" w:rsidP="007D594B">
            <w:pPr>
              <w:ind w:left="0" w:firstLine="0"/>
              <w:rPr>
                <w:b/>
              </w:rPr>
            </w:pPr>
            <w:r w:rsidRPr="007D594B">
              <w:rPr>
                <w:rFonts w:eastAsia="Calibri"/>
                <w:bCs/>
                <w:szCs w:val="22"/>
              </w:rPr>
              <w:t>TmLeaps Өгөгдлийн Объектыг Хүснэгт 17-т харуулсны дагуу LTMS Логик Зангилааны Ангилалд нэмж оруулна.</w:t>
            </w:r>
          </w:p>
        </w:tc>
        <w:tc>
          <w:tcPr>
            <w:tcW w:w="4672" w:type="dxa"/>
          </w:tcPr>
          <w:p w:rsidR="007D594B" w:rsidRPr="007D594B" w:rsidRDefault="007D594B" w:rsidP="007D594B">
            <w:pPr>
              <w:ind w:left="0" w:firstLine="0"/>
              <w:rPr>
                <w:rFonts w:eastAsia="Calibri"/>
                <w:bCs/>
                <w:szCs w:val="22"/>
              </w:rPr>
            </w:pPr>
            <w:r w:rsidRPr="007D594B">
              <w:rPr>
                <w:rFonts w:eastAsia="Calibri"/>
                <w:bCs/>
                <w:szCs w:val="22"/>
              </w:rPr>
              <w:t>The TmLeaps Data Object shall be added to the LTMS Logical Node Class as shown in Table 17.</w:t>
            </w:r>
          </w:p>
        </w:tc>
      </w:tr>
    </w:tbl>
    <w:p w:rsidR="007D594B" w:rsidRDefault="007D594B" w:rsidP="00CD1812">
      <w:pPr>
        <w:ind w:left="0" w:firstLine="0"/>
        <w:jc w:val="center"/>
        <w:rPr>
          <w:b/>
        </w:rPr>
      </w:pPr>
    </w:p>
    <w:p w:rsidR="007D594B" w:rsidRDefault="007D594B" w:rsidP="00CD1812">
      <w:pPr>
        <w:ind w:left="0" w:firstLine="0"/>
        <w:jc w:val="center"/>
        <w:rPr>
          <w:b/>
        </w:rPr>
      </w:pPr>
      <w:r w:rsidRPr="007D594B">
        <w:rPr>
          <w:b/>
        </w:rPr>
        <w:t>17</w:t>
      </w:r>
      <w:r>
        <w:rPr>
          <w:b/>
          <w:lang w:val="en-US"/>
        </w:rPr>
        <w:t>-</w:t>
      </w:r>
      <w:r>
        <w:rPr>
          <w:b/>
        </w:rPr>
        <w:t>р хүснэгт</w:t>
      </w:r>
      <w:r w:rsidRPr="007D594B">
        <w:rPr>
          <w:b/>
        </w:rPr>
        <w:t xml:space="preserve"> – LTIM-д TmLeaps-ийн нэмэлт</w:t>
      </w:r>
    </w:p>
    <w:tbl>
      <w:tblPr>
        <w:tblStyle w:val="TableGrid"/>
        <w:tblW w:w="0" w:type="auto"/>
        <w:tblLook w:val="04A0" w:firstRow="1" w:lastRow="0" w:firstColumn="1" w:lastColumn="0" w:noHBand="0" w:noVBand="1"/>
      </w:tblPr>
      <w:tblGrid>
        <w:gridCol w:w="1763"/>
        <w:gridCol w:w="1640"/>
        <w:gridCol w:w="4593"/>
        <w:gridCol w:w="447"/>
        <w:gridCol w:w="901"/>
      </w:tblGrid>
      <w:tr w:rsidR="007D594B" w:rsidTr="007D594B">
        <w:tc>
          <w:tcPr>
            <w:tcW w:w="9344" w:type="dxa"/>
            <w:gridSpan w:val="5"/>
          </w:tcPr>
          <w:p w:rsidR="007D594B" w:rsidRDefault="007D594B" w:rsidP="00CD1812">
            <w:pPr>
              <w:ind w:left="0" w:firstLine="0"/>
              <w:jc w:val="center"/>
              <w:rPr>
                <w:b/>
              </w:rPr>
            </w:pPr>
            <w:r w:rsidRPr="007D594B">
              <w:rPr>
                <w:b/>
              </w:rPr>
              <w:t>LTIM анги</w:t>
            </w:r>
          </w:p>
        </w:tc>
      </w:tr>
      <w:tr w:rsidR="007D594B" w:rsidTr="007D594B">
        <w:tc>
          <w:tcPr>
            <w:tcW w:w="1763" w:type="dxa"/>
          </w:tcPr>
          <w:p w:rsidR="007D594B" w:rsidRPr="00731F96" w:rsidRDefault="007D594B" w:rsidP="007D594B">
            <w:pPr>
              <w:pStyle w:val="TableParagraph"/>
              <w:tabs>
                <w:tab w:val="left" w:pos="0"/>
              </w:tabs>
              <w:spacing w:before="0" w:line="276" w:lineRule="auto"/>
              <w:ind w:left="107"/>
              <w:rPr>
                <w:b/>
                <w:sz w:val="20"/>
                <w:szCs w:val="20"/>
                <w:lang w:val="mn-MN"/>
              </w:rPr>
            </w:pPr>
            <w:r w:rsidRPr="00EF2D2B">
              <w:rPr>
                <w:b/>
                <w:sz w:val="20"/>
                <w:szCs w:val="20"/>
                <w:lang w:val="mn-MN"/>
              </w:rPr>
              <w:t>Өгөгдлийн</w:t>
            </w:r>
            <w:r w:rsidRPr="00731F96">
              <w:rPr>
                <w:b/>
                <w:sz w:val="20"/>
                <w:szCs w:val="20"/>
                <w:lang w:val="mn-MN"/>
              </w:rPr>
              <w:t xml:space="preserve"> объектын нэр</w:t>
            </w:r>
          </w:p>
        </w:tc>
        <w:tc>
          <w:tcPr>
            <w:tcW w:w="1640" w:type="dxa"/>
          </w:tcPr>
          <w:p w:rsidR="007D594B" w:rsidRPr="00EF2D2B" w:rsidRDefault="007D594B" w:rsidP="007D594B">
            <w:pPr>
              <w:pStyle w:val="TableParagraph"/>
              <w:tabs>
                <w:tab w:val="left" w:pos="0"/>
              </w:tabs>
              <w:spacing w:before="94" w:line="276" w:lineRule="auto"/>
              <w:ind w:left="107" w:right="285"/>
              <w:rPr>
                <w:b/>
                <w:sz w:val="20"/>
                <w:szCs w:val="20"/>
                <w:lang w:val="mn-MN"/>
              </w:rPr>
            </w:pPr>
            <w:r w:rsidRPr="00EF2D2B">
              <w:rPr>
                <w:b/>
                <w:sz w:val="20"/>
                <w:szCs w:val="20"/>
                <w:lang w:val="mn-MN"/>
              </w:rPr>
              <w:t>Нийтлэг өгөгдлийн анги</w:t>
            </w:r>
          </w:p>
        </w:tc>
        <w:tc>
          <w:tcPr>
            <w:tcW w:w="4593" w:type="dxa"/>
          </w:tcPr>
          <w:p w:rsidR="007D594B" w:rsidRPr="00EF2D2B" w:rsidRDefault="007D594B" w:rsidP="007D594B">
            <w:pPr>
              <w:pStyle w:val="TableParagraph"/>
              <w:tabs>
                <w:tab w:val="left" w:pos="0"/>
              </w:tabs>
              <w:spacing w:before="94" w:line="276" w:lineRule="auto"/>
              <w:ind w:left="108"/>
              <w:rPr>
                <w:b/>
                <w:sz w:val="20"/>
                <w:szCs w:val="20"/>
                <w:lang w:val="mn-MN"/>
              </w:rPr>
            </w:pPr>
            <w:r w:rsidRPr="00EF2D2B">
              <w:rPr>
                <w:b/>
                <w:sz w:val="20"/>
                <w:szCs w:val="20"/>
                <w:lang w:val="mn-MN"/>
              </w:rPr>
              <w:t>Тайлбар</w:t>
            </w:r>
          </w:p>
        </w:tc>
        <w:tc>
          <w:tcPr>
            <w:tcW w:w="447" w:type="dxa"/>
          </w:tcPr>
          <w:p w:rsidR="007D594B" w:rsidRPr="00EF2D2B" w:rsidRDefault="007D594B" w:rsidP="007D594B">
            <w:pPr>
              <w:pStyle w:val="TableParagraph"/>
              <w:tabs>
                <w:tab w:val="left" w:pos="0"/>
              </w:tabs>
              <w:spacing w:before="94" w:line="276" w:lineRule="auto"/>
              <w:ind w:left="108"/>
              <w:rPr>
                <w:b/>
                <w:sz w:val="20"/>
                <w:szCs w:val="20"/>
                <w:lang w:val="mn-MN"/>
              </w:rPr>
            </w:pPr>
            <w:r w:rsidRPr="00EF2D2B">
              <w:rPr>
                <w:b/>
                <w:sz w:val="20"/>
                <w:szCs w:val="20"/>
                <w:lang w:val="mn-MN"/>
              </w:rPr>
              <w:t>T</w:t>
            </w:r>
          </w:p>
        </w:tc>
        <w:tc>
          <w:tcPr>
            <w:tcW w:w="901" w:type="dxa"/>
          </w:tcPr>
          <w:p w:rsidR="007D594B" w:rsidRPr="00EF2D2B" w:rsidRDefault="007D594B" w:rsidP="007D594B">
            <w:pPr>
              <w:pStyle w:val="TableParagraph"/>
              <w:tabs>
                <w:tab w:val="left" w:pos="0"/>
              </w:tabs>
              <w:spacing w:before="94" w:line="276" w:lineRule="auto"/>
              <w:ind w:left="107"/>
              <w:rPr>
                <w:b/>
                <w:sz w:val="20"/>
                <w:szCs w:val="20"/>
                <w:lang w:val="mn-MN"/>
              </w:rPr>
            </w:pPr>
            <w:r w:rsidRPr="00EF2D2B">
              <w:rPr>
                <w:b/>
                <w:sz w:val="20"/>
                <w:szCs w:val="20"/>
                <w:lang w:val="mn-MN"/>
              </w:rPr>
              <w:t>M/O/C</w:t>
            </w:r>
          </w:p>
        </w:tc>
      </w:tr>
      <w:tr w:rsidR="007D594B" w:rsidTr="007D594B">
        <w:tc>
          <w:tcPr>
            <w:tcW w:w="1763" w:type="dxa"/>
          </w:tcPr>
          <w:p w:rsidR="007D594B" w:rsidRPr="00731F96" w:rsidRDefault="007D594B" w:rsidP="007D594B">
            <w:pPr>
              <w:pStyle w:val="TableParagraph"/>
              <w:tabs>
                <w:tab w:val="left" w:pos="0"/>
              </w:tabs>
              <w:spacing w:before="97" w:line="276" w:lineRule="auto"/>
              <w:ind w:left="107"/>
              <w:rPr>
                <w:sz w:val="20"/>
                <w:szCs w:val="20"/>
                <w:lang w:val="mn-MN"/>
              </w:rPr>
            </w:pPr>
            <w:r w:rsidRPr="00EF2D2B">
              <w:rPr>
                <w:sz w:val="20"/>
                <w:szCs w:val="20"/>
                <w:lang w:val="mn-MN"/>
              </w:rPr>
              <w:t>LNName</w:t>
            </w:r>
          </w:p>
        </w:tc>
        <w:tc>
          <w:tcPr>
            <w:tcW w:w="1640" w:type="dxa"/>
          </w:tcPr>
          <w:p w:rsidR="007D594B" w:rsidRPr="00D33687" w:rsidRDefault="007D594B" w:rsidP="007D594B">
            <w:pPr>
              <w:pStyle w:val="TableParagraph"/>
              <w:tabs>
                <w:tab w:val="left" w:pos="0"/>
              </w:tabs>
              <w:spacing w:before="0" w:line="276" w:lineRule="auto"/>
              <w:rPr>
                <w:sz w:val="20"/>
                <w:szCs w:val="20"/>
                <w:lang w:val="mn-MN"/>
              </w:rPr>
            </w:pPr>
          </w:p>
        </w:tc>
        <w:tc>
          <w:tcPr>
            <w:tcW w:w="4593" w:type="dxa"/>
          </w:tcPr>
          <w:p w:rsidR="007D594B" w:rsidRPr="00D33687" w:rsidRDefault="007D594B" w:rsidP="007D594B">
            <w:pPr>
              <w:pStyle w:val="TableParagraph"/>
              <w:tabs>
                <w:tab w:val="left" w:pos="0"/>
              </w:tabs>
              <w:spacing w:before="0" w:line="276" w:lineRule="auto"/>
              <w:rPr>
                <w:sz w:val="20"/>
                <w:szCs w:val="20"/>
                <w:lang w:val="mn-MN"/>
              </w:rPr>
            </w:pPr>
          </w:p>
        </w:tc>
        <w:tc>
          <w:tcPr>
            <w:tcW w:w="447" w:type="dxa"/>
          </w:tcPr>
          <w:p w:rsidR="007D594B" w:rsidRPr="00D33687" w:rsidRDefault="007D594B" w:rsidP="007D594B">
            <w:pPr>
              <w:pStyle w:val="TableParagraph"/>
              <w:tabs>
                <w:tab w:val="left" w:pos="0"/>
              </w:tabs>
              <w:spacing w:before="0" w:line="276" w:lineRule="auto"/>
              <w:rPr>
                <w:sz w:val="20"/>
                <w:szCs w:val="20"/>
                <w:lang w:val="mn-MN"/>
              </w:rPr>
            </w:pPr>
          </w:p>
        </w:tc>
        <w:tc>
          <w:tcPr>
            <w:tcW w:w="901" w:type="dxa"/>
          </w:tcPr>
          <w:p w:rsidR="007D594B" w:rsidRPr="00D33687" w:rsidRDefault="007D594B" w:rsidP="007D594B">
            <w:pPr>
              <w:pStyle w:val="TableParagraph"/>
              <w:tabs>
                <w:tab w:val="left" w:pos="0"/>
              </w:tabs>
              <w:spacing w:before="0" w:line="276" w:lineRule="auto"/>
              <w:rPr>
                <w:sz w:val="20"/>
                <w:szCs w:val="20"/>
                <w:lang w:val="mn-MN"/>
              </w:rPr>
            </w:pPr>
          </w:p>
        </w:tc>
      </w:tr>
      <w:tr w:rsidR="007D594B" w:rsidTr="007D594B">
        <w:tc>
          <w:tcPr>
            <w:tcW w:w="9344" w:type="dxa"/>
            <w:gridSpan w:val="5"/>
          </w:tcPr>
          <w:p w:rsidR="007D594B" w:rsidRPr="00731F96" w:rsidRDefault="007D594B" w:rsidP="007D594B">
            <w:pPr>
              <w:pStyle w:val="TableParagraph"/>
              <w:tabs>
                <w:tab w:val="left" w:pos="0"/>
              </w:tabs>
              <w:spacing w:before="94" w:line="276" w:lineRule="auto"/>
              <w:ind w:left="107"/>
              <w:rPr>
                <w:b/>
                <w:sz w:val="20"/>
                <w:szCs w:val="20"/>
                <w:lang w:val="mn-MN"/>
              </w:rPr>
            </w:pPr>
            <w:r w:rsidRPr="00EF2D2B">
              <w:rPr>
                <w:b/>
                <w:sz w:val="20"/>
                <w:szCs w:val="20"/>
                <w:lang w:val="mn-MN"/>
              </w:rPr>
              <w:t>Өгөгдлийн</w:t>
            </w:r>
            <w:r w:rsidRPr="00731F96">
              <w:rPr>
                <w:b/>
                <w:sz w:val="20"/>
                <w:szCs w:val="20"/>
                <w:lang w:val="mn-MN"/>
              </w:rPr>
              <w:t xml:space="preserve"> объект</w:t>
            </w:r>
          </w:p>
        </w:tc>
      </w:tr>
      <w:tr w:rsidR="007D594B" w:rsidTr="007D594B">
        <w:tc>
          <w:tcPr>
            <w:tcW w:w="9344" w:type="dxa"/>
            <w:gridSpan w:val="5"/>
          </w:tcPr>
          <w:p w:rsidR="007D594B" w:rsidRPr="00731F96" w:rsidRDefault="007D594B" w:rsidP="007D594B">
            <w:pPr>
              <w:pStyle w:val="TableParagraph"/>
              <w:tabs>
                <w:tab w:val="left" w:pos="0"/>
              </w:tabs>
              <w:spacing w:before="94" w:line="276" w:lineRule="auto"/>
              <w:ind w:left="107"/>
              <w:rPr>
                <w:b/>
                <w:sz w:val="20"/>
                <w:szCs w:val="20"/>
                <w:lang w:val="mn-MN"/>
              </w:rPr>
            </w:pPr>
            <w:r w:rsidRPr="00EF2D2B">
              <w:rPr>
                <w:b/>
                <w:sz w:val="20"/>
                <w:szCs w:val="20"/>
                <w:lang w:val="mn-MN"/>
              </w:rPr>
              <w:t>Төлөвийн мэдээлэл</w:t>
            </w:r>
          </w:p>
        </w:tc>
      </w:tr>
      <w:tr w:rsidR="007D594B" w:rsidTr="007D594B">
        <w:tc>
          <w:tcPr>
            <w:tcW w:w="1763" w:type="dxa"/>
          </w:tcPr>
          <w:p w:rsidR="007D594B" w:rsidRPr="00731F96" w:rsidRDefault="007D594B" w:rsidP="007D594B">
            <w:pPr>
              <w:pStyle w:val="TableParagraph"/>
              <w:tabs>
                <w:tab w:val="left" w:pos="0"/>
              </w:tabs>
              <w:spacing w:before="97" w:line="276" w:lineRule="auto"/>
              <w:ind w:left="107"/>
              <w:rPr>
                <w:sz w:val="20"/>
                <w:szCs w:val="20"/>
                <w:lang w:val="mn-MN"/>
              </w:rPr>
            </w:pPr>
            <w:r w:rsidRPr="00EF2D2B">
              <w:rPr>
                <w:sz w:val="20"/>
                <w:szCs w:val="20"/>
                <w:lang w:val="mn-MN"/>
              </w:rPr>
              <w:t>TmDT</w:t>
            </w:r>
          </w:p>
        </w:tc>
        <w:tc>
          <w:tcPr>
            <w:tcW w:w="1640" w:type="dxa"/>
          </w:tcPr>
          <w:p w:rsidR="007D594B" w:rsidRPr="00EF2D2B" w:rsidRDefault="007D594B" w:rsidP="007D594B">
            <w:pPr>
              <w:pStyle w:val="TableParagraph"/>
              <w:tabs>
                <w:tab w:val="left" w:pos="0"/>
              </w:tabs>
              <w:spacing w:before="97" w:line="276" w:lineRule="auto"/>
              <w:ind w:left="107"/>
              <w:rPr>
                <w:sz w:val="20"/>
                <w:szCs w:val="20"/>
                <w:lang w:val="mn-MN"/>
              </w:rPr>
            </w:pPr>
            <w:r w:rsidRPr="00EF2D2B">
              <w:rPr>
                <w:sz w:val="20"/>
                <w:szCs w:val="20"/>
                <w:lang w:val="mn-MN"/>
              </w:rPr>
              <w:t>SPS</w:t>
            </w:r>
          </w:p>
        </w:tc>
        <w:tc>
          <w:tcPr>
            <w:tcW w:w="4593" w:type="dxa"/>
          </w:tcPr>
          <w:p w:rsidR="007D594B" w:rsidRPr="00EF2D2B" w:rsidRDefault="007D594B" w:rsidP="007D594B">
            <w:pPr>
              <w:pStyle w:val="TableParagraph"/>
              <w:tabs>
                <w:tab w:val="left" w:pos="0"/>
              </w:tabs>
              <w:spacing w:line="276" w:lineRule="auto"/>
              <w:ind w:right="134"/>
              <w:rPr>
                <w:sz w:val="20"/>
                <w:szCs w:val="20"/>
                <w:lang w:val="mn-MN"/>
              </w:rPr>
            </w:pPr>
            <w:r w:rsidRPr="00EF2D2B">
              <w:rPr>
                <w:sz w:val="20"/>
                <w:szCs w:val="20"/>
                <w:lang w:val="mn-MN"/>
              </w:rPr>
              <w:t>Энэ байршилд өдрийн гэрэлтүүлгийн цаг идэвхжиж байгаа эсэхийг илтгэнэ(Indicates if for this location daylight saving time is in effect now)</w:t>
            </w:r>
          </w:p>
        </w:tc>
        <w:tc>
          <w:tcPr>
            <w:tcW w:w="447" w:type="dxa"/>
          </w:tcPr>
          <w:p w:rsidR="007D594B" w:rsidRPr="00D33687" w:rsidRDefault="007D594B" w:rsidP="007D594B">
            <w:pPr>
              <w:pStyle w:val="TableParagraph"/>
              <w:tabs>
                <w:tab w:val="left" w:pos="0"/>
              </w:tabs>
              <w:spacing w:before="0" w:line="276" w:lineRule="auto"/>
              <w:rPr>
                <w:sz w:val="20"/>
                <w:szCs w:val="20"/>
                <w:lang w:val="mn-MN"/>
              </w:rPr>
            </w:pPr>
          </w:p>
        </w:tc>
        <w:tc>
          <w:tcPr>
            <w:tcW w:w="901" w:type="dxa"/>
          </w:tcPr>
          <w:p w:rsidR="007D594B" w:rsidRPr="00731F96" w:rsidRDefault="007D594B" w:rsidP="007D594B">
            <w:pPr>
              <w:pStyle w:val="TableParagraph"/>
              <w:tabs>
                <w:tab w:val="left" w:pos="0"/>
              </w:tabs>
              <w:spacing w:before="96" w:line="276" w:lineRule="auto"/>
              <w:ind w:left="107"/>
              <w:rPr>
                <w:sz w:val="20"/>
                <w:szCs w:val="20"/>
                <w:lang w:val="mn-MN"/>
              </w:rPr>
            </w:pPr>
            <w:r w:rsidRPr="00EF2D2B">
              <w:rPr>
                <w:sz w:val="20"/>
                <w:szCs w:val="20"/>
                <w:lang w:val="mn-MN"/>
              </w:rPr>
              <w:t>M</w:t>
            </w:r>
          </w:p>
        </w:tc>
      </w:tr>
      <w:tr w:rsidR="007D594B" w:rsidTr="007D594B">
        <w:tc>
          <w:tcPr>
            <w:tcW w:w="1763" w:type="dxa"/>
          </w:tcPr>
          <w:p w:rsidR="007D594B" w:rsidRPr="00731F96" w:rsidRDefault="007D594B" w:rsidP="007D594B">
            <w:pPr>
              <w:pStyle w:val="TableParagraph"/>
              <w:tabs>
                <w:tab w:val="left" w:pos="0"/>
              </w:tabs>
              <w:spacing w:before="99" w:line="276" w:lineRule="auto"/>
              <w:ind w:left="107"/>
              <w:rPr>
                <w:sz w:val="20"/>
                <w:szCs w:val="20"/>
                <w:lang w:val="mn-MN"/>
              </w:rPr>
            </w:pPr>
            <w:r w:rsidRPr="00EF2D2B">
              <w:rPr>
                <w:sz w:val="20"/>
                <w:szCs w:val="20"/>
                <w:lang w:val="mn-MN"/>
              </w:rPr>
              <w:t>TmLeaps</w:t>
            </w:r>
          </w:p>
        </w:tc>
        <w:tc>
          <w:tcPr>
            <w:tcW w:w="1640" w:type="dxa"/>
          </w:tcPr>
          <w:p w:rsidR="007D594B" w:rsidRPr="00EF2D2B" w:rsidRDefault="007D594B" w:rsidP="007D594B">
            <w:pPr>
              <w:pStyle w:val="TableParagraph"/>
              <w:tabs>
                <w:tab w:val="left" w:pos="0"/>
              </w:tabs>
              <w:spacing w:before="99" w:line="276" w:lineRule="auto"/>
              <w:ind w:left="107"/>
              <w:rPr>
                <w:sz w:val="20"/>
                <w:szCs w:val="20"/>
                <w:lang w:val="mn-MN"/>
              </w:rPr>
            </w:pPr>
            <w:r w:rsidRPr="00EF2D2B">
              <w:rPr>
                <w:sz w:val="20"/>
                <w:szCs w:val="20"/>
                <w:lang w:val="mn-MN"/>
              </w:rPr>
              <w:t>SPS</w:t>
            </w:r>
          </w:p>
        </w:tc>
        <w:tc>
          <w:tcPr>
            <w:tcW w:w="4593" w:type="dxa"/>
          </w:tcPr>
          <w:p w:rsidR="007D594B" w:rsidRPr="00EF2D2B" w:rsidRDefault="007D594B" w:rsidP="007D594B">
            <w:pPr>
              <w:tabs>
                <w:tab w:val="left" w:pos="0"/>
              </w:tabs>
              <w:spacing w:before="98"/>
              <w:ind w:left="100" w:right="109"/>
              <w:rPr>
                <w:sz w:val="20"/>
              </w:rPr>
            </w:pPr>
            <w:r w:rsidRPr="00EF2D2B">
              <w:rPr>
                <w:spacing w:val="6"/>
                <w:sz w:val="20"/>
              </w:rPr>
              <w:t>l</w:t>
            </w:r>
            <w:r>
              <w:rPr>
                <w:spacing w:val="6"/>
                <w:sz w:val="20"/>
                <w:lang w:val="en-US"/>
              </w:rPr>
              <w:t xml:space="preserve">         </w:t>
            </w:r>
            <w:r w:rsidRPr="007D594B">
              <w:rPr>
                <w:rFonts w:eastAsia="Arial"/>
                <w:bCs/>
                <w:sz w:val="20"/>
                <w:szCs w:val="20"/>
              </w:rPr>
              <w:t>leap second идэвхтэй байгаа эсэхийг илтгэнэ</w:t>
            </w:r>
            <w:r>
              <w:rPr>
                <w:rFonts w:eastAsia="Arial"/>
                <w:bCs/>
                <w:sz w:val="20"/>
                <w:szCs w:val="20"/>
              </w:rPr>
              <w:t xml:space="preserve">. </w:t>
            </w:r>
            <w:r w:rsidRPr="007D594B">
              <w:rPr>
                <w:rFonts w:eastAsia="Arial"/>
                <w:bCs/>
                <w:sz w:val="20"/>
                <w:szCs w:val="20"/>
              </w:rPr>
              <w:t>TRUE утга нь leap second идэвхтэй байгааг илтгэнэ. FALSE утга нь leap second идэвхгүй байгааг илтгэнэ.</w:t>
            </w:r>
          </w:p>
          <w:p w:rsidR="007D594B" w:rsidRPr="00EF2D2B" w:rsidRDefault="007D594B" w:rsidP="007D594B">
            <w:pPr>
              <w:pStyle w:val="TableParagraph"/>
              <w:tabs>
                <w:tab w:val="left" w:pos="0"/>
              </w:tabs>
              <w:spacing w:before="0" w:line="276" w:lineRule="auto"/>
              <w:ind w:left="108" w:right="294"/>
              <w:rPr>
                <w:sz w:val="20"/>
                <w:szCs w:val="20"/>
                <w:lang w:val="mn-MN"/>
              </w:rPr>
            </w:pPr>
          </w:p>
        </w:tc>
        <w:tc>
          <w:tcPr>
            <w:tcW w:w="447" w:type="dxa"/>
          </w:tcPr>
          <w:p w:rsidR="007D594B" w:rsidRPr="00D33687" w:rsidRDefault="007D594B" w:rsidP="007D594B">
            <w:pPr>
              <w:pStyle w:val="TableParagraph"/>
              <w:tabs>
                <w:tab w:val="left" w:pos="0"/>
              </w:tabs>
              <w:spacing w:before="0" w:line="276" w:lineRule="auto"/>
              <w:rPr>
                <w:sz w:val="20"/>
                <w:szCs w:val="20"/>
                <w:lang w:val="mn-MN"/>
              </w:rPr>
            </w:pPr>
          </w:p>
        </w:tc>
        <w:tc>
          <w:tcPr>
            <w:tcW w:w="901" w:type="dxa"/>
          </w:tcPr>
          <w:p w:rsidR="007D594B" w:rsidRPr="00731F96" w:rsidRDefault="007D594B" w:rsidP="007D594B">
            <w:pPr>
              <w:pStyle w:val="TableParagraph"/>
              <w:tabs>
                <w:tab w:val="left" w:pos="0"/>
              </w:tabs>
              <w:spacing w:before="99" w:line="276" w:lineRule="auto"/>
              <w:ind w:left="107"/>
              <w:rPr>
                <w:sz w:val="20"/>
                <w:szCs w:val="20"/>
                <w:lang w:val="mn-MN"/>
              </w:rPr>
            </w:pPr>
            <w:r w:rsidRPr="00EF2D2B">
              <w:rPr>
                <w:sz w:val="20"/>
                <w:szCs w:val="20"/>
                <w:lang w:val="mn-MN"/>
              </w:rPr>
              <w:t>O</w:t>
            </w:r>
          </w:p>
        </w:tc>
      </w:tr>
    </w:tbl>
    <w:p w:rsidR="007D594B" w:rsidRDefault="007D594B" w:rsidP="00CD1812">
      <w:pPr>
        <w:ind w:left="0" w:firstLine="0"/>
        <w:jc w:val="center"/>
        <w:rPr>
          <w:b/>
        </w:rPr>
      </w:pPr>
    </w:p>
    <w:p w:rsidR="007D594B" w:rsidRDefault="007D594B" w:rsidP="00CD1812">
      <w:pPr>
        <w:ind w:left="0" w:firstLine="0"/>
        <w:jc w:val="center"/>
        <w:rPr>
          <w:b/>
        </w:rPr>
      </w:pPr>
      <w:r w:rsidRPr="007D594B">
        <w:rPr>
          <w:b/>
        </w:rPr>
        <w:t>Table 17 – Addition of TmLeaps in LTIM</w:t>
      </w:r>
    </w:p>
    <w:tbl>
      <w:tblPr>
        <w:tblStyle w:val="TableGrid"/>
        <w:tblW w:w="0" w:type="auto"/>
        <w:tblLook w:val="04A0" w:firstRow="1" w:lastRow="0" w:firstColumn="1" w:lastColumn="0" w:noHBand="0" w:noVBand="1"/>
      </w:tblPr>
      <w:tblGrid>
        <w:gridCol w:w="1763"/>
        <w:gridCol w:w="1640"/>
        <w:gridCol w:w="4593"/>
        <w:gridCol w:w="447"/>
        <w:gridCol w:w="901"/>
      </w:tblGrid>
      <w:tr w:rsidR="007D594B" w:rsidTr="007D594B">
        <w:tc>
          <w:tcPr>
            <w:tcW w:w="9344" w:type="dxa"/>
            <w:gridSpan w:val="5"/>
          </w:tcPr>
          <w:p w:rsidR="007D594B" w:rsidRPr="007D594B" w:rsidRDefault="007D594B" w:rsidP="007D594B">
            <w:pPr>
              <w:ind w:left="0" w:firstLine="0"/>
              <w:jc w:val="center"/>
              <w:rPr>
                <w:b/>
                <w:lang w:val="en-US"/>
              </w:rPr>
            </w:pPr>
            <w:r>
              <w:rPr>
                <w:b/>
              </w:rPr>
              <w:t xml:space="preserve">LTIM </w:t>
            </w:r>
            <w:r>
              <w:rPr>
                <w:b/>
                <w:lang w:val="en-US"/>
              </w:rPr>
              <w:t>class</w:t>
            </w:r>
          </w:p>
        </w:tc>
      </w:tr>
      <w:tr w:rsidR="007D594B" w:rsidRPr="00EF2D2B" w:rsidTr="007D594B">
        <w:tc>
          <w:tcPr>
            <w:tcW w:w="1763" w:type="dxa"/>
          </w:tcPr>
          <w:p w:rsidR="007D594B" w:rsidRPr="00731F96" w:rsidRDefault="007D594B" w:rsidP="007D594B">
            <w:pPr>
              <w:pStyle w:val="TableParagraph"/>
              <w:tabs>
                <w:tab w:val="left" w:pos="0"/>
              </w:tabs>
              <w:spacing w:before="94" w:line="276" w:lineRule="auto"/>
              <w:ind w:left="107"/>
              <w:rPr>
                <w:b/>
                <w:sz w:val="20"/>
                <w:szCs w:val="20"/>
                <w:lang w:val="mn-MN"/>
              </w:rPr>
            </w:pPr>
            <w:r w:rsidRPr="00EF2D2B">
              <w:rPr>
                <w:b/>
                <w:sz w:val="20"/>
                <w:szCs w:val="20"/>
                <w:lang w:val="mn-MN"/>
              </w:rPr>
              <w:t>Data</w:t>
            </w:r>
          </w:p>
          <w:p w:rsidR="007D594B" w:rsidRPr="00EF2D2B" w:rsidRDefault="007D594B" w:rsidP="007D594B">
            <w:pPr>
              <w:pStyle w:val="TableParagraph"/>
              <w:tabs>
                <w:tab w:val="left" w:pos="0"/>
              </w:tabs>
              <w:spacing w:before="0" w:line="276" w:lineRule="auto"/>
              <w:ind w:left="107"/>
              <w:rPr>
                <w:b/>
                <w:sz w:val="20"/>
                <w:szCs w:val="20"/>
                <w:lang w:val="mn-MN"/>
              </w:rPr>
            </w:pPr>
            <w:r w:rsidRPr="00EF2D2B">
              <w:rPr>
                <w:b/>
                <w:sz w:val="20"/>
                <w:szCs w:val="20"/>
                <w:lang w:val="mn-MN"/>
              </w:rPr>
              <w:t>object name</w:t>
            </w:r>
          </w:p>
        </w:tc>
        <w:tc>
          <w:tcPr>
            <w:tcW w:w="1640" w:type="dxa"/>
          </w:tcPr>
          <w:p w:rsidR="007D594B" w:rsidRPr="00EF2D2B" w:rsidRDefault="007D594B" w:rsidP="007D594B">
            <w:pPr>
              <w:pStyle w:val="TableParagraph"/>
              <w:tabs>
                <w:tab w:val="left" w:pos="0"/>
              </w:tabs>
              <w:spacing w:before="94" w:line="276" w:lineRule="auto"/>
              <w:ind w:left="107" w:right="285"/>
              <w:rPr>
                <w:b/>
                <w:sz w:val="20"/>
                <w:szCs w:val="20"/>
                <w:lang w:val="mn-MN"/>
              </w:rPr>
            </w:pPr>
            <w:r w:rsidRPr="00EF2D2B">
              <w:rPr>
                <w:b/>
                <w:sz w:val="20"/>
                <w:szCs w:val="20"/>
                <w:lang w:val="mn-MN"/>
              </w:rPr>
              <w:t>Common data class</w:t>
            </w:r>
          </w:p>
        </w:tc>
        <w:tc>
          <w:tcPr>
            <w:tcW w:w="4593" w:type="dxa"/>
          </w:tcPr>
          <w:p w:rsidR="007D594B" w:rsidRPr="00EF2D2B" w:rsidRDefault="007D594B" w:rsidP="007D594B">
            <w:pPr>
              <w:pStyle w:val="TableParagraph"/>
              <w:tabs>
                <w:tab w:val="left" w:pos="0"/>
              </w:tabs>
              <w:spacing w:before="94" w:line="276" w:lineRule="auto"/>
              <w:ind w:left="108"/>
              <w:rPr>
                <w:b/>
                <w:sz w:val="20"/>
                <w:szCs w:val="20"/>
                <w:lang w:val="mn-MN"/>
              </w:rPr>
            </w:pPr>
            <w:r w:rsidRPr="00EF2D2B">
              <w:rPr>
                <w:b/>
                <w:sz w:val="20"/>
                <w:szCs w:val="20"/>
                <w:lang w:val="mn-MN"/>
              </w:rPr>
              <w:t>Explanation</w:t>
            </w:r>
          </w:p>
        </w:tc>
        <w:tc>
          <w:tcPr>
            <w:tcW w:w="447" w:type="dxa"/>
          </w:tcPr>
          <w:p w:rsidR="007D594B" w:rsidRPr="00EF2D2B" w:rsidRDefault="007D594B" w:rsidP="007D594B">
            <w:pPr>
              <w:pStyle w:val="TableParagraph"/>
              <w:tabs>
                <w:tab w:val="left" w:pos="0"/>
              </w:tabs>
              <w:spacing w:before="94" w:line="276" w:lineRule="auto"/>
              <w:ind w:left="108"/>
              <w:rPr>
                <w:b/>
                <w:sz w:val="20"/>
                <w:szCs w:val="20"/>
                <w:lang w:val="mn-MN"/>
              </w:rPr>
            </w:pPr>
            <w:r w:rsidRPr="00EF2D2B">
              <w:rPr>
                <w:b/>
                <w:sz w:val="20"/>
                <w:szCs w:val="20"/>
                <w:lang w:val="mn-MN"/>
              </w:rPr>
              <w:t>T</w:t>
            </w:r>
          </w:p>
        </w:tc>
        <w:tc>
          <w:tcPr>
            <w:tcW w:w="901" w:type="dxa"/>
          </w:tcPr>
          <w:p w:rsidR="007D594B" w:rsidRPr="00EF2D2B" w:rsidRDefault="007D594B" w:rsidP="007D594B">
            <w:pPr>
              <w:pStyle w:val="TableParagraph"/>
              <w:tabs>
                <w:tab w:val="left" w:pos="0"/>
              </w:tabs>
              <w:spacing w:before="94" w:line="276" w:lineRule="auto"/>
              <w:ind w:left="107"/>
              <w:rPr>
                <w:b/>
                <w:sz w:val="20"/>
                <w:szCs w:val="20"/>
                <w:lang w:val="mn-MN"/>
              </w:rPr>
            </w:pPr>
            <w:r w:rsidRPr="00EF2D2B">
              <w:rPr>
                <w:b/>
                <w:sz w:val="20"/>
                <w:szCs w:val="20"/>
                <w:lang w:val="mn-MN"/>
              </w:rPr>
              <w:t>M/O/C</w:t>
            </w:r>
          </w:p>
        </w:tc>
      </w:tr>
      <w:tr w:rsidR="007D594B" w:rsidRPr="00D33687" w:rsidTr="007D594B">
        <w:tc>
          <w:tcPr>
            <w:tcW w:w="1763" w:type="dxa"/>
          </w:tcPr>
          <w:p w:rsidR="007D594B" w:rsidRPr="00731F96" w:rsidRDefault="007D594B" w:rsidP="007D594B">
            <w:pPr>
              <w:pStyle w:val="TableParagraph"/>
              <w:tabs>
                <w:tab w:val="left" w:pos="0"/>
              </w:tabs>
              <w:spacing w:before="97" w:line="276" w:lineRule="auto"/>
              <w:ind w:left="107"/>
              <w:rPr>
                <w:sz w:val="20"/>
                <w:szCs w:val="20"/>
                <w:lang w:val="mn-MN"/>
              </w:rPr>
            </w:pPr>
            <w:r w:rsidRPr="00EF2D2B">
              <w:rPr>
                <w:sz w:val="20"/>
                <w:szCs w:val="20"/>
                <w:lang w:val="mn-MN"/>
              </w:rPr>
              <w:t>LNName</w:t>
            </w:r>
          </w:p>
        </w:tc>
        <w:tc>
          <w:tcPr>
            <w:tcW w:w="1640" w:type="dxa"/>
          </w:tcPr>
          <w:p w:rsidR="007D594B" w:rsidRPr="00D33687" w:rsidRDefault="007D594B" w:rsidP="007D594B">
            <w:pPr>
              <w:pStyle w:val="TableParagraph"/>
              <w:tabs>
                <w:tab w:val="left" w:pos="0"/>
              </w:tabs>
              <w:spacing w:before="0" w:line="276" w:lineRule="auto"/>
              <w:rPr>
                <w:sz w:val="20"/>
                <w:szCs w:val="20"/>
                <w:lang w:val="mn-MN"/>
              </w:rPr>
            </w:pPr>
          </w:p>
        </w:tc>
        <w:tc>
          <w:tcPr>
            <w:tcW w:w="4593" w:type="dxa"/>
          </w:tcPr>
          <w:p w:rsidR="007D594B" w:rsidRPr="00D33687" w:rsidRDefault="007D594B" w:rsidP="007D594B">
            <w:pPr>
              <w:pStyle w:val="TableParagraph"/>
              <w:tabs>
                <w:tab w:val="left" w:pos="0"/>
              </w:tabs>
              <w:spacing w:before="0" w:line="276" w:lineRule="auto"/>
              <w:rPr>
                <w:sz w:val="20"/>
                <w:szCs w:val="20"/>
                <w:lang w:val="mn-MN"/>
              </w:rPr>
            </w:pPr>
          </w:p>
        </w:tc>
        <w:tc>
          <w:tcPr>
            <w:tcW w:w="447" w:type="dxa"/>
          </w:tcPr>
          <w:p w:rsidR="007D594B" w:rsidRPr="00D33687" w:rsidRDefault="007D594B" w:rsidP="007D594B">
            <w:pPr>
              <w:pStyle w:val="TableParagraph"/>
              <w:tabs>
                <w:tab w:val="left" w:pos="0"/>
              </w:tabs>
              <w:spacing w:before="0" w:line="276" w:lineRule="auto"/>
              <w:rPr>
                <w:sz w:val="20"/>
                <w:szCs w:val="20"/>
                <w:lang w:val="mn-MN"/>
              </w:rPr>
            </w:pPr>
          </w:p>
        </w:tc>
        <w:tc>
          <w:tcPr>
            <w:tcW w:w="901" w:type="dxa"/>
          </w:tcPr>
          <w:p w:rsidR="007D594B" w:rsidRPr="00D33687" w:rsidRDefault="007D594B" w:rsidP="007D594B">
            <w:pPr>
              <w:pStyle w:val="TableParagraph"/>
              <w:tabs>
                <w:tab w:val="left" w:pos="0"/>
              </w:tabs>
              <w:spacing w:before="0" w:line="276" w:lineRule="auto"/>
              <w:rPr>
                <w:sz w:val="20"/>
                <w:szCs w:val="20"/>
                <w:lang w:val="mn-MN"/>
              </w:rPr>
            </w:pPr>
          </w:p>
        </w:tc>
      </w:tr>
      <w:tr w:rsidR="007D594B" w:rsidRPr="00731F96" w:rsidTr="007D594B">
        <w:tc>
          <w:tcPr>
            <w:tcW w:w="9344" w:type="dxa"/>
            <w:gridSpan w:val="5"/>
          </w:tcPr>
          <w:p w:rsidR="007D594B" w:rsidRPr="00731F96" w:rsidRDefault="007D594B" w:rsidP="007D594B">
            <w:pPr>
              <w:pStyle w:val="TableParagraph"/>
              <w:tabs>
                <w:tab w:val="left" w:pos="0"/>
              </w:tabs>
              <w:spacing w:before="94" w:line="276" w:lineRule="auto"/>
              <w:ind w:left="107"/>
              <w:rPr>
                <w:b/>
                <w:sz w:val="20"/>
                <w:szCs w:val="20"/>
                <w:lang w:val="mn-MN"/>
              </w:rPr>
            </w:pPr>
            <w:r w:rsidRPr="00EF2D2B">
              <w:rPr>
                <w:b/>
                <w:sz w:val="20"/>
                <w:szCs w:val="20"/>
                <w:lang w:val="mn-MN"/>
              </w:rPr>
              <w:t>Data Objects</w:t>
            </w:r>
          </w:p>
        </w:tc>
      </w:tr>
      <w:tr w:rsidR="007D594B" w:rsidRPr="00731F96" w:rsidTr="007D594B">
        <w:tc>
          <w:tcPr>
            <w:tcW w:w="9344" w:type="dxa"/>
            <w:gridSpan w:val="5"/>
          </w:tcPr>
          <w:p w:rsidR="007D594B" w:rsidRPr="00731F96" w:rsidRDefault="007D594B" w:rsidP="007D594B">
            <w:pPr>
              <w:pStyle w:val="TableParagraph"/>
              <w:tabs>
                <w:tab w:val="left" w:pos="0"/>
              </w:tabs>
              <w:spacing w:before="94" w:line="276" w:lineRule="auto"/>
              <w:ind w:left="107"/>
              <w:rPr>
                <w:b/>
                <w:sz w:val="20"/>
                <w:szCs w:val="20"/>
                <w:lang w:val="mn-MN"/>
              </w:rPr>
            </w:pPr>
            <w:r w:rsidRPr="00EF2D2B">
              <w:rPr>
                <w:b/>
                <w:sz w:val="20"/>
                <w:szCs w:val="20"/>
                <w:lang w:val="mn-MN"/>
              </w:rPr>
              <w:t>Status Information</w:t>
            </w:r>
          </w:p>
        </w:tc>
      </w:tr>
      <w:tr w:rsidR="007D594B" w:rsidRPr="00731F96" w:rsidTr="007D594B">
        <w:tc>
          <w:tcPr>
            <w:tcW w:w="1763" w:type="dxa"/>
          </w:tcPr>
          <w:p w:rsidR="007D594B" w:rsidRPr="00731F96" w:rsidRDefault="007D594B" w:rsidP="007D594B">
            <w:pPr>
              <w:pStyle w:val="TableParagraph"/>
              <w:tabs>
                <w:tab w:val="left" w:pos="0"/>
              </w:tabs>
              <w:spacing w:before="97" w:line="276" w:lineRule="auto"/>
              <w:ind w:left="107"/>
              <w:rPr>
                <w:sz w:val="20"/>
                <w:szCs w:val="20"/>
                <w:lang w:val="mn-MN"/>
              </w:rPr>
            </w:pPr>
            <w:r w:rsidRPr="00EF2D2B">
              <w:rPr>
                <w:sz w:val="20"/>
                <w:szCs w:val="20"/>
                <w:lang w:val="mn-MN"/>
              </w:rPr>
              <w:t>TmDT</w:t>
            </w:r>
          </w:p>
        </w:tc>
        <w:tc>
          <w:tcPr>
            <w:tcW w:w="1640" w:type="dxa"/>
          </w:tcPr>
          <w:p w:rsidR="007D594B" w:rsidRPr="00EF2D2B" w:rsidRDefault="007D594B" w:rsidP="007D594B">
            <w:pPr>
              <w:pStyle w:val="TableParagraph"/>
              <w:tabs>
                <w:tab w:val="left" w:pos="0"/>
              </w:tabs>
              <w:spacing w:before="97" w:line="276" w:lineRule="auto"/>
              <w:ind w:left="107"/>
              <w:rPr>
                <w:sz w:val="20"/>
                <w:szCs w:val="20"/>
                <w:lang w:val="mn-MN"/>
              </w:rPr>
            </w:pPr>
            <w:r w:rsidRPr="00EF2D2B">
              <w:rPr>
                <w:sz w:val="20"/>
                <w:szCs w:val="20"/>
                <w:lang w:val="mn-MN"/>
              </w:rPr>
              <w:t>SPS</w:t>
            </w:r>
          </w:p>
        </w:tc>
        <w:tc>
          <w:tcPr>
            <w:tcW w:w="4593" w:type="dxa"/>
          </w:tcPr>
          <w:p w:rsidR="007D594B" w:rsidRPr="00EF2D2B" w:rsidRDefault="007D594B" w:rsidP="007D594B">
            <w:pPr>
              <w:pStyle w:val="TableParagraph"/>
              <w:tabs>
                <w:tab w:val="left" w:pos="0"/>
              </w:tabs>
              <w:spacing w:line="276" w:lineRule="auto"/>
              <w:ind w:right="134"/>
              <w:rPr>
                <w:sz w:val="20"/>
                <w:szCs w:val="20"/>
                <w:lang w:val="mn-MN"/>
              </w:rPr>
            </w:pPr>
            <w:r w:rsidRPr="00EF2D2B">
              <w:rPr>
                <w:sz w:val="20"/>
                <w:szCs w:val="20"/>
                <w:lang w:val="mn-MN"/>
              </w:rPr>
              <w:t>Indicates if for this location daylight saving time is in effect now</w:t>
            </w:r>
          </w:p>
        </w:tc>
        <w:tc>
          <w:tcPr>
            <w:tcW w:w="447" w:type="dxa"/>
          </w:tcPr>
          <w:p w:rsidR="007D594B" w:rsidRPr="00D33687" w:rsidRDefault="007D594B" w:rsidP="007D594B">
            <w:pPr>
              <w:pStyle w:val="TableParagraph"/>
              <w:tabs>
                <w:tab w:val="left" w:pos="0"/>
              </w:tabs>
              <w:spacing w:before="0" w:line="276" w:lineRule="auto"/>
              <w:rPr>
                <w:sz w:val="20"/>
                <w:szCs w:val="20"/>
                <w:lang w:val="mn-MN"/>
              </w:rPr>
            </w:pPr>
          </w:p>
        </w:tc>
        <w:tc>
          <w:tcPr>
            <w:tcW w:w="901" w:type="dxa"/>
          </w:tcPr>
          <w:p w:rsidR="007D594B" w:rsidRPr="00731F96" w:rsidRDefault="007D594B" w:rsidP="007D594B">
            <w:pPr>
              <w:pStyle w:val="TableParagraph"/>
              <w:tabs>
                <w:tab w:val="left" w:pos="0"/>
              </w:tabs>
              <w:spacing w:before="96" w:line="276" w:lineRule="auto"/>
              <w:ind w:left="107"/>
              <w:rPr>
                <w:sz w:val="20"/>
                <w:szCs w:val="20"/>
                <w:lang w:val="mn-MN"/>
              </w:rPr>
            </w:pPr>
            <w:r w:rsidRPr="00EF2D2B">
              <w:rPr>
                <w:sz w:val="20"/>
                <w:szCs w:val="20"/>
                <w:lang w:val="mn-MN"/>
              </w:rPr>
              <w:t>M</w:t>
            </w:r>
          </w:p>
        </w:tc>
      </w:tr>
      <w:tr w:rsidR="007D594B" w:rsidRPr="00731F96" w:rsidTr="007D594B">
        <w:tc>
          <w:tcPr>
            <w:tcW w:w="1763" w:type="dxa"/>
          </w:tcPr>
          <w:p w:rsidR="007D594B" w:rsidRPr="00731F96" w:rsidRDefault="007D594B" w:rsidP="007D594B">
            <w:pPr>
              <w:pStyle w:val="TableParagraph"/>
              <w:tabs>
                <w:tab w:val="left" w:pos="0"/>
              </w:tabs>
              <w:spacing w:before="99" w:line="276" w:lineRule="auto"/>
              <w:ind w:left="107"/>
              <w:rPr>
                <w:sz w:val="20"/>
                <w:szCs w:val="20"/>
                <w:lang w:val="mn-MN"/>
              </w:rPr>
            </w:pPr>
            <w:r w:rsidRPr="00EF2D2B">
              <w:rPr>
                <w:sz w:val="20"/>
                <w:szCs w:val="20"/>
                <w:lang w:val="mn-MN"/>
              </w:rPr>
              <w:t>TmLeaps</w:t>
            </w:r>
          </w:p>
        </w:tc>
        <w:tc>
          <w:tcPr>
            <w:tcW w:w="1640" w:type="dxa"/>
          </w:tcPr>
          <w:p w:rsidR="007D594B" w:rsidRPr="00EF2D2B" w:rsidRDefault="007D594B" w:rsidP="007D594B">
            <w:pPr>
              <w:pStyle w:val="TableParagraph"/>
              <w:tabs>
                <w:tab w:val="left" w:pos="0"/>
              </w:tabs>
              <w:spacing w:before="99" w:line="276" w:lineRule="auto"/>
              <w:ind w:left="107"/>
              <w:rPr>
                <w:sz w:val="20"/>
                <w:szCs w:val="20"/>
                <w:lang w:val="mn-MN"/>
              </w:rPr>
            </w:pPr>
            <w:r w:rsidRPr="00EF2D2B">
              <w:rPr>
                <w:sz w:val="20"/>
                <w:szCs w:val="20"/>
                <w:lang w:val="mn-MN"/>
              </w:rPr>
              <w:t>SPS</w:t>
            </w:r>
          </w:p>
        </w:tc>
        <w:tc>
          <w:tcPr>
            <w:tcW w:w="4593" w:type="dxa"/>
          </w:tcPr>
          <w:p w:rsidR="007D594B" w:rsidRPr="00EF2D2B" w:rsidRDefault="007D594B" w:rsidP="007D594B">
            <w:pPr>
              <w:pStyle w:val="TableParagraph"/>
              <w:tabs>
                <w:tab w:val="left" w:pos="0"/>
              </w:tabs>
              <w:spacing w:before="58" w:line="276" w:lineRule="auto"/>
              <w:ind w:right="134"/>
              <w:rPr>
                <w:sz w:val="20"/>
                <w:szCs w:val="20"/>
                <w:lang w:val="mn-MN"/>
              </w:rPr>
            </w:pPr>
            <w:r w:rsidRPr="00EF2D2B">
              <w:rPr>
                <w:spacing w:val="6"/>
                <w:sz w:val="20"/>
                <w:szCs w:val="20"/>
                <w:lang w:val="mn-MN"/>
              </w:rPr>
              <w:t xml:space="preserve">Indicates </w:t>
            </w:r>
            <w:r w:rsidRPr="00EF2D2B">
              <w:rPr>
                <w:spacing w:val="3"/>
                <w:sz w:val="20"/>
                <w:szCs w:val="20"/>
                <w:lang w:val="mn-MN"/>
              </w:rPr>
              <w:t xml:space="preserve">if </w:t>
            </w:r>
            <w:r w:rsidRPr="00EF2D2B">
              <w:rPr>
                <w:sz w:val="20"/>
                <w:szCs w:val="20"/>
                <w:lang w:val="mn-MN"/>
              </w:rPr>
              <w:t xml:space="preserve">a </w:t>
            </w:r>
            <w:r w:rsidRPr="00EF2D2B">
              <w:rPr>
                <w:spacing w:val="5"/>
                <w:sz w:val="20"/>
                <w:szCs w:val="20"/>
                <w:lang w:val="mn-MN"/>
              </w:rPr>
              <w:t xml:space="preserve">leap </w:t>
            </w:r>
            <w:r w:rsidRPr="00EF2D2B">
              <w:rPr>
                <w:spacing w:val="6"/>
                <w:sz w:val="20"/>
                <w:szCs w:val="20"/>
                <w:lang w:val="mn-MN"/>
              </w:rPr>
              <w:t xml:space="preserve">second </w:t>
            </w:r>
            <w:r w:rsidRPr="00EF2D2B">
              <w:rPr>
                <w:spacing w:val="3"/>
                <w:sz w:val="20"/>
                <w:szCs w:val="20"/>
                <w:lang w:val="mn-MN"/>
              </w:rPr>
              <w:t xml:space="preserve">is </w:t>
            </w:r>
            <w:r w:rsidRPr="00EF2D2B">
              <w:rPr>
                <w:spacing w:val="6"/>
                <w:sz w:val="20"/>
                <w:szCs w:val="20"/>
                <w:lang w:val="mn-MN"/>
              </w:rPr>
              <w:t xml:space="preserve">currently active. </w:t>
            </w:r>
            <w:r w:rsidRPr="00EF2D2B">
              <w:rPr>
                <w:sz w:val="20"/>
                <w:szCs w:val="20"/>
                <w:lang w:val="mn-MN"/>
              </w:rPr>
              <w:t xml:space="preserve">A </w:t>
            </w:r>
            <w:r w:rsidRPr="00EF2D2B">
              <w:rPr>
                <w:spacing w:val="5"/>
                <w:sz w:val="20"/>
                <w:szCs w:val="20"/>
                <w:lang w:val="mn-MN"/>
              </w:rPr>
              <w:t xml:space="preserve">value </w:t>
            </w:r>
            <w:r w:rsidRPr="00EF2D2B">
              <w:rPr>
                <w:spacing w:val="3"/>
                <w:sz w:val="20"/>
                <w:szCs w:val="20"/>
                <w:lang w:val="mn-MN"/>
              </w:rPr>
              <w:t xml:space="preserve">of </w:t>
            </w:r>
            <w:r w:rsidRPr="00EF2D2B">
              <w:rPr>
                <w:spacing w:val="4"/>
                <w:sz w:val="20"/>
                <w:szCs w:val="20"/>
                <w:lang w:val="mn-MN"/>
              </w:rPr>
              <w:t xml:space="preserve">TRUE </w:t>
            </w:r>
            <w:r w:rsidRPr="00EF2D2B">
              <w:rPr>
                <w:spacing w:val="5"/>
                <w:sz w:val="20"/>
                <w:szCs w:val="20"/>
                <w:lang w:val="mn-MN"/>
              </w:rPr>
              <w:t xml:space="preserve">shall </w:t>
            </w:r>
            <w:r w:rsidRPr="00EF2D2B">
              <w:rPr>
                <w:spacing w:val="6"/>
                <w:sz w:val="20"/>
                <w:szCs w:val="20"/>
                <w:lang w:val="mn-MN"/>
              </w:rPr>
              <w:t xml:space="preserve">indicate </w:t>
            </w:r>
            <w:r w:rsidRPr="00EF2D2B">
              <w:rPr>
                <w:spacing w:val="5"/>
                <w:sz w:val="20"/>
                <w:szCs w:val="20"/>
                <w:lang w:val="mn-MN"/>
              </w:rPr>
              <w:t xml:space="preserve">that </w:t>
            </w:r>
            <w:r w:rsidRPr="00EF2D2B">
              <w:rPr>
                <w:spacing w:val="6"/>
                <w:sz w:val="20"/>
                <w:szCs w:val="20"/>
                <w:lang w:val="mn-MN"/>
              </w:rPr>
              <w:t xml:space="preserve">there </w:t>
            </w:r>
            <w:r w:rsidRPr="00EF2D2B">
              <w:rPr>
                <w:spacing w:val="3"/>
                <w:sz w:val="20"/>
                <w:szCs w:val="20"/>
                <w:lang w:val="mn-MN"/>
              </w:rPr>
              <w:t xml:space="preserve">is </w:t>
            </w:r>
            <w:r w:rsidRPr="00EF2D2B">
              <w:rPr>
                <w:sz w:val="20"/>
                <w:szCs w:val="20"/>
                <w:lang w:val="mn-MN"/>
              </w:rPr>
              <w:t xml:space="preserve">a </w:t>
            </w:r>
            <w:r w:rsidRPr="00EF2D2B">
              <w:rPr>
                <w:spacing w:val="5"/>
                <w:sz w:val="20"/>
                <w:szCs w:val="20"/>
                <w:lang w:val="mn-MN"/>
              </w:rPr>
              <w:t>leap</w:t>
            </w:r>
            <w:r w:rsidRPr="00EF2D2B">
              <w:rPr>
                <w:spacing w:val="26"/>
                <w:sz w:val="20"/>
                <w:szCs w:val="20"/>
                <w:lang w:val="mn-MN"/>
              </w:rPr>
              <w:t xml:space="preserve"> </w:t>
            </w:r>
            <w:r w:rsidRPr="00EF2D2B">
              <w:rPr>
                <w:spacing w:val="7"/>
                <w:sz w:val="20"/>
                <w:szCs w:val="20"/>
                <w:lang w:val="mn-MN"/>
              </w:rPr>
              <w:t>second</w:t>
            </w:r>
            <w:r>
              <w:rPr>
                <w:sz w:val="20"/>
                <w:szCs w:val="20"/>
              </w:rPr>
              <w:t xml:space="preserve"> </w:t>
            </w:r>
            <w:r w:rsidRPr="00EF2D2B">
              <w:rPr>
                <w:sz w:val="20"/>
                <w:szCs w:val="20"/>
                <w:lang w:val="mn-MN"/>
              </w:rPr>
              <w:t>that is active. A value of FALSE shall indicate that no leap second is active.</w:t>
            </w:r>
          </w:p>
        </w:tc>
        <w:tc>
          <w:tcPr>
            <w:tcW w:w="447" w:type="dxa"/>
          </w:tcPr>
          <w:p w:rsidR="007D594B" w:rsidRPr="00D33687" w:rsidRDefault="007D594B" w:rsidP="007D594B">
            <w:pPr>
              <w:pStyle w:val="TableParagraph"/>
              <w:tabs>
                <w:tab w:val="left" w:pos="0"/>
              </w:tabs>
              <w:spacing w:before="0" w:line="276" w:lineRule="auto"/>
              <w:rPr>
                <w:sz w:val="20"/>
                <w:szCs w:val="20"/>
                <w:lang w:val="mn-MN"/>
              </w:rPr>
            </w:pPr>
          </w:p>
        </w:tc>
        <w:tc>
          <w:tcPr>
            <w:tcW w:w="901" w:type="dxa"/>
          </w:tcPr>
          <w:p w:rsidR="007D594B" w:rsidRPr="00731F96" w:rsidRDefault="007D594B" w:rsidP="007D594B">
            <w:pPr>
              <w:pStyle w:val="TableParagraph"/>
              <w:tabs>
                <w:tab w:val="left" w:pos="0"/>
              </w:tabs>
              <w:spacing w:before="99" w:line="276" w:lineRule="auto"/>
              <w:ind w:left="107"/>
              <w:rPr>
                <w:sz w:val="20"/>
                <w:szCs w:val="20"/>
                <w:lang w:val="mn-MN"/>
              </w:rPr>
            </w:pPr>
            <w:r w:rsidRPr="00EF2D2B">
              <w:rPr>
                <w:sz w:val="20"/>
                <w:szCs w:val="20"/>
                <w:lang w:val="mn-MN"/>
              </w:rPr>
              <w:t>O</w:t>
            </w:r>
          </w:p>
        </w:tc>
      </w:tr>
    </w:tbl>
    <w:p w:rsidR="007D594B" w:rsidRDefault="007D594B"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7D594B" w:rsidTr="007A69FC">
        <w:trPr>
          <w:trHeight w:val="1419"/>
        </w:trPr>
        <w:tc>
          <w:tcPr>
            <w:tcW w:w="4672" w:type="dxa"/>
          </w:tcPr>
          <w:p w:rsidR="007A69FC" w:rsidRPr="007A69FC" w:rsidRDefault="007A69FC" w:rsidP="007A69FC">
            <w:pPr>
              <w:ind w:left="0" w:firstLine="0"/>
              <w:rPr>
                <w:rFonts w:eastAsia="Calibri"/>
                <w:b/>
                <w:bCs/>
                <w:szCs w:val="22"/>
              </w:rPr>
            </w:pPr>
            <w:r w:rsidRPr="007A69FC">
              <w:rPr>
                <w:rFonts w:eastAsia="Calibri"/>
                <w:b/>
                <w:bCs/>
                <w:szCs w:val="22"/>
              </w:rPr>
              <w:t>15.6 LTMS логик зангилааны ангийн өөрчлөлт</w:t>
            </w:r>
          </w:p>
          <w:p w:rsidR="007D594B" w:rsidRPr="007A69FC" w:rsidRDefault="007A69FC" w:rsidP="007A69FC">
            <w:pPr>
              <w:ind w:left="0" w:firstLine="0"/>
              <w:rPr>
                <w:rFonts w:eastAsia="Calibri"/>
                <w:bCs/>
                <w:szCs w:val="22"/>
              </w:rPr>
            </w:pPr>
            <w:r w:rsidRPr="007A69FC">
              <w:rPr>
                <w:rFonts w:eastAsia="Calibri"/>
                <w:bCs/>
                <w:szCs w:val="22"/>
              </w:rPr>
              <w:t>Дараах Өгөгдлийн Объект семантикийг IEC 61850-7-4-ийн Хүснэгт 10, 6-р бүлэгт нэмж оруулна:</w:t>
            </w:r>
          </w:p>
        </w:tc>
        <w:tc>
          <w:tcPr>
            <w:tcW w:w="4672" w:type="dxa"/>
          </w:tcPr>
          <w:p w:rsidR="007A69FC" w:rsidRPr="007A69FC" w:rsidRDefault="007A69FC" w:rsidP="007A69FC">
            <w:pPr>
              <w:ind w:left="0" w:firstLine="0"/>
              <w:rPr>
                <w:rFonts w:eastAsia="Calibri"/>
                <w:b/>
                <w:bCs/>
                <w:szCs w:val="22"/>
              </w:rPr>
            </w:pPr>
            <w:r w:rsidRPr="007A69FC">
              <w:rPr>
                <w:rFonts w:eastAsia="Calibri"/>
                <w:b/>
                <w:bCs/>
                <w:szCs w:val="22"/>
              </w:rPr>
              <w:t>15.6 Modifications to the LTMS logical node class</w:t>
            </w:r>
          </w:p>
          <w:p w:rsidR="007D594B" w:rsidRPr="007A69FC" w:rsidRDefault="007A69FC" w:rsidP="007A69FC">
            <w:pPr>
              <w:ind w:left="0" w:firstLine="0"/>
              <w:rPr>
                <w:rFonts w:eastAsia="Calibri"/>
                <w:bCs/>
                <w:szCs w:val="22"/>
              </w:rPr>
            </w:pPr>
            <w:r w:rsidRPr="007A69FC">
              <w:rPr>
                <w:rFonts w:eastAsia="Calibri"/>
                <w:bCs/>
                <w:szCs w:val="22"/>
              </w:rPr>
              <w:t>The following Data Object semantic shall be added to Clause 6, Table 10 of IEC 61850-7-4:</w:t>
            </w:r>
          </w:p>
        </w:tc>
      </w:tr>
    </w:tbl>
    <w:p w:rsidR="007D594B" w:rsidRDefault="007D594B" w:rsidP="00CD1812">
      <w:pPr>
        <w:ind w:left="0" w:firstLine="0"/>
        <w:jc w:val="center"/>
        <w:rPr>
          <w:b/>
        </w:rPr>
      </w:pPr>
    </w:p>
    <w:tbl>
      <w:tblPr>
        <w:tblStyle w:val="TableGrid"/>
        <w:tblW w:w="0" w:type="auto"/>
        <w:tblLook w:val="04A0" w:firstRow="1" w:lastRow="0" w:firstColumn="1" w:lastColumn="0" w:noHBand="0" w:noVBand="1"/>
      </w:tblPr>
      <w:tblGrid>
        <w:gridCol w:w="988"/>
        <w:gridCol w:w="8356"/>
      </w:tblGrid>
      <w:tr w:rsidR="007A69FC" w:rsidTr="00474E8E">
        <w:tc>
          <w:tcPr>
            <w:tcW w:w="988" w:type="dxa"/>
          </w:tcPr>
          <w:p w:rsidR="007A69FC" w:rsidRPr="007A69FC" w:rsidRDefault="007A69FC" w:rsidP="00474E8E">
            <w:pPr>
              <w:ind w:left="0" w:firstLine="0"/>
              <w:jc w:val="center"/>
              <w:rPr>
                <w:lang w:val="en-US"/>
              </w:rPr>
            </w:pPr>
            <w:r w:rsidRPr="007A69FC">
              <w:rPr>
                <w:lang w:val="en-US"/>
              </w:rPr>
              <w:lastRenderedPageBreak/>
              <w:t>TmLok</w:t>
            </w:r>
          </w:p>
        </w:tc>
        <w:tc>
          <w:tcPr>
            <w:tcW w:w="8356" w:type="dxa"/>
          </w:tcPr>
          <w:p w:rsidR="007A69FC" w:rsidRPr="007A69FC" w:rsidRDefault="007A69FC" w:rsidP="00474E8E">
            <w:pPr>
              <w:ind w:left="0" w:firstLine="0"/>
              <w:rPr>
                <w:rFonts w:eastAsia="Calibri"/>
                <w:bCs/>
              </w:rPr>
            </w:pPr>
            <w:r w:rsidRPr="007A69FC">
              <w:rPr>
                <w:rFonts w:eastAsia="Calibri"/>
                <w:bCs/>
              </w:rPr>
              <w:t>Синхрончлол түгжигдсэн тохиолдолд энэ нь хэр удаан түгжээтэй байх эсэхийг харуулна. IED нь глобал синхрончлогдсон тохиолдолд л 'Locked' төлөвт байх ба Цоожгүй (Unlocked) төлөв нь глобал цаг (global clock)алдалтын эсрэг.</w:t>
            </w:r>
          </w:p>
          <w:tbl>
            <w:tblPr>
              <w:tblStyle w:val="TableGrid"/>
              <w:tblW w:w="0" w:type="auto"/>
              <w:tblInd w:w="1734" w:type="dxa"/>
              <w:tblLook w:val="04A0" w:firstRow="1" w:lastRow="0" w:firstColumn="1" w:lastColumn="0" w:noHBand="0" w:noVBand="1"/>
            </w:tblPr>
            <w:tblGrid>
              <w:gridCol w:w="3545"/>
              <w:gridCol w:w="2347"/>
            </w:tblGrid>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4" w:right="281"/>
                    <w:jc w:val="center"/>
                    <w:rPr>
                      <w:sz w:val="24"/>
                      <w:szCs w:val="24"/>
                      <w:lang w:val="mn-MN"/>
                    </w:rPr>
                  </w:pPr>
                  <w:r w:rsidRPr="007A69FC">
                    <w:rPr>
                      <w:sz w:val="24"/>
                      <w:szCs w:val="24"/>
                      <w:lang w:val="mn-MN"/>
                    </w:rPr>
                    <w:t>TmLok</w:t>
                  </w:r>
                </w:p>
              </w:tc>
              <w:tc>
                <w:tcPr>
                  <w:tcW w:w="2347" w:type="dxa"/>
                </w:tcPr>
                <w:p w:rsidR="007A69FC" w:rsidRPr="007A69FC" w:rsidRDefault="007A69FC" w:rsidP="00474E8E">
                  <w:pPr>
                    <w:pStyle w:val="TableParagraph"/>
                    <w:tabs>
                      <w:tab w:val="left" w:pos="0"/>
                    </w:tabs>
                    <w:spacing w:before="97" w:line="276" w:lineRule="auto"/>
                    <w:ind w:left="404" w:right="396"/>
                    <w:jc w:val="center"/>
                    <w:rPr>
                      <w:sz w:val="24"/>
                      <w:szCs w:val="24"/>
                      <w:lang w:val="mn-MN"/>
                    </w:rPr>
                  </w:pPr>
                  <w:r w:rsidRPr="007A69FC">
                    <w:rPr>
                      <w:sz w:val="24"/>
                      <w:szCs w:val="24"/>
                      <w:lang w:val="mn-MN"/>
                    </w:rPr>
                    <w:t>Value</w:t>
                  </w:r>
                </w:p>
              </w:tc>
            </w:tr>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4" w:right="286"/>
                    <w:jc w:val="center"/>
                    <w:rPr>
                      <w:sz w:val="24"/>
                      <w:szCs w:val="24"/>
                      <w:lang w:val="mn-MN"/>
                    </w:rPr>
                  </w:pPr>
                  <w:r w:rsidRPr="007A69FC">
                    <w:rPr>
                      <w:sz w:val="24"/>
                      <w:szCs w:val="24"/>
                      <w:lang w:val="mn-MN"/>
                    </w:rPr>
                    <w:t>UnlockedMoreThan1000s</w:t>
                  </w:r>
                </w:p>
              </w:tc>
              <w:tc>
                <w:tcPr>
                  <w:tcW w:w="2347" w:type="dxa"/>
                </w:tcPr>
                <w:p w:rsidR="007A69FC" w:rsidRPr="007A69FC" w:rsidRDefault="007A69FC" w:rsidP="00474E8E">
                  <w:pPr>
                    <w:pStyle w:val="TableParagraph"/>
                    <w:tabs>
                      <w:tab w:val="left" w:pos="0"/>
                    </w:tabs>
                    <w:spacing w:before="97" w:line="276" w:lineRule="auto"/>
                    <w:ind w:left="2"/>
                    <w:jc w:val="center"/>
                    <w:rPr>
                      <w:sz w:val="24"/>
                      <w:szCs w:val="24"/>
                      <w:lang w:val="mn-MN"/>
                    </w:rPr>
                  </w:pPr>
                  <w:r w:rsidRPr="007A69FC">
                    <w:rPr>
                      <w:sz w:val="24"/>
                      <w:szCs w:val="24"/>
                      <w:lang w:val="mn-MN"/>
                    </w:rPr>
                    <w:t>5</w:t>
                  </w:r>
                </w:p>
              </w:tc>
            </w:tr>
            <w:tr w:rsidR="007A69FC" w:rsidRPr="007A69FC" w:rsidTr="00474E8E">
              <w:tc>
                <w:tcPr>
                  <w:tcW w:w="2331" w:type="dxa"/>
                </w:tcPr>
                <w:p w:rsidR="007A69FC" w:rsidRPr="007A69FC" w:rsidRDefault="007A69FC" w:rsidP="00474E8E">
                  <w:pPr>
                    <w:pStyle w:val="TableParagraph"/>
                    <w:tabs>
                      <w:tab w:val="left" w:pos="0"/>
                    </w:tabs>
                    <w:spacing w:before="99" w:line="276" w:lineRule="auto"/>
                    <w:ind w:left="291" w:right="286"/>
                    <w:jc w:val="center"/>
                    <w:rPr>
                      <w:sz w:val="24"/>
                      <w:szCs w:val="24"/>
                      <w:lang w:val="mn-MN"/>
                    </w:rPr>
                  </w:pPr>
                  <w:r w:rsidRPr="007A69FC">
                    <w:rPr>
                      <w:sz w:val="24"/>
                      <w:szCs w:val="24"/>
                      <w:lang w:val="mn-MN"/>
                    </w:rPr>
                    <w:t>Unlocked1000s</w:t>
                  </w:r>
                </w:p>
              </w:tc>
              <w:tc>
                <w:tcPr>
                  <w:tcW w:w="2347" w:type="dxa"/>
                </w:tcPr>
                <w:p w:rsidR="007A69FC" w:rsidRPr="007A69FC" w:rsidRDefault="007A69FC" w:rsidP="00474E8E">
                  <w:pPr>
                    <w:pStyle w:val="TableParagraph"/>
                    <w:tabs>
                      <w:tab w:val="left" w:pos="0"/>
                    </w:tabs>
                    <w:spacing w:before="99" w:line="276" w:lineRule="auto"/>
                    <w:ind w:left="1"/>
                    <w:jc w:val="center"/>
                    <w:rPr>
                      <w:sz w:val="24"/>
                      <w:szCs w:val="24"/>
                      <w:lang w:val="mn-MN"/>
                    </w:rPr>
                  </w:pPr>
                  <w:r w:rsidRPr="007A69FC">
                    <w:rPr>
                      <w:sz w:val="24"/>
                      <w:szCs w:val="24"/>
                      <w:lang w:val="mn-MN"/>
                    </w:rPr>
                    <w:t>4</w:t>
                  </w:r>
                </w:p>
              </w:tc>
            </w:tr>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1" w:right="286"/>
                    <w:jc w:val="center"/>
                    <w:rPr>
                      <w:sz w:val="24"/>
                      <w:szCs w:val="24"/>
                      <w:lang w:val="mn-MN"/>
                    </w:rPr>
                  </w:pPr>
                  <w:r w:rsidRPr="007A69FC">
                    <w:rPr>
                      <w:sz w:val="24"/>
                      <w:szCs w:val="24"/>
                      <w:lang w:val="mn-MN"/>
                    </w:rPr>
                    <w:t>Unlocked100s</w:t>
                  </w:r>
                </w:p>
              </w:tc>
              <w:tc>
                <w:tcPr>
                  <w:tcW w:w="2347" w:type="dxa"/>
                </w:tcPr>
                <w:p w:rsidR="007A69FC" w:rsidRPr="007A69FC" w:rsidRDefault="007A69FC" w:rsidP="00474E8E">
                  <w:pPr>
                    <w:pStyle w:val="TableParagraph"/>
                    <w:tabs>
                      <w:tab w:val="left" w:pos="0"/>
                    </w:tabs>
                    <w:spacing w:before="97" w:line="276" w:lineRule="auto"/>
                    <w:ind w:left="1"/>
                    <w:jc w:val="center"/>
                    <w:rPr>
                      <w:sz w:val="24"/>
                      <w:szCs w:val="24"/>
                      <w:lang w:val="mn-MN"/>
                    </w:rPr>
                  </w:pPr>
                  <w:r w:rsidRPr="007A69FC">
                    <w:rPr>
                      <w:sz w:val="24"/>
                      <w:szCs w:val="24"/>
                      <w:lang w:val="mn-MN"/>
                    </w:rPr>
                    <w:t>3</w:t>
                  </w:r>
                </w:p>
              </w:tc>
            </w:tr>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4" w:right="286"/>
                    <w:jc w:val="center"/>
                    <w:rPr>
                      <w:sz w:val="24"/>
                      <w:szCs w:val="24"/>
                      <w:lang w:val="mn-MN"/>
                    </w:rPr>
                  </w:pPr>
                  <w:r w:rsidRPr="007A69FC">
                    <w:rPr>
                      <w:sz w:val="24"/>
                      <w:szCs w:val="24"/>
                      <w:lang w:val="mn-MN"/>
                    </w:rPr>
                    <w:t>Unlocked10s</w:t>
                  </w:r>
                </w:p>
              </w:tc>
              <w:tc>
                <w:tcPr>
                  <w:tcW w:w="2347" w:type="dxa"/>
                </w:tcPr>
                <w:p w:rsidR="007A69FC" w:rsidRPr="007A69FC" w:rsidRDefault="007A69FC" w:rsidP="00474E8E">
                  <w:pPr>
                    <w:pStyle w:val="TableParagraph"/>
                    <w:tabs>
                      <w:tab w:val="left" w:pos="0"/>
                    </w:tabs>
                    <w:spacing w:before="97" w:line="276" w:lineRule="auto"/>
                    <w:ind w:left="2"/>
                    <w:jc w:val="center"/>
                    <w:rPr>
                      <w:sz w:val="24"/>
                      <w:szCs w:val="24"/>
                      <w:lang w:val="mn-MN"/>
                    </w:rPr>
                  </w:pPr>
                  <w:r w:rsidRPr="007A69FC">
                    <w:rPr>
                      <w:sz w:val="24"/>
                      <w:szCs w:val="24"/>
                      <w:lang w:val="mn-MN"/>
                    </w:rPr>
                    <w:t>2</w:t>
                  </w:r>
                </w:p>
              </w:tc>
            </w:tr>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3" w:right="286"/>
                    <w:jc w:val="center"/>
                    <w:rPr>
                      <w:sz w:val="24"/>
                      <w:szCs w:val="24"/>
                      <w:lang w:val="mn-MN"/>
                    </w:rPr>
                  </w:pPr>
                  <w:r w:rsidRPr="007A69FC">
                    <w:rPr>
                      <w:sz w:val="24"/>
                      <w:szCs w:val="24"/>
                      <w:lang w:val="mn-MN"/>
                    </w:rPr>
                    <w:t>Locked</w:t>
                  </w:r>
                </w:p>
              </w:tc>
              <w:tc>
                <w:tcPr>
                  <w:tcW w:w="2347" w:type="dxa"/>
                </w:tcPr>
                <w:p w:rsidR="007A69FC" w:rsidRPr="007A69FC" w:rsidRDefault="007A69FC" w:rsidP="00474E8E">
                  <w:pPr>
                    <w:pStyle w:val="TableParagraph"/>
                    <w:tabs>
                      <w:tab w:val="left" w:pos="0"/>
                    </w:tabs>
                    <w:spacing w:before="97" w:line="276" w:lineRule="auto"/>
                    <w:ind w:left="1"/>
                    <w:jc w:val="center"/>
                    <w:rPr>
                      <w:sz w:val="24"/>
                      <w:szCs w:val="24"/>
                      <w:lang w:val="mn-MN"/>
                    </w:rPr>
                  </w:pPr>
                  <w:r w:rsidRPr="007A69FC">
                    <w:rPr>
                      <w:sz w:val="24"/>
                      <w:szCs w:val="24"/>
                      <w:lang w:val="mn-MN"/>
                    </w:rPr>
                    <w:t>1</w:t>
                  </w:r>
                </w:p>
              </w:tc>
            </w:tr>
          </w:tbl>
          <w:p w:rsidR="007A69FC" w:rsidRPr="007A69FC" w:rsidRDefault="007A69FC" w:rsidP="007A69FC">
            <w:pPr>
              <w:ind w:left="0" w:firstLine="0"/>
              <w:rPr>
                <w:b/>
              </w:rPr>
            </w:pPr>
          </w:p>
        </w:tc>
      </w:tr>
    </w:tbl>
    <w:p w:rsidR="007A69FC" w:rsidRDefault="007A69FC" w:rsidP="007A69FC">
      <w:pPr>
        <w:ind w:left="0" w:firstLine="0"/>
        <w:jc w:val="center"/>
        <w:rPr>
          <w:b/>
        </w:rPr>
      </w:pPr>
    </w:p>
    <w:p w:rsidR="007A69FC" w:rsidRDefault="007A69FC" w:rsidP="007A69FC">
      <w:pPr>
        <w:ind w:left="0" w:firstLine="0"/>
        <w:jc w:val="center"/>
        <w:rPr>
          <w:b/>
        </w:rPr>
      </w:pPr>
    </w:p>
    <w:tbl>
      <w:tblPr>
        <w:tblStyle w:val="TableGrid"/>
        <w:tblW w:w="0" w:type="auto"/>
        <w:tblLook w:val="04A0" w:firstRow="1" w:lastRow="0" w:firstColumn="1" w:lastColumn="0" w:noHBand="0" w:noVBand="1"/>
      </w:tblPr>
      <w:tblGrid>
        <w:gridCol w:w="988"/>
        <w:gridCol w:w="8356"/>
      </w:tblGrid>
      <w:tr w:rsidR="007A69FC" w:rsidTr="00474E8E">
        <w:tc>
          <w:tcPr>
            <w:tcW w:w="988" w:type="dxa"/>
          </w:tcPr>
          <w:p w:rsidR="007A69FC" w:rsidRPr="007A69FC" w:rsidRDefault="007A69FC" w:rsidP="00474E8E">
            <w:pPr>
              <w:ind w:left="0" w:firstLine="0"/>
              <w:jc w:val="center"/>
              <w:rPr>
                <w:lang w:val="en-US"/>
              </w:rPr>
            </w:pPr>
            <w:r w:rsidRPr="007A69FC">
              <w:rPr>
                <w:lang w:val="en-US"/>
              </w:rPr>
              <w:t>TmLok</w:t>
            </w:r>
          </w:p>
        </w:tc>
        <w:tc>
          <w:tcPr>
            <w:tcW w:w="8356" w:type="dxa"/>
          </w:tcPr>
          <w:p w:rsidR="007A69FC" w:rsidRPr="007A69FC" w:rsidRDefault="007A69FC" w:rsidP="00474E8E">
            <w:pPr>
              <w:ind w:left="0" w:firstLine="0"/>
              <w:rPr>
                <w:rFonts w:eastAsia="Calibri"/>
                <w:bCs/>
              </w:rPr>
            </w:pPr>
            <w:r w:rsidRPr="007A69FC">
              <w:rPr>
                <w:rFonts w:eastAsia="Calibri"/>
                <w:bCs/>
              </w:rPr>
              <w:t>Shows if synchronisation is locked respective how long it is unlocked. The state is 'Locked' only if the IED is  synchronised globally (LTMS.TmSyn is not LocalAreaClock), and Unlocked state is against loss of global clock.</w:t>
            </w:r>
          </w:p>
          <w:tbl>
            <w:tblPr>
              <w:tblStyle w:val="TableGrid"/>
              <w:tblW w:w="0" w:type="auto"/>
              <w:tblInd w:w="1734" w:type="dxa"/>
              <w:tblLook w:val="04A0" w:firstRow="1" w:lastRow="0" w:firstColumn="1" w:lastColumn="0" w:noHBand="0" w:noVBand="1"/>
            </w:tblPr>
            <w:tblGrid>
              <w:gridCol w:w="3545"/>
              <w:gridCol w:w="2347"/>
            </w:tblGrid>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4" w:right="281"/>
                    <w:jc w:val="center"/>
                    <w:rPr>
                      <w:sz w:val="24"/>
                      <w:szCs w:val="24"/>
                      <w:lang w:val="mn-MN"/>
                    </w:rPr>
                  </w:pPr>
                  <w:r w:rsidRPr="007A69FC">
                    <w:rPr>
                      <w:sz w:val="24"/>
                      <w:szCs w:val="24"/>
                      <w:lang w:val="mn-MN"/>
                    </w:rPr>
                    <w:t>TmLok</w:t>
                  </w:r>
                </w:p>
              </w:tc>
              <w:tc>
                <w:tcPr>
                  <w:tcW w:w="2347" w:type="dxa"/>
                </w:tcPr>
                <w:p w:rsidR="007A69FC" w:rsidRPr="007A69FC" w:rsidRDefault="007A69FC" w:rsidP="00474E8E">
                  <w:pPr>
                    <w:pStyle w:val="TableParagraph"/>
                    <w:tabs>
                      <w:tab w:val="left" w:pos="0"/>
                    </w:tabs>
                    <w:spacing w:before="97" w:line="276" w:lineRule="auto"/>
                    <w:ind w:left="404" w:right="396"/>
                    <w:jc w:val="center"/>
                    <w:rPr>
                      <w:sz w:val="24"/>
                      <w:szCs w:val="24"/>
                      <w:lang w:val="mn-MN"/>
                    </w:rPr>
                  </w:pPr>
                  <w:r w:rsidRPr="007A69FC">
                    <w:rPr>
                      <w:sz w:val="24"/>
                      <w:szCs w:val="24"/>
                      <w:lang w:val="mn-MN"/>
                    </w:rPr>
                    <w:t>Value</w:t>
                  </w:r>
                </w:p>
              </w:tc>
            </w:tr>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4" w:right="286"/>
                    <w:jc w:val="center"/>
                    <w:rPr>
                      <w:sz w:val="24"/>
                      <w:szCs w:val="24"/>
                      <w:lang w:val="mn-MN"/>
                    </w:rPr>
                  </w:pPr>
                  <w:r w:rsidRPr="007A69FC">
                    <w:rPr>
                      <w:sz w:val="24"/>
                      <w:szCs w:val="24"/>
                      <w:lang w:val="mn-MN"/>
                    </w:rPr>
                    <w:t>UnlockedMoreThan1000s</w:t>
                  </w:r>
                </w:p>
              </w:tc>
              <w:tc>
                <w:tcPr>
                  <w:tcW w:w="2347" w:type="dxa"/>
                </w:tcPr>
                <w:p w:rsidR="007A69FC" w:rsidRPr="007A69FC" w:rsidRDefault="007A69FC" w:rsidP="00474E8E">
                  <w:pPr>
                    <w:pStyle w:val="TableParagraph"/>
                    <w:tabs>
                      <w:tab w:val="left" w:pos="0"/>
                    </w:tabs>
                    <w:spacing w:before="97" w:line="276" w:lineRule="auto"/>
                    <w:ind w:left="2"/>
                    <w:jc w:val="center"/>
                    <w:rPr>
                      <w:sz w:val="24"/>
                      <w:szCs w:val="24"/>
                      <w:lang w:val="mn-MN"/>
                    </w:rPr>
                  </w:pPr>
                  <w:r w:rsidRPr="007A69FC">
                    <w:rPr>
                      <w:sz w:val="24"/>
                      <w:szCs w:val="24"/>
                      <w:lang w:val="mn-MN"/>
                    </w:rPr>
                    <w:t>5</w:t>
                  </w:r>
                </w:p>
              </w:tc>
            </w:tr>
            <w:tr w:rsidR="007A69FC" w:rsidRPr="007A69FC" w:rsidTr="00474E8E">
              <w:tc>
                <w:tcPr>
                  <w:tcW w:w="2331" w:type="dxa"/>
                </w:tcPr>
                <w:p w:rsidR="007A69FC" w:rsidRPr="007A69FC" w:rsidRDefault="007A69FC" w:rsidP="00474E8E">
                  <w:pPr>
                    <w:pStyle w:val="TableParagraph"/>
                    <w:tabs>
                      <w:tab w:val="left" w:pos="0"/>
                    </w:tabs>
                    <w:spacing w:before="99" w:line="276" w:lineRule="auto"/>
                    <w:ind w:left="291" w:right="286"/>
                    <w:jc w:val="center"/>
                    <w:rPr>
                      <w:sz w:val="24"/>
                      <w:szCs w:val="24"/>
                      <w:lang w:val="mn-MN"/>
                    </w:rPr>
                  </w:pPr>
                  <w:r w:rsidRPr="007A69FC">
                    <w:rPr>
                      <w:sz w:val="24"/>
                      <w:szCs w:val="24"/>
                      <w:lang w:val="mn-MN"/>
                    </w:rPr>
                    <w:t>Unlocked1000s</w:t>
                  </w:r>
                </w:p>
              </w:tc>
              <w:tc>
                <w:tcPr>
                  <w:tcW w:w="2347" w:type="dxa"/>
                </w:tcPr>
                <w:p w:rsidR="007A69FC" w:rsidRPr="007A69FC" w:rsidRDefault="007A69FC" w:rsidP="00474E8E">
                  <w:pPr>
                    <w:pStyle w:val="TableParagraph"/>
                    <w:tabs>
                      <w:tab w:val="left" w:pos="0"/>
                    </w:tabs>
                    <w:spacing w:before="99" w:line="276" w:lineRule="auto"/>
                    <w:ind w:left="1"/>
                    <w:jc w:val="center"/>
                    <w:rPr>
                      <w:sz w:val="24"/>
                      <w:szCs w:val="24"/>
                      <w:lang w:val="mn-MN"/>
                    </w:rPr>
                  </w:pPr>
                  <w:r w:rsidRPr="007A69FC">
                    <w:rPr>
                      <w:sz w:val="24"/>
                      <w:szCs w:val="24"/>
                      <w:lang w:val="mn-MN"/>
                    </w:rPr>
                    <w:t>4</w:t>
                  </w:r>
                </w:p>
              </w:tc>
            </w:tr>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1" w:right="286"/>
                    <w:jc w:val="center"/>
                    <w:rPr>
                      <w:sz w:val="24"/>
                      <w:szCs w:val="24"/>
                      <w:lang w:val="mn-MN"/>
                    </w:rPr>
                  </w:pPr>
                  <w:r w:rsidRPr="007A69FC">
                    <w:rPr>
                      <w:sz w:val="24"/>
                      <w:szCs w:val="24"/>
                      <w:lang w:val="mn-MN"/>
                    </w:rPr>
                    <w:t>Unlocked100s</w:t>
                  </w:r>
                </w:p>
              </w:tc>
              <w:tc>
                <w:tcPr>
                  <w:tcW w:w="2347" w:type="dxa"/>
                </w:tcPr>
                <w:p w:rsidR="007A69FC" w:rsidRPr="007A69FC" w:rsidRDefault="007A69FC" w:rsidP="00474E8E">
                  <w:pPr>
                    <w:pStyle w:val="TableParagraph"/>
                    <w:tabs>
                      <w:tab w:val="left" w:pos="0"/>
                    </w:tabs>
                    <w:spacing w:before="97" w:line="276" w:lineRule="auto"/>
                    <w:ind w:left="1"/>
                    <w:jc w:val="center"/>
                    <w:rPr>
                      <w:sz w:val="24"/>
                      <w:szCs w:val="24"/>
                      <w:lang w:val="mn-MN"/>
                    </w:rPr>
                  </w:pPr>
                  <w:r w:rsidRPr="007A69FC">
                    <w:rPr>
                      <w:sz w:val="24"/>
                      <w:szCs w:val="24"/>
                      <w:lang w:val="mn-MN"/>
                    </w:rPr>
                    <w:t>3</w:t>
                  </w:r>
                </w:p>
              </w:tc>
            </w:tr>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4" w:right="286"/>
                    <w:jc w:val="center"/>
                    <w:rPr>
                      <w:sz w:val="24"/>
                      <w:szCs w:val="24"/>
                      <w:lang w:val="mn-MN"/>
                    </w:rPr>
                  </w:pPr>
                  <w:r w:rsidRPr="007A69FC">
                    <w:rPr>
                      <w:sz w:val="24"/>
                      <w:szCs w:val="24"/>
                      <w:lang w:val="mn-MN"/>
                    </w:rPr>
                    <w:t>Unlocked10s</w:t>
                  </w:r>
                </w:p>
              </w:tc>
              <w:tc>
                <w:tcPr>
                  <w:tcW w:w="2347" w:type="dxa"/>
                </w:tcPr>
                <w:p w:rsidR="007A69FC" w:rsidRPr="007A69FC" w:rsidRDefault="007A69FC" w:rsidP="00474E8E">
                  <w:pPr>
                    <w:pStyle w:val="TableParagraph"/>
                    <w:tabs>
                      <w:tab w:val="left" w:pos="0"/>
                    </w:tabs>
                    <w:spacing w:before="97" w:line="276" w:lineRule="auto"/>
                    <w:ind w:left="2"/>
                    <w:jc w:val="center"/>
                    <w:rPr>
                      <w:sz w:val="24"/>
                      <w:szCs w:val="24"/>
                      <w:lang w:val="mn-MN"/>
                    </w:rPr>
                  </w:pPr>
                  <w:r w:rsidRPr="007A69FC">
                    <w:rPr>
                      <w:sz w:val="24"/>
                      <w:szCs w:val="24"/>
                      <w:lang w:val="mn-MN"/>
                    </w:rPr>
                    <w:t>2</w:t>
                  </w:r>
                </w:p>
              </w:tc>
            </w:tr>
            <w:tr w:rsidR="007A69FC" w:rsidRPr="007A69FC" w:rsidTr="00474E8E">
              <w:tc>
                <w:tcPr>
                  <w:tcW w:w="2331" w:type="dxa"/>
                </w:tcPr>
                <w:p w:rsidR="007A69FC" w:rsidRPr="007A69FC" w:rsidRDefault="007A69FC" w:rsidP="00474E8E">
                  <w:pPr>
                    <w:pStyle w:val="TableParagraph"/>
                    <w:tabs>
                      <w:tab w:val="left" w:pos="0"/>
                    </w:tabs>
                    <w:spacing w:before="97" w:line="276" w:lineRule="auto"/>
                    <w:ind w:left="293" w:right="286"/>
                    <w:jc w:val="center"/>
                    <w:rPr>
                      <w:sz w:val="24"/>
                      <w:szCs w:val="24"/>
                      <w:lang w:val="mn-MN"/>
                    </w:rPr>
                  </w:pPr>
                  <w:r w:rsidRPr="007A69FC">
                    <w:rPr>
                      <w:sz w:val="24"/>
                      <w:szCs w:val="24"/>
                      <w:lang w:val="mn-MN"/>
                    </w:rPr>
                    <w:t>Locked</w:t>
                  </w:r>
                </w:p>
              </w:tc>
              <w:tc>
                <w:tcPr>
                  <w:tcW w:w="2347" w:type="dxa"/>
                </w:tcPr>
                <w:p w:rsidR="007A69FC" w:rsidRPr="007A69FC" w:rsidRDefault="007A69FC" w:rsidP="00474E8E">
                  <w:pPr>
                    <w:pStyle w:val="TableParagraph"/>
                    <w:tabs>
                      <w:tab w:val="left" w:pos="0"/>
                    </w:tabs>
                    <w:spacing w:before="97" w:line="276" w:lineRule="auto"/>
                    <w:ind w:left="1"/>
                    <w:jc w:val="center"/>
                    <w:rPr>
                      <w:sz w:val="24"/>
                      <w:szCs w:val="24"/>
                      <w:lang w:val="mn-MN"/>
                    </w:rPr>
                  </w:pPr>
                  <w:r w:rsidRPr="007A69FC">
                    <w:rPr>
                      <w:sz w:val="24"/>
                      <w:szCs w:val="24"/>
                      <w:lang w:val="mn-MN"/>
                    </w:rPr>
                    <w:t>1</w:t>
                  </w:r>
                </w:p>
              </w:tc>
            </w:tr>
          </w:tbl>
          <w:p w:rsidR="007A69FC" w:rsidRPr="007A69FC" w:rsidRDefault="007A69FC" w:rsidP="007A69FC">
            <w:pPr>
              <w:ind w:left="0" w:firstLine="0"/>
              <w:rPr>
                <w:b/>
              </w:rPr>
            </w:pPr>
          </w:p>
        </w:tc>
      </w:tr>
    </w:tbl>
    <w:p w:rsidR="007A69FC" w:rsidRDefault="007A69FC" w:rsidP="00CD1812">
      <w:pPr>
        <w:ind w:left="0" w:firstLine="0"/>
        <w:jc w:val="center"/>
        <w:rPr>
          <w:b/>
        </w:rPr>
      </w:pPr>
    </w:p>
    <w:tbl>
      <w:tblPr>
        <w:tblStyle w:val="TableGrid"/>
        <w:tblW w:w="0" w:type="auto"/>
        <w:tblLook w:val="04A0" w:firstRow="1" w:lastRow="0" w:firstColumn="1" w:lastColumn="0" w:noHBand="0" w:noVBand="1"/>
      </w:tblPr>
      <w:tblGrid>
        <w:gridCol w:w="4672"/>
        <w:gridCol w:w="4672"/>
      </w:tblGrid>
      <w:tr w:rsidR="007A69FC" w:rsidTr="007A69FC">
        <w:tc>
          <w:tcPr>
            <w:tcW w:w="4672" w:type="dxa"/>
          </w:tcPr>
          <w:p w:rsidR="007A69FC" w:rsidRPr="004C737E" w:rsidRDefault="004C737E" w:rsidP="004C737E">
            <w:pPr>
              <w:ind w:left="0" w:firstLine="0"/>
              <w:rPr>
                <w:rFonts w:eastAsia="Calibri"/>
                <w:bCs/>
                <w:szCs w:val="22"/>
              </w:rPr>
            </w:pPr>
            <w:r w:rsidRPr="004C737E">
              <w:rPr>
                <w:rFonts w:eastAsia="Calibri"/>
                <w:bCs/>
                <w:szCs w:val="22"/>
              </w:rPr>
              <w:t>TmLokӨгөгдлийн Объектыг Хүснэгт 18-т харуулсны дагуу LTMS Логик Зангилааны Ангид нэмнэ.</w:t>
            </w:r>
          </w:p>
        </w:tc>
        <w:tc>
          <w:tcPr>
            <w:tcW w:w="4672" w:type="dxa"/>
          </w:tcPr>
          <w:p w:rsidR="007A69FC" w:rsidRPr="004C737E" w:rsidRDefault="004C737E" w:rsidP="004C737E">
            <w:pPr>
              <w:ind w:left="0" w:firstLine="0"/>
              <w:rPr>
                <w:rFonts w:eastAsia="Calibri"/>
                <w:bCs/>
                <w:szCs w:val="22"/>
              </w:rPr>
            </w:pPr>
            <w:r w:rsidRPr="004C737E">
              <w:rPr>
                <w:rFonts w:eastAsia="Calibri"/>
                <w:bCs/>
                <w:szCs w:val="22"/>
              </w:rPr>
              <w:t>The TmLok Data Object shall be added to  the  LTMS  Logical  Node  Class  as  shown  in</w:t>
            </w:r>
            <w:hyperlink w:anchor="_bookmark85" w:history="1">
              <w:r w:rsidRPr="004C737E">
                <w:rPr>
                  <w:rFonts w:eastAsia="Calibri"/>
                  <w:bCs/>
                  <w:szCs w:val="22"/>
                </w:rPr>
                <w:t xml:space="preserve"> Table 18.</w:t>
              </w:r>
            </w:hyperlink>
          </w:p>
        </w:tc>
      </w:tr>
    </w:tbl>
    <w:p w:rsidR="007A69FC" w:rsidRDefault="007A69FC" w:rsidP="00CD1812">
      <w:pPr>
        <w:ind w:left="0" w:firstLine="0"/>
        <w:jc w:val="center"/>
        <w:rPr>
          <w:b/>
        </w:rPr>
      </w:pPr>
    </w:p>
    <w:p w:rsidR="004C737E" w:rsidRDefault="004C737E" w:rsidP="00CD1812">
      <w:pPr>
        <w:ind w:left="0" w:firstLine="0"/>
        <w:jc w:val="center"/>
        <w:rPr>
          <w:b/>
        </w:rPr>
      </w:pPr>
      <w:r w:rsidRPr="004C737E">
        <w:rPr>
          <w:b/>
        </w:rPr>
        <w:t>18</w:t>
      </w:r>
      <w:r>
        <w:rPr>
          <w:b/>
          <w:lang w:val="en-US"/>
        </w:rPr>
        <w:t>-</w:t>
      </w:r>
      <w:r>
        <w:rPr>
          <w:b/>
        </w:rPr>
        <w:t>р хүснэгт</w:t>
      </w:r>
      <w:r w:rsidRPr="004C737E">
        <w:rPr>
          <w:b/>
        </w:rPr>
        <w:t xml:space="preserve"> – LTMS-д TmLok нэмэх</w:t>
      </w:r>
    </w:p>
    <w:tbl>
      <w:tblPr>
        <w:tblStyle w:val="TableGrid"/>
        <w:tblW w:w="0" w:type="auto"/>
        <w:tblLook w:val="04A0" w:firstRow="1" w:lastRow="0" w:firstColumn="1" w:lastColumn="0" w:noHBand="0" w:noVBand="1"/>
      </w:tblPr>
      <w:tblGrid>
        <w:gridCol w:w="1693"/>
        <w:gridCol w:w="1640"/>
        <w:gridCol w:w="4611"/>
        <w:gridCol w:w="499"/>
        <w:gridCol w:w="901"/>
      </w:tblGrid>
      <w:tr w:rsidR="004C737E" w:rsidTr="00474E8E">
        <w:tc>
          <w:tcPr>
            <w:tcW w:w="9344" w:type="dxa"/>
            <w:gridSpan w:val="5"/>
          </w:tcPr>
          <w:p w:rsidR="004C737E" w:rsidRDefault="004C737E" w:rsidP="00CD1812">
            <w:pPr>
              <w:ind w:left="0" w:firstLine="0"/>
              <w:jc w:val="center"/>
              <w:rPr>
                <w:b/>
              </w:rPr>
            </w:pPr>
            <w:r w:rsidRPr="004C737E">
              <w:rPr>
                <w:b/>
              </w:rPr>
              <w:t>LTMS анги</w:t>
            </w:r>
          </w:p>
        </w:tc>
      </w:tr>
      <w:tr w:rsidR="004C737E" w:rsidTr="00D159BF">
        <w:tc>
          <w:tcPr>
            <w:tcW w:w="1761" w:type="dxa"/>
          </w:tcPr>
          <w:p w:rsidR="004C737E" w:rsidRPr="00731F96" w:rsidRDefault="004C737E" w:rsidP="004C737E">
            <w:pPr>
              <w:pStyle w:val="TableParagraph"/>
              <w:tabs>
                <w:tab w:val="left" w:pos="0"/>
              </w:tabs>
              <w:spacing w:before="0" w:line="276" w:lineRule="auto"/>
              <w:ind w:left="107"/>
              <w:rPr>
                <w:b/>
                <w:sz w:val="20"/>
                <w:szCs w:val="20"/>
                <w:lang w:val="mn-MN"/>
              </w:rPr>
            </w:pPr>
            <w:r w:rsidRPr="00EF2D2B">
              <w:rPr>
                <w:b/>
                <w:sz w:val="20"/>
                <w:szCs w:val="20"/>
                <w:lang w:val="mn-MN"/>
              </w:rPr>
              <w:t>Өгөгдлийн</w:t>
            </w:r>
            <w:r w:rsidRPr="00731F96">
              <w:rPr>
                <w:b/>
                <w:sz w:val="20"/>
                <w:szCs w:val="20"/>
                <w:lang w:val="mn-MN"/>
              </w:rPr>
              <w:t xml:space="preserve"> обькетын нэр</w:t>
            </w:r>
          </w:p>
        </w:tc>
        <w:tc>
          <w:tcPr>
            <w:tcW w:w="1069" w:type="dxa"/>
          </w:tcPr>
          <w:p w:rsidR="004C737E" w:rsidRPr="00EF2D2B" w:rsidRDefault="004C737E" w:rsidP="004C737E">
            <w:pPr>
              <w:pStyle w:val="TableParagraph"/>
              <w:tabs>
                <w:tab w:val="left" w:pos="0"/>
              </w:tabs>
              <w:spacing w:before="94" w:line="276" w:lineRule="auto"/>
              <w:ind w:left="107" w:right="285"/>
              <w:rPr>
                <w:b/>
                <w:sz w:val="20"/>
                <w:szCs w:val="20"/>
                <w:lang w:val="mn-MN"/>
              </w:rPr>
            </w:pPr>
            <w:r w:rsidRPr="00EF2D2B">
              <w:rPr>
                <w:b/>
                <w:sz w:val="20"/>
                <w:szCs w:val="20"/>
                <w:lang w:val="mn-MN"/>
              </w:rPr>
              <w:t>Нийтлэг өгөгдлийн анги</w:t>
            </w:r>
          </w:p>
        </w:tc>
        <w:tc>
          <w:tcPr>
            <w:tcW w:w="5103" w:type="dxa"/>
          </w:tcPr>
          <w:p w:rsidR="004C737E" w:rsidRPr="00EF2D2B" w:rsidRDefault="004C737E" w:rsidP="004C737E">
            <w:pPr>
              <w:pStyle w:val="TableParagraph"/>
              <w:tabs>
                <w:tab w:val="left" w:pos="0"/>
              </w:tabs>
              <w:spacing w:before="94" w:line="276" w:lineRule="auto"/>
              <w:ind w:left="108"/>
              <w:rPr>
                <w:b/>
                <w:sz w:val="20"/>
                <w:szCs w:val="20"/>
                <w:lang w:val="mn-MN"/>
              </w:rPr>
            </w:pPr>
            <w:r w:rsidRPr="00EF2D2B">
              <w:rPr>
                <w:b/>
                <w:sz w:val="20"/>
                <w:szCs w:val="20"/>
                <w:lang w:val="mn-MN"/>
              </w:rPr>
              <w:t>Тайлбар</w:t>
            </w:r>
          </w:p>
        </w:tc>
        <w:tc>
          <w:tcPr>
            <w:tcW w:w="510" w:type="dxa"/>
          </w:tcPr>
          <w:p w:rsidR="004C737E" w:rsidRPr="00EF2D2B" w:rsidRDefault="004C737E" w:rsidP="004C737E">
            <w:pPr>
              <w:pStyle w:val="TableParagraph"/>
              <w:tabs>
                <w:tab w:val="left" w:pos="0"/>
              </w:tabs>
              <w:spacing w:before="94" w:line="276" w:lineRule="auto"/>
              <w:ind w:left="108"/>
              <w:rPr>
                <w:b/>
                <w:sz w:val="20"/>
                <w:szCs w:val="20"/>
                <w:lang w:val="mn-MN"/>
              </w:rPr>
            </w:pPr>
            <w:r w:rsidRPr="00EF2D2B">
              <w:rPr>
                <w:b/>
                <w:sz w:val="20"/>
                <w:szCs w:val="20"/>
                <w:lang w:val="mn-MN"/>
              </w:rPr>
              <w:t>T</w:t>
            </w:r>
          </w:p>
        </w:tc>
        <w:tc>
          <w:tcPr>
            <w:tcW w:w="901" w:type="dxa"/>
          </w:tcPr>
          <w:p w:rsidR="004C737E" w:rsidRPr="00EF2D2B" w:rsidRDefault="004C737E" w:rsidP="004C737E">
            <w:pPr>
              <w:pStyle w:val="TableParagraph"/>
              <w:tabs>
                <w:tab w:val="left" w:pos="0"/>
              </w:tabs>
              <w:spacing w:before="94" w:line="276" w:lineRule="auto"/>
              <w:ind w:left="107"/>
              <w:rPr>
                <w:b/>
                <w:sz w:val="20"/>
                <w:szCs w:val="20"/>
                <w:lang w:val="mn-MN"/>
              </w:rPr>
            </w:pPr>
            <w:r w:rsidRPr="00EF2D2B">
              <w:rPr>
                <w:b/>
                <w:sz w:val="20"/>
                <w:szCs w:val="20"/>
                <w:lang w:val="mn-MN"/>
              </w:rPr>
              <w:t>M/O/C</w:t>
            </w:r>
          </w:p>
        </w:tc>
      </w:tr>
      <w:tr w:rsidR="004C737E" w:rsidTr="00D159BF">
        <w:tc>
          <w:tcPr>
            <w:tcW w:w="1761" w:type="dxa"/>
          </w:tcPr>
          <w:p w:rsidR="004C737E" w:rsidRPr="00731F96"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LNName</w:t>
            </w:r>
          </w:p>
        </w:tc>
        <w:tc>
          <w:tcPr>
            <w:tcW w:w="1069" w:type="dxa"/>
          </w:tcPr>
          <w:p w:rsidR="004C737E" w:rsidRPr="00EF2D2B" w:rsidRDefault="004C737E" w:rsidP="004C737E">
            <w:pPr>
              <w:pStyle w:val="TableParagraph"/>
              <w:tabs>
                <w:tab w:val="left" w:pos="0"/>
              </w:tabs>
              <w:spacing w:before="0" w:line="276" w:lineRule="auto"/>
              <w:rPr>
                <w:sz w:val="20"/>
                <w:szCs w:val="20"/>
                <w:lang w:val="mn-MN"/>
              </w:rPr>
            </w:pPr>
          </w:p>
        </w:tc>
        <w:tc>
          <w:tcPr>
            <w:tcW w:w="5103" w:type="dxa"/>
          </w:tcPr>
          <w:p w:rsidR="004C737E" w:rsidRPr="00EF2D2B" w:rsidRDefault="004C737E" w:rsidP="004C737E">
            <w:pPr>
              <w:pStyle w:val="TableParagraph"/>
              <w:tabs>
                <w:tab w:val="left" w:pos="0"/>
              </w:tabs>
              <w:spacing w:before="0" w:line="276" w:lineRule="auto"/>
              <w:rPr>
                <w:sz w:val="20"/>
                <w:szCs w:val="20"/>
                <w:lang w:val="mn-MN"/>
              </w:rPr>
            </w:pPr>
          </w:p>
        </w:tc>
        <w:tc>
          <w:tcPr>
            <w:tcW w:w="510" w:type="dxa"/>
          </w:tcPr>
          <w:p w:rsidR="004C737E" w:rsidRPr="00EF2D2B" w:rsidRDefault="004C737E" w:rsidP="004C737E">
            <w:pPr>
              <w:pStyle w:val="TableParagraph"/>
              <w:tabs>
                <w:tab w:val="left" w:pos="0"/>
              </w:tabs>
              <w:spacing w:before="0" w:line="276" w:lineRule="auto"/>
              <w:rPr>
                <w:sz w:val="20"/>
                <w:szCs w:val="20"/>
                <w:lang w:val="mn-MN"/>
              </w:rPr>
            </w:pPr>
          </w:p>
        </w:tc>
        <w:tc>
          <w:tcPr>
            <w:tcW w:w="901" w:type="dxa"/>
          </w:tcPr>
          <w:p w:rsidR="004C737E" w:rsidRPr="00EF2D2B" w:rsidRDefault="004C737E" w:rsidP="004C737E">
            <w:pPr>
              <w:pStyle w:val="TableParagraph"/>
              <w:tabs>
                <w:tab w:val="left" w:pos="0"/>
              </w:tabs>
              <w:spacing w:before="0" w:line="276" w:lineRule="auto"/>
              <w:rPr>
                <w:sz w:val="20"/>
                <w:szCs w:val="20"/>
                <w:lang w:val="mn-MN"/>
              </w:rPr>
            </w:pPr>
          </w:p>
        </w:tc>
      </w:tr>
      <w:tr w:rsidR="004C737E" w:rsidTr="00474E8E">
        <w:tc>
          <w:tcPr>
            <w:tcW w:w="9344" w:type="dxa"/>
            <w:gridSpan w:val="5"/>
          </w:tcPr>
          <w:p w:rsidR="004C737E" w:rsidRPr="00731F96" w:rsidRDefault="004C737E" w:rsidP="004C737E">
            <w:pPr>
              <w:pStyle w:val="TableParagraph"/>
              <w:tabs>
                <w:tab w:val="left" w:pos="0"/>
              </w:tabs>
              <w:spacing w:before="94" w:line="276" w:lineRule="auto"/>
              <w:ind w:left="107"/>
              <w:rPr>
                <w:b/>
                <w:sz w:val="20"/>
                <w:szCs w:val="20"/>
                <w:lang w:val="mn-MN"/>
              </w:rPr>
            </w:pPr>
            <w:r w:rsidRPr="00EF2D2B">
              <w:rPr>
                <w:b/>
                <w:sz w:val="20"/>
                <w:szCs w:val="20"/>
                <w:lang w:val="mn-MN"/>
              </w:rPr>
              <w:t>Өгөгдлийн</w:t>
            </w:r>
            <w:r w:rsidRPr="00731F96">
              <w:rPr>
                <w:b/>
                <w:sz w:val="20"/>
                <w:szCs w:val="20"/>
                <w:lang w:val="mn-MN"/>
              </w:rPr>
              <w:t xml:space="preserve"> обьектууд</w:t>
            </w:r>
          </w:p>
        </w:tc>
      </w:tr>
      <w:tr w:rsidR="004C737E" w:rsidTr="00474E8E">
        <w:tc>
          <w:tcPr>
            <w:tcW w:w="9344" w:type="dxa"/>
            <w:gridSpan w:val="5"/>
          </w:tcPr>
          <w:p w:rsidR="004C737E" w:rsidRPr="00731F96" w:rsidRDefault="004C737E" w:rsidP="004C737E">
            <w:pPr>
              <w:pStyle w:val="TableParagraph"/>
              <w:tabs>
                <w:tab w:val="left" w:pos="0"/>
              </w:tabs>
              <w:spacing w:before="94" w:line="276" w:lineRule="auto"/>
              <w:ind w:left="107"/>
              <w:rPr>
                <w:b/>
                <w:sz w:val="20"/>
                <w:szCs w:val="20"/>
                <w:lang w:val="mn-MN"/>
              </w:rPr>
            </w:pPr>
            <w:r w:rsidRPr="00EF2D2B">
              <w:rPr>
                <w:b/>
                <w:sz w:val="20"/>
                <w:szCs w:val="20"/>
                <w:lang w:val="mn-MN"/>
              </w:rPr>
              <w:t>Төлөвийн мэдээлэл</w:t>
            </w:r>
          </w:p>
        </w:tc>
      </w:tr>
      <w:tr w:rsidR="004C737E" w:rsidRPr="00EF2D2B" w:rsidTr="00D159BF">
        <w:tc>
          <w:tcPr>
            <w:tcW w:w="1761" w:type="dxa"/>
          </w:tcPr>
          <w:p w:rsidR="004C737E" w:rsidRPr="00731F96"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TmAcc</w:t>
            </w:r>
          </w:p>
        </w:tc>
        <w:tc>
          <w:tcPr>
            <w:tcW w:w="1069"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INS</w:t>
            </w:r>
          </w:p>
        </w:tc>
        <w:tc>
          <w:tcPr>
            <w:tcW w:w="5103" w:type="dxa"/>
          </w:tcPr>
          <w:p w:rsidR="004C737E" w:rsidRPr="00EF2D2B" w:rsidRDefault="004C737E" w:rsidP="004C737E">
            <w:pPr>
              <w:pStyle w:val="TableParagraph"/>
              <w:tabs>
                <w:tab w:val="left" w:pos="0"/>
              </w:tabs>
              <w:spacing w:line="276" w:lineRule="auto"/>
              <w:ind w:left="108" w:right="143"/>
              <w:rPr>
                <w:sz w:val="20"/>
                <w:szCs w:val="20"/>
                <w:lang w:val="mn-MN"/>
              </w:rPr>
            </w:pPr>
            <w:r w:rsidRPr="00EF2D2B">
              <w:rPr>
                <w:sz w:val="20"/>
                <w:szCs w:val="20"/>
                <w:lang w:val="mn-MN"/>
              </w:rPr>
              <w:t>Хугацааны тэмдгийн хугацааны нарийвчлалын хэсэг дэх Fraction Of Second дахь чухал битүүдийн тоо. IEC 61850-7-2-ийг үзнэ үү.</w:t>
            </w:r>
          </w:p>
        </w:tc>
        <w:tc>
          <w:tcPr>
            <w:tcW w:w="510" w:type="dxa"/>
          </w:tcPr>
          <w:p w:rsidR="004C737E" w:rsidRPr="00EF2D2B" w:rsidRDefault="004C737E" w:rsidP="004C737E">
            <w:pPr>
              <w:pStyle w:val="TableParagraph"/>
              <w:tabs>
                <w:tab w:val="left" w:pos="0"/>
              </w:tabs>
              <w:spacing w:before="0" w:line="276" w:lineRule="auto"/>
              <w:rPr>
                <w:sz w:val="20"/>
                <w:szCs w:val="20"/>
                <w:lang w:val="mn-MN"/>
              </w:rPr>
            </w:pPr>
          </w:p>
        </w:tc>
        <w:tc>
          <w:tcPr>
            <w:tcW w:w="901" w:type="dxa"/>
          </w:tcPr>
          <w:p w:rsidR="004C737E" w:rsidRPr="00EF2D2B" w:rsidRDefault="004C737E" w:rsidP="004C737E">
            <w:pPr>
              <w:pStyle w:val="TableParagraph"/>
              <w:tabs>
                <w:tab w:val="left" w:pos="0"/>
              </w:tabs>
              <w:spacing w:before="96" w:line="276" w:lineRule="auto"/>
              <w:ind w:left="107"/>
              <w:rPr>
                <w:sz w:val="20"/>
                <w:szCs w:val="20"/>
                <w:lang w:val="mn-MN"/>
              </w:rPr>
            </w:pPr>
            <w:r w:rsidRPr="00EF2D2B">
              <w:rPr>
                <w:sz w:val="20"/>
                <w:szCs w:val="20"/>
                <w:lang w:val="mn-MN"/>
              </w:rPr>
              <w:t>O</w:t>
            </w:r>
          </w:p>
        </w:tc>
      </w:tr>
      <w:tr w:rsidR="004C737E" w:rsidRPr="00EF2D2B" w:rsidTr="00D159BF">
        <w:tc>
          <w:tcPr>
            <w:tcW w:w="1761" w:type="dxa"/>
          </w:tcPr>
          <w:p w:rsidR="004C737E" w:rsidRPr="00731F96"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TmSrc</w:t>
            </w:r>
          </w:p>
        </w:tc>
        <w:tc>
          <w:tcPr>
            <w:tcW w:w="1069"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VSS</w:t>
            </w:r>
          </w:p>
        </w:tc>
        <w:tc>
          <w:tcPr>
            <w:tcW w:w="5103" w:type="dxa"/>
          </w:tcPr>
          <w:p w:rsidR="004C737E" w:rsidRPr="00EF2D2B" w:rsidRDefault="004C737E" w:rsidP="004C737E">
            <w:pPr>
              <w:pStyle w:val="TableParagraph"/>
              <w:tabs>
                <w:tab w:val="left" w:pos="0"/>
              </w:tabs>
              <w:spacing w:line="276" w:lineRule="auto"/>
              <w:ind w:left="108"/>
              <w:rPr>
                <w:sz w:val="20"/>
                <w:szCs w:val="20"/>
                <w:lang w:val="mn-MN"/>
              </w:rPr>
            </w:pPr>
            <w:r w:rsidRPr="00EF2D2B">
              <w:rPr>
                <w:sz w:val="20"/>
                <w:szCs w:val="20"/>
                <w:lang w:val="mn-MN"/>
              </w:rPr>
              <w:t>Одоогийн цаг хугацааны үүсгүүр</w:t>
            </w:r>
          </w:p>
        </w:tc>
        <w:tc>
          <w:tcPr>
            <w:tcW w:w="510" w:type="dxa"/>
          </w:tcPr>
          <w:p w:rsidR="004C737E" w:rsidRPr="00EF2D2B" w:rsidRDefault="004C737E" w:rsidP="004C737E">
            <w:pPr>
              <w:pStyle w:val="TableParagraph"/>
              <w:tabs>
                <w:tab w:val="left" w:pos="0"/>
              </w:tabs>
              <w:spacing w:before="0" w:line="276" w:lineRule="auto"/>
              <w:rPr>
                <w:sz w:val="20"/>
                <w:szCs w:val="20"/>
                <w:lang w:val="mn-MN"/>
              </w:rPr>
            </w:pPr>
          </w:p>
        </w:tc>
        <w:tc>
          <w:tcPr>
            <w:tcW w:w="901"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M</w:t>
            </w:r>
          </w:p>
        </w:tc>
      </w:tr>
      <w:tr w:rsidR="004C737E" w:rsidRPr="00EF2D2B" w:rsidTr="00D159BF">
        <w:tc>
          <w:tcPr>
            <w:tcW w:w="1761" w:type="dxa"/>
          </w:tcPr>
          <w:p w:rsidR="004C737E" w:rsidRPr="00731F96"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TmSyn</w:t>
            </w:r>
          </w:p>
        </w:tc>
        <w:tc>
          <w:tcPr>
            <w:tcW w:w="1069"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ENS</w:t>
            </w:r>
          </w:p>
        </w:tc>
        <w:tc>
          <w:tcPr>
            <w:tcW w:w="5103" w:type="dxa"/>
          </w:tcPr>
          <w:p w:rsidR="004C737E" w:rsidRPr="00EF2D2B" w:rsidRDefault="004C737E" w:rsidP="004C737E">
            <w:pPr>
              <w:pStyle w:val="TableParagraph"/>
              <w:tabs>
                <w:tab w:val="left" w:pos="0"/>
              </w:tabs>
              <w:spacing w:line="276" w:lineRule="auto"/>
              <w:ind w:left="108"/>
              <w:rPr>
                <w:sz w:val="20"/>
                <w:szCs w:val="20"/>
                <w:lang w:val="mn-MN"/>
              </w:rPr>
            </w:pPr>
            <w:r w:rsidRPr="00EF2D2B">
              <w:rPr>
                <w:sz w:val="20"/>
                <w:szCs w:val="20"/>
                <w:lang w:val="mn-MN"/>
              </w:rPr>
              <w:t>IEC 61850-9-2-ын дагуу цагийг синхрончилно</w:t>
            </w:r>
          </w:p>
        </w:tc>
        <w:tc>
          <w:tcPr>
            <w:tcW w:w="510" w:type="dxa"/>
          </w:tcPr>
          <w:p w:rsidR="004C737E" w:rsidRPr="00EF2D2B" w:rsidRDefault="004C737E" w:rsidP="004C737E">
            <w:pPr>
              <w:pStyle w:val="TableParagraph"/>
              <w:tabs>
                <w:tab w:val="left" w:pos="0"/>
              </w:tabs>
              <w:spacing w:before="0" w:line="276" w:lineRule="auto"/>
              <w:rPr>
                <w:sz w:val="20"/>
                <w:szCs w:val="20"/>
                <w:lang w:val="mn-MN"/>
              </w:rPr>
            </w:pPr>
          </w:p>
        </w:tc>
        <w:tc>
          <w:tcPr>
            <w:tcW w:w="901"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O</w:t>
            </w:r>
          </w:p>
        </w:tc>
      </w:tr>
      <w:tr w:rsidR="004C737E" w:rsidRPr="00EF2D2B" w:rsidTr="00D159BF">
        <w:tc>
          <w:tcPr>
            <w:tcW w:w="1761" w:type="dxa"/>
          </w:tcPr>
          <w:p w:rsidR="004C737E" w:rsidRPr="00731F96"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lastRenderedPageBreak/>
              <w:t>TmChSt1</w:t>
            </w:r>
          </w:p>
        </w:tc>
        <w:tc>
          <w:tcPr>
            <w:tcW w:w="1069"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SPS</w:t>
            </w:r>
          </w:p>
        </w:tc>
        <w:tc>
          <w:tcPr>
            <w:tcW w:w="5103" w:type="dxa"/>
          </w:tcPr>
          <w:p w:rsidR="004C737E" w:rsidRPr="00EF2D2B" w:rsidRDefault="004C737E" w:rsidP="004C737E">
            <w:pPr>
              <w:pStyle w:val="TableParagraph"/>
              <w:tabs>
                <w:tab w:val="left" w:pos="0"/>
              </w:tabs>
              <w:spacing w:line="276" w:lineRule="auto"/>
              <w:ind w:left="108"/>
              <w:rPr>
                <w:sz w:val="20"/>
                <w:szCs w:val="20"/>
                <w:lang w:val="mn-MN"/>
              </w:rPr>
            </w:pPr>
            <w:r w:rsidRPr="00EF2D2B">
              <w:rPr>
                <w:sz w:val="20"/>
                <w:szCs w:val="20"/>
                <w:lang w:val="mn-MN"/>
              </w:rPr>
              <w:t>Хугацааны сувгийн төлөв (дээш/доош)</w:t>
            </w:r>
          </w:p>
        </w:tc>
        <w:tc>
          <w:tcPr>
            <w:tcW w:w="510" w:type="dxa"/>
          </w:tcPr>
          <w:p w:rsidR="004C737E" w:rsidRPr="00EF2D2B" w:rsidRDefault="004C737E" w:rsidP="004C737E">
            <w:pPr>
              <w:pStyle w:val="TableParagraph"/>
              <w:tabs>
                <w:tab w:val="left" w:pos="0"/>
              </w:tabs>
              <w:spacing w:before="0" w:line="276" w:lineRule="auto"/>
              <w:rPr>
                <w:sz w:val="20"/>
                <w:szCs w:val="20"/>
                <w:lang w:val="mn-MN"/>
              </w:rPr>
            </w:pPr>
          </w:p>
        </w:tc>
        <w:tc>
          <w:tcPr>
            <w:tcW w:w="901"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O</w:t>
            </w:r>
          </w:p>
        </w:tc>
      </w:tr>
      <w:tr w:rsidR="004C737E" w:rsidRPr="00EF2D2B" w:rsidTr="00D159BF">
        <w:tc>
          <w:tcPr>
            <w:tcW w:w="1761" w:type="dxa"/>
          </w:tcPr>
          <w:p w:rsidR="004C737E" w:rsidRPr="00731F96"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TmLok</w:t>
            </w:r>
          </w:p>
        </w:tc>
        <w:tc>
          <w:tcPr>
            <w:tcW w:w="1069"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ENS</w:t>
            </w:r>
          </w:p>
        </w:tc>
        <w:tc>
          <w:tcPr>
            <w:tcW w:w="5103" w:type="dxa"/>
          </w:tcPr>
          <w:p w:rsidR="004C737E" w:rsidRPr="00EF2D2B" w:rsidRDefault="004C737E" w:rsidP="004C737E">
            <w:pPr>
              <w:pStyle w:val="TableParagraph"/>
              <w:tabs>
                <w:tab w:val="left" w:pos="0"/>
              </w:tabs>
              <w:spacing w:line="276" w:lineRule="auto"/>
              <w:ind w:left="108"/>
              <w:rPr>
                <w:sz w:val="20"/>
                <w:szCs w:val="20"/>
                <w:lang w:val="mn-MN"/>
              </w:rPr>
            </w:pPr>
            <w:r w:rsidRPr="00EF2D2B">
              <w:rPr>
                <w:sz w:val="20"/>
                <w:szCs w:val="20"/>
                <w:lang w:val="mn-MN"/>
              </w:rPr>
              <w:t>Цаг тайлах</w:t>
            </w:r>
          </w:p>
        </w:tc>
        <w:tc>
          <w:tcPr>
            <w:tcW w:w="510" w:type="dxa"/>
          </w:tcPr>
          <w:p w:rsidR="004C737E" w:rsidRPr="00EF2D2B" w:rsidRDefault="004C737E" w:rsidP="004C737E">
            <w:pPr>
              <w:pStyle w:val="TableParagraph"/>
              <w:tabs>
                <w:tab w:val="left" w:pos="0"/>
              </w:tabs>
              <w:spacing w:before="0" w:line="276" w:lineRule="auto"/>
              <w:rPr>
                <w:sz w:val="20"/>
                <w:szCs w:val="20"/>
                <w:lang w:val="mn-MN"/>
              </w:rPr>
            </w:pPr>
          </w:p>
        </w:tc>
        <w:tc>
          <w:tcPr>
            <w:tcW w:w="901"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O</w:t>
            </w:r>
          </w:p>
        </w:tc>
      </w:tr>
      <w:tr w:rsidR="004C737E" w:rsidRPr="00EF2D2B" w:rsidTr="00474E8E">
        <w:tc>
          <w:tcPr>
            <w:tcW w:w="9344" w:type="dxa"/>
            <w:gridSpan w:val="5"/>
          </w:tcPr>
          <w:p w:rsidR="004C737E" w:rsidRPr="00EF2D2B" w:rsidRDefault="004C737E" w:rsidP="004C737E">
            <w:pPr>
              <w:pStyle w:val="TableParagraph"/>
              <w:tabs>
                <w:tab w:val="left" w:pos="0"/>
              </w:tabs>
              <w:spacing w:before="97" w:line="276" w:lineRule="auto"/>
              <w:ind w:left="107"/>
              <w:rPr>
                <w:sz w:val="20"/>
                <w:szCs w:val="20"/>
                <w:lang w:val="mn-MN"/>
              </w:rPr>
            </w:pPr>
            <w:r w:rsidRPr="004C737E">
              <w:rPr>
                <w:sz w:val="20"/>
                <w:szCs w:val="20"/>
                <w:lang w:val="mn-MN"/>
              </w:rPr>
              <w:t>Settings</w:t>
            </w:r>
          </w:p>
        </w:tc>
      </w:tr>
      <w:tr w:rsidR="004C737E" w:rsidRPr="00EF2D2B" w:rsidTr="00D159BF">
        <w:tc>
          <w:tcPr>
            <w:tcW w:w="1761" w:type="dxa"/>
          </w:tcPr>
          <w:p w:rsidR="004C737E" w:rsidRPr="00731F96"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TmSrcSet1</w:t>
            </w:r>
          </w:p>
        </w:tc>
        <w:tc>
          <w:tcPr>
            <w:tcW w:w="1069" w:type="dxa"/>
          </w:tcPr>
          <w:p w:rsidR="004C737E" w:rsidRPr="00EF2D2B" w:rsidRDefault="004C737E" w:rsidP="004C737E">
            <w:pPr>
              <w:pStyle w:val="TableParagraph"/>
              <w:tabs>
                <w:tab w:val="left" w:pos="0"/>
              </w:tabs>
              <w:spacing w:before="97" w:line="276" w:lineRule="auto"/>
              <w:ind w:left="107"/>
              <w:rPr>
                <w:sz w:val="20"/>
                <w:szCs w:val="20"/>
                <w:lang w:val="mn-MN"/>
              </w:rPr>
            </w:pPr>
            <w:r w:rsidRPr="00EF2D2B">
              <w:rPr>
                <w:sz w:val="20"/>
                <w:szCs w:val="20"/>
                <w:lang w:val="mn-MN"/>
              </w:rPr>
              <w:t>VSG</w:t>
            </w:r>
          </w:p>
        </w:tc>
        <w:tc>
          <w:tcPr>
            <w:tcW w:w="5103" w:type="dxa"/>
          </w:tcPr>
          <w:p w:rsidR="004C737E" w:rsidRPr="00EF2D2B" w:rsidRDefault="004C737E" w:rsidP="004C737E">
            <w:pPr>
              <w:pStyle w:val="TableParagraph"/>
              <w:tabs>
                <w:tab w:val="left" w:pos="0"/>
              </w:tabs>
              <w:spacing w:line="276" w:lineRule="auto"/>
              <w:ind w:left="108" w:right="294"/>
              <w:rPr>
                <w:sz w:val="20"/>
                <w:szCs w:val="20"/>
                <w:lang w:val="mn-MN"/>
              </w:rPr>
            </w:pPr>
            <w:r w:rsidRPr="00EF2D2B">
              <w:rPr>
                <w:sz w:val="20"/>
                <w:szCs w:val="20"/>
                <w:lang w:val="mn-MN"/>
              </w:rPr>
              <w:t>Цагийн үүсгүүрийн тохиргоо (Цагийн үүсгүүр нь IEEE 1588 үүсгүүр буюу цэгтэй IP хаяг байх тохиолдолд"1588")</w:t>
            </w:r>
          </w:p>
        </w:tc>
        <w:tc>
          <w:tcPr>
            <w:tcW w:w="510" w:type="dxa"/>
          </w:tcPr>
          <w:p w:rsidR="004C737E" w:rsidRPr="00EF2D2B" w:rsidRDefault="004C737E" w:rsidP="004C737E">
            <w:pPr>
              <w:pStyle w:val="TableParagraph"/>
              <w:tabs>
                <w:tab w:val="left" w:pos="0"/>
              </w:tabs>
              <w:spacing w:before="0" w:line="276" w:lineRule="auto"/>
              <w:rPr>
                <w:sz w:val="20"/>
                <w:szCs w:val="20"/>
                <w:lang w:val="mn-MN"/>
              </w:rPr>
            </w:pPr>
          </w:p>
        </w:tc>
        <w:tc>
          <w:tcPr>
            <w:tcW w:w="901" w:type="dxa"/>
          </w:tcPr>
          <w:p w:rsidR="004C737E" w:rsidRPr="00EF2D2B" w:rsidRDefault="004C737E" w:rsidP="004C737E">
            <w:pPr>
              <w:pStyle w:val="TableParagraph"/>
              <w:tabs>
                <w:tab w:val="left" w:pos="0"/>
              </w:tabs>
              <w:spacing w:before="96" w:line="276" w:lineRule="auto"/>
              <w:ind w:left="107"/>
              <w:rPr>
                <w:sz w:val="20"/>
                <w:szCs w:val="20"/>
                <w:lang w:val="mn-MN"/>
              </w:rPr>
            </w:pPr>
            <w:r w:rsidRPr="00EF2D2B">
              <w:rPr>
                <w:sz w:val="20"/>
                <w:szCs w:val="20"/>
                <w:lang w:val="mn-MN"/>
              </w:rPr>
              <w:t>O</w:t>
            </w:r>
          </w:p>
        </w:tc>
      </w:tr>
    </w:tbl>
    <w:p w:rsidR="004C737E" w:rsidRDefault="004C737E" w:rsidP="00CD1812">
      <w:pPr>
        <w:ind w:left="0" w:firstLine="0"/>
        <w:jc w:val="center"/>
        <w:rPr>
          <w:b/>
        </w:rPr>
      </w:pPr>
    </w:p>
    <w:p w:rsidR="00D159BF" w:rsidRDefault="00D159BF" w:rsidP="00CD1812">
      <w:pPr>
        <w:ind w:left="0" w:firstLine="0"/>
        <w:jc w:val="center"/>
        <w:rPr>
          <w:b/>
          <w:lang w:val="en-US"/>
        </w:rPr>
      </w:pPr>
      <w:r w:rsidRPr="00D159BF">
        <w:rPr>
          <w:b/>
        </w:rPr>
        <w:t>Table 18 – Addition of TmLok in LTMS</w:t>
      </w:r>
    </w:p>
    <w:tbl>
      <w:tblPr>
        <w:tblStyle w:val="TableGrid"/>
        <w:tblW w:w="0" w:type="auto"/>
        <w:tblLook w:val="04A0" w:firstRow="1" w:lastRow="0" w:firstColumn="1" w:lastColumn="0" w:noHBand="0" w:noVBand="1"/>
      </w:tblPr>
      <w:tblGrid>
        <w:gridCol w:w="1696"/>
        <w:gridCol w:w="1640"/>
        <w:gridCol w:w="4608"/>
        <w:gridCol w:w="499"/>
        <w:gridCol w:w="901"/>
      </w:tblGrid>
      <w:tr w:rsidR="00D159BF" w:rsidTr="00474E8E">
        <w:tc>
          <w:tcPr>
            <w:tcW w:w="9344" w:type="dxa"/>
            <w:gridSpan w:val="5"/>
          </w:tcPr>
          <w:p w:rsidR="00D159BF" w:rsidRDefault="00D159BF" w:rsidP="00474E8E">
            <w:pPr>
              <w:ind w:left="0" w:firstLine="0"/>
              <w:jc w:val="center"/>
              <w:rPr>
                <w:b/>
              </w:rPr>
            </w:pPr>
            <w:r w:rsidRPr="004C737E">
              <w:rPr>
                <w:b/>
              </w:rPr>
              <w:t>LTMS анги</w:t>
            </w:r>
          </w:p>
        </w:tc>
      </w:tr>
      <w:tr w:rsidR="00D159BF" w:rsidRPr="00EF2D2B" w:rsidTr="00D159BF">
        <w:tc>
          <w:tcPr>
            <w:tcW w:w="1696" w:type="dxa"/>
          </w:tcPr>
          <w:p w:rsidR="00D159BF" w:rsidRPr="00731F96" w:rsidRDefault="00D159BF" w:rsidP="00D159BF">
            <w:pPr>
              <w:pStyle w:val="TableParagraph"/>
              <w:tabs>
                <w:tab w:val="left" w:pos="0"/>
              </w:tabs>
              <w:spacing w:before="94" w:line="276" w:lineRule="auto"/>
              <w:ind w:left="107"/>
              <w:rPr>
                <w:b/>
                <w:sz w:val="20"/>
                <w:szCs w:val="20"/>
                <w:lang w:val="mn-MN"/>
              </w:rPr>
            </w:pPr>
            <w:r w:rsidRPr="00EF2D2B">
              <w:rPr>
                <w:b/>
                <w:sz w:val="20"/>
                <w:szCs w:val="20"/>
                <w:lang w:val="mn-MN"/>
              </w:rPr>
              <w:t>Data</w:t>
            </w:r>
          </w:p>
          <w:p w:rsidR="00D159BF" w:rsidRPr="00EF2D2B" w:rsidRDefault="00D159BF" w:rsidP="00D159BF">
            <w:pPr>
              <w:pStyle w:val="TableParagraph"/>
              <w:tabs>
                <w:tab w:val="left" w:pos="0"/>
              </w:tabs>
              <w:spacing w:before="0" w:line="276" w:lineRule="auto"/>
              <w:ind w:left="107"/>
              <w:rPr>
                <w:b/>
                <w:sz w:val="20"/>
                <w:szCs w:val="20"/>
                <w:lang w:val="mn-MN"/>
              </w:rPr>
            </w:pPr>
            <w:r w:rsidRPr="00EF2D2B">
              <w:rPr>
                <w:b/>
                <w:sz w:val="20"/>
                <w:szCs w:val="20"/>
                <w:lang w:val="mn-MN"/>
              </w:rPr>
              <w:t>object name</w:t>
            </w:r>
          </w:p>
        </w:tc>
        <w:tc>
          <w:tcPr>
            <w:tcW w:w="1640" w:type="dxa"/>
          </w:tcPr>
          <w:p w:rsidR="00D159BF" w:rsidRPr="00EF2D2B" w:rsidRDefault="00D159BF" w:rsidP="00D159BF">
            <w:pPr>
              <w:pStyle w:val="TableParagraph"/>
              <w:tabs>
                <w:tab w:val="left" w:pos="0"/>
              </w:tabs>
              <w:spacing w:before="94" w:line="276" w:lineRule="auto"/>
              <w:ind w:left="107" w:right="285"/>
              <w:rPr>
                <w:b/>
                <w:sz w:val="20"/>
                <w:szCs w:val="20"/>
                <w:lang w:val="mn-MN"/>
              </w:rPr>
            </w:pPr>
            <w:r w:rsidRPr="00EF2D2B">
              <w:rPr>
                <w:b/>
                <w:sz w:val="20"/>
                <w:szCs w:val="20"/>
                <w:lang w:val="mn-MN"/>
              </w:rPr>
              <w:t>Common data class</w:t>
            </w:r>
          </w:p>
        </w:tc>
        <w:tc>
          <w:tcPr>
            <w:tcW w:w="4608" w:type="dxa"/>
          </w:tcPr>
          <w:p w:rsidR="00D159BF" w:rsidRPr="00EF2D2B" w:rsidRDefault="00D159BF" w:rsidP="00D159BF">
            <w:pPr>
              <w:pStyle w:val="TableParagraph"/>
              <w:tabs>
                <w:tab w:val="left" w:pos="0"/>
              </w:tabs>
              <w:spacing w:before="94" w:line="276" w:lineRule="auto"/>
              <w:ind w:left="108"/>
              <w:rPr>
                <w:b/>
                <w:sz w:val="20"/>
                <w:szCs w:val="20"/>
                <w:lang w:val="mn-MN"/>
              </w:rPr>
            </w:pPr>
            <w:r w:rsidRPr="00EF2D2B">
              <w:rPr>
                <w:b/>
                <w:sz w:val="20"/>
                <w:szCs w:val="20"/>
                <w:lang w:val="mn-MN"/>
              </w:rPr>
              <w:t>Explanation</w:t>
            </w:r>
          </w:p>
        </w:tc>
        <w:tc>
          <w:tcPr>
            <w:tcW w:w="499" w:type="dxa"/>
          </w:tcPr>
          <w:p w:rsidR="00D159BF" w:rsidRPr="00EF2D2B" w:rsidRDefault="00D159BF" w:rsidP="00D159BF">
            <w:pPr>
              <w:pStyle w:val="TableParagraph"/>
              <w:tabs>
                <w:tab w:val="left" w:pos="0"/>
              </w:tabs>
              <w:spacing w:before="94" w:line="276" w:lineRule="auto"/>
              <w:ind w:left="108"/>
              <w:rPr>
                <w:b/>
                <w:sz w:val="20"/>
                <w:szCs w:val="20"/>
                <w:lang w:val="mn-MN"/>
              </w:rPr>
            </w:pPr>
            <w:r w:rsidRPr="00EF2D2B">
              <w:rPr>
                <w:b/>
                <w:sz w:val="20"/>
                <w:szCs w:val="20"/>
                <w:lang w:val="mn-MN"/>
              </w:rPr>
              <w:t>T</w:t>
            </w:r>
          </w:p>
        </w:tc>
        <w:tc>
          <w:tcPr>
            <w:tcW w:w="901" w:type="dxa"/>
          </w:tcPr>
          <w:p w:rsidR="00D159BF" w:rsidRPr="00EF2D2B" w:rsidRDefault="00D159BF" w:rsidP="00D159BF">
            <w:pPr>
              <w:pStyle w:val="TableParagraph"/>
              <w:tabs>
                <w:tab w:val="left" w:pos="0"/>
              </w:tabs>
              <w:spacing w:before="94" w:line="276" w:lineRule="auto"/>
              <w:ind w:left="107"/>
              <w:rPr>
                <w:b/>
                <w:sz w:val="20"/>
                <w:szCs w:val="20"/>
                <w:lang w:val="mn-MN"/>
              </w:rPr>
            </w:pPr>
            <w:r w:rsidRPr="00EF2D2B">
              <w:rPr>
                <w:b/>
                <w:sz w:val="20"/>
                <w:szCs w:val="20"/>
                <w:lang w:val="mn-MN"/>
              </w:rPr>
              <w:t>M/O/C</w:t>
            </w:r>
          </w:p>
        </w:tc>
      </w:tr>
      <w:tr w:rsidR="00D159BF" w:rsidRPr="00EF2D2B" w:rsidTr="00D159BF">
        <w:tc>
          <w:tcPr>
            <w:tcW w:w="1696"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LNName</w:t>
            </w:r>
          </w:p>
        </w:tc>
        <w:tc>
          <w:tcPr>
            <w:tcW w:w="1640" w:type="dxa"/>
          </w:tcPr>
          <w:p w:rsidR="00D159BF" w:rsidRPr="00EF2D2B" w:rsidRDefault="00D159BF" w:rsidP="00D159BF">
            <w:pPr>
              <w:pStyle w:val="TableParagraph"/>
              <w:tabs>
                <w:tab w:val="left" w:pos="0"/>
              </w:tabs>
              <w:spacing w:before="0" w:line="276" w:lineRule="auto"/>
              <w:rPr>
                <w:sz w:val="20"/>
                <w:szCs w:val="20"/>
                <w:lang w:val="mn-MN"/>
              </w:rPr>
            </w:pPr>
          </w:p>
        </w:tc>
        <w:tc>
          <w:tcPr>
            <w:tcW w:w="4608" w:type="dxa"/>
          </w:tcPr>
          <w:p w:rsidR="00D159BF" w:rsidRPr="00EF2D2B" w:rsidRDefault="00D159BF" w:rsidP="00D159BF">
            <w:pPr>
              <w:pStyle w:val="TableParagraph"/>
              <w:tabs>
                <w:tab w:val="left" w:pos="0"/>
              </w:tabs>
              <w:spacing w:before="0" w:line="276" w:lineRule="auto"/>
              <w:rPr>
                <w:sz w:val="20"/>
                <w:szCs w:val="20"/>
                <w:lang w:val="mn-MN"/>
              </w:rPr>
            </w:pPr>
          </w:p>
        </w:tc>
        <w:tc>
          <w:tcPr>
            <w:tcW w:w="499" w:type="dxa"/>
          </w:tcPr>
          <w:p w:rsidR="00D159BF" w:rsidRPr="00EF2D2B" w:rsidRDefault="00D159BF" w:rsidP="00D159BF">
            <w:pPr>
              <w:pStyle w:val="TableParagraph"/>
              <w:tabs>
                <w:tab w:val="left" w:pos="0"/>
              </w:tabs>
              <w:spacing w:before="0" w:line="276" w:lineRule="auto"/>
              <w:rPr>
                <w:sz w:val="20"/>
                <w:szCs w:val="20"/>
                <w:lang w:val="mn-MN"/>
              </w:rPr>
            </w:pPr>
          </w:p>
        </w:tc>
        <w:tc>
          <w:tcPr>
            <w:tcW w:w="901" w:type="dxa"/>
          </w:tcPr>
          <w:p w:rsidR="00D159BF" w:rsidRPr="00EF2D2B" w:rsidRDefault="00D159BF" w:rsidP="00D159BF">
            <w:pPr>
              <w:pStyle w:val="TableParagraph"/>
              <w:tabs>
                <w:tab w:val="left" w:pos="0"/>
              </w:tabs>
              <w:spacing w:before="0" w:line="276" w:lineRule="auto"/>
              <w:rPr>
                <w:sz w:val="20"/>
                <w:szCs w:val="20"/>
                <w:lang w:val="mn-MN"/>
              </w:rPr>
            </w:pPr>
          </w:p>
        </w:tc>
      </w:tr>
      <w:tr w:rsidR="00D159BF" w:rsidRPr="00731F96" w:rsidTr="00474E8E">
        <w:tc>
          <w:tcPr>
            <w:tcW w:w="9344" w:type="dxa"/>
            <w:gridSpan w:val="5"/>
          </w:tcPr>
          <w:p w:rsidR="00D159BF" w:rsidRPr="00731F96" w:rsidRDefault="00D159BF" w:rsidP="00D159BF">
            <w:pPr>
              <w:pStyle w:val="TableParagraph"/>
              <w:tabs>
                <w:tab w:val="left" w:pos="0"/>
              </w:tabs>
              <w:spacing w:before="94" w:line="276" w:lineRule="auto"/>
              <w:ind w:left="107"/>
              <w:rPr>
                <w:b/>
                <w:sz w:val="20"/>
                <w:szCs w:val="20"/>
                <w:lang w:val="mn-MN"/>
              </w:rPr>
            </w:pPr>
            <w:r w:rsidRPr="00EF2D2B">
              <w:rPr>
                <w:b/>
                <w:sz w:val="20"/>
                <w:szCs w:val="20"/>
                <w:lang w:val="mn-MN"/>
              </w:rPr>
              <w:t>Data Objects</w:t>
            </w:r>
          </w:p>
        </w:tc>
      </w:tr>
      <w:tr w:rsidR="00D159BF" w:rsidRPr="00731F96" w:rsidTr="00474E8E">
        <w:tc>
          <w:tcPr>
            <w:tcW w:w="9344" w:type="dxa"/>
            <w:gridSpan w:val="5"/>
          </w:tcPr>
          <w:p w:rsidR="00D159BF" w:rsidRPr="00731F96" w:rsidRDefault="00D159BF" w:rsidP="00D159BF">
            <w:pPr>
              <w:pStyle w:val="TableParagraph"/>
              <w:tabs>
                <w:tab w:val="left" w:pos="0"/>
              </w:tabs>
              <w:spacing w:before="94" w:line="276" w:lineRule="auto"/>
              <w:ind w:left="107"/>
              <w:rPr>
                <w:b/>
                <w:sz w:val="20"/>
                <w:szCs w:val="20"/>
                <w:lang w:val="mn-MN"/>
              </w:rPr>
            </w:pPr>
            <w:r w:rsidRPr="00EF2D2B">
              <w:rPr>
                <w:b/>
                <w:sz w:val="20"/>
                <w:szCs w:val="20"/>
                <w:lang w:val="mn-MN"/>
              </w:rPr>
              <w:t>Status Information</w:t>
            </w:r>
          </w:p>
        </w:tc>
      </w:tr>
      <w:tr w:rsidR="00D159BF" w:rsidRPr="00EF2D2B" w:rsidTr="00D159BF">
        <w:tc>
          <w:tcPr>
            <w:tcW w:w="1696"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TmAcc</w:t>
            </w:r>
          </w:p>
        </w:tc>
        <w:tc>
          <w:tcPr>
            <w:tcW w:w="1640" w:type="dxa"/>
          </w:tcPr>
          <w:p w:rsidR="00D159BF" w:rsidRPr="00EF2D2B"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INS</w:t>
            </w:r>
          </w:p>
        </w:tc>
        <w:tc>
          <w:tcPr>
            <w:tcW w:w="4608" w:type="dxa"/>
          </w:tcPr>
          <w:p w:rsidR="00D159BF" w:rsidRPr="00EF2D2B" w:rsidRDefault="00D159BF" w:rsidP="00D159BF">
            <w:pPr>
              <w:pStyle w:val="TableParagraph"/>
              <w:tabs>
                <w:tab w:val="left" w:pos="0"/>
              </w:tabs>
              <w:spacing w:line="276" w:lineRule="auto"/>
              <w:ind w:right="143"/>
              <w:rPr>
                <w:sz w:val="20"/>
                <w:szCs w:val="20"/>
                <w:lang w:val="mn-MN"/>
              </w:rPr>
            </w:pPr>
            <w:r w:rsidRPr="00EF2D2B">
              <w:rPr>
                <w:sz w:val="20"/>
                <w:szCs w:val="20"/>
                <w:lang w:val="mn-MN"/>
              </w:rPr>
              <w:t>Number of significant bits in the Fraction Of Second in the time accuracy part of the time stamp. See IEC 61850-7-2.</w:t>
            </w:r>
          </w:p>
        </w:tc>
        <w:tc>
          <w:tcPr>
            <w:tcW w:w="499" w:type="dxa"/>
          </w:tcPr>
          <w:p w:rsidR="00D159BF" w:rsidRPr="00D33687" w:rsidRDefault="00D159BF" w:rsidP="00D159BF">
            <w:pPr>
              <w:pStyle w:val="TableParagraph"/>
              <w:tabs>
                <w:tab w:val="left" w:pos="0"/>
              </w:tabs>
              <w:spacing w:before="0" w:line="276" w:lineRule="auto"/>
              <w:rPr>
                <w:sz w:val="20"/>
                <w:szCs w:val="20"/>
                <w:lang w:val="mn-MN"/>
              </w:rPr>
            </w:pPr>
          </w:p>
        </w:tc>
        <w:tc>
          <w:tcPr>
            <w:tcW w:w="901" w:type="dxa"/>
          </w:tcPr>
          <w:p w:rsidR="00D159BF" w:rsidRPr="00731F96" w:rsidRDefault="00D159BF" w:rsidP="00D159BF">
            <w:pPr>
              <w:pStyle w:val="TableParagraph"/>
              <w:tabs>
                <w:tab w:val="left" w:pos="0"/>
              </w:tabs>
              <w:spacing w:before="96" w:line="276" w:lineRule="auto"/>
              <w:ind w:left="107"/>
              <w:rPr>
                <w:sz w:val="20"/>
                <w:szCs w:val="20"/>
                <w:lang w:val="mn-MN"/>
              </w:rPr>
            </w:pPr>
            <w:r w:rsidRPr="00EF2D2B">
              <w:rPr>
                <w:sz w:val="20"/>
                <w:szCs w:val="20"/>
                <w:lang w:val="mn-MN"/>
              </w:rPr>
              <w:t>O</w:t>
            </w:r>
          </w:p>
        </w:tc>
      </w:tr>
      <w:tr w:rsidR="00D159BF" w:rsidRPr="00EF2D2B" w:rsidTr="00D159BF">
        <w:tc>
          <w:tcPr>
            <w:tcW w:w="1696"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TmSrc</w:t>
            </w:r>
          </w:p>
        </w:tc>
        <w:tc>
          <w:tcPr>
            <w:tcW w:w="1640" w:type="dxa"/>
          </w:tcPr>
          <w:p w:rsidR="00D159BF" w:rsidRPr="00EF2D2B"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VSS</w:t>
            </w:r>
          </w:p>
        </w:tc>
        <w:tc>
          <w:tcPr>
            <w:tcW w:w="4608" w:type="dxa"/>
          </w:tcPr>
          <w:p w:rsidR="00D159BF" w:rsidRPr="00EF2D2B" w:rsidRDefault="00D159BF" w:rsidP="00D159BF">
            <w:pPr>
              <w:pStyle w:val="TableParagraph"/>
              <w:tabs>
                <w:tab w:val="left" w:pos="0"/>
              </w:tabs>
              <w:spacing w:line="276" w:lineRule="auto"/>
              <w:rPr>
                <w:sz w:val="20"/>
                <w:szCs w:val="20"/>
                <w:lang w:val="mn-MN"/>
              </w:rPr>
            </w:pPr>
            <w:r w:rsidRPr="00EF2D2B">
              <w:rPr>
                <w:sz w:val="20"/>
                <w:szCs w:val="20"/>
                <w:lang w:val="mn-MN"/>
              </w:rPr>
              <w:t>Current time source</w:t>
            </w:r>
          </w:p>
        </w:tc>
        <w:tc>
          <w:tcPr>
            <w:tcW w:w="499" w:type="dxa"/>
          </w:tcPr>
          <w:p w:rsidR="00D159BF" w:rsidRPr="00D33687" w:rsidRDefault="00D159BF" w:rsidP="00D159BF">
            <w:pPr>
              <w:pStyle w:val="TableParagraph"/>
              <w:tabs>
                <w:tab w:val="left" w:pos="0"/>
              </w:tabs>
              <w:spacing w:before="0" w:line="276" w:lineRule="auto"/>
              <w:rPr>
                <w:sz w:val="20"/>
                <w:szCs w:val="20"/>
                <w:lang w:val="mn-MN"/>
              </w:rPr>
            </w:pPr>
          </w:p>
        </w:tc>
        <w:tc>
          <w:tcPr>
            <w:tcW w:w="901"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M</w:t>
            </w:r>
          </w:p>
        </w:tc>
      </w:tr>
      <w:tr w:rsidR="00D159BF" w:rsidRPr="00EF2D2B" w:rsidTr="00D159BF">
        <w:tc>
          <w:tcPr>
            <w:tcW w:w="1696"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TmSyn</w:t>
            </w:r>
          </w:p>
        </w:tc>
        <w:tc>
          <w:tcPr>
            <w:tcW w:w="1640" w:type="dxa"/>
          </w:tcPr>
          <w:p w:rsidR="00D159BF" w:rsidRPr="00EF2D2B"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ENS</w:t>
            </w:r>
          </w:p>
        </w:tc>
        <w:tc>
          <w:tcPr>
            <w:tcW w:w="4608" w:type="dxa"/>
          </w:tcPr>
          <w:p w:rsidR="00D159BF" w:rsidRPr="00EF2D2B" w:rsidRDefault="00D159BF" w:rsidP="00D159BF">
            <w:pPr>
              <w:pStyle w:val="TableParagraph"/>
              <w:tabs>
                <w:tab w:val="left" w:pos="0"/>
              </w:tabs>
              <w:spacing w:line="276" w:lineRule="auto"/>
              <w:rPr>
                <w:sz w:val="20"/>
                <w:szCs w:val="20"/>
                <w:lang w:val="mn-MN"/>
              </w:rPr>
            </w:pPr>
            <w:r w:rsidRPr="00EF2D2B">
              <w:rPr>
                <w:sz w:val="20"/>
                <w:szCs w:val="20"/>
                <w:lang w:val="mn-MN"/>
              </w:rPr>
              <w:t>Time synchronized according to IEC 61850-9-2</w:t>
            </w:r>
          </w:p>
        </w:tc>
        <w:tc>
          <w:tcPr>
            <w:tcW w:w="499" w:type="dxa"/>
          </w:tcPr>
          <w:p w:rsidR="00D159BF" w:rsidRPr="00D33687" w:rsidRDefault="00D159BF" w:rsidP="00D159BF">
            <w:pPr>
              <w:pStyle w:val="TableParagraph"/>
              <w:tabs>
                <w:tab w:val="left" w:pos="0"/>
              </w:tabs>
              <w:spacing w:before="0" w:line="276" w:lineRule="auto"/>
              <w:rPr>
                <w:sz w:val="20"/>
                <w:szCs w:val="20"/>
                <w:lang w:val="mn-MN"/>
              </w:rPr>
            </w:pPr>
          </w:p>
        </w:tc>
        <w:tc>
          <w:tcPr>
            <w:tcW w:w="901"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O</w:t>
            </w:r>
          </w:p>
        </w:tc>
      </w:tr>
      <w:tr w:rsidR="00D159BF" w:rsidRPr="00EF2D2B" w:rsidTr="00D159BF">
        <w:tc>
          <w:tcPr>
            <w:tcW w:w="1696"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TmChSt1</w:t>
            </w:r>
          </w:p>
        </w:tc>
        <w:tc>
          <w:tcPr>
            <w:tcW w:w="1640" w:type="dxa"/>
          </w:tcPr>
          <w:p w:rsidR="00D159BF" w:rsidRPr="00EF2D2B"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SPS</w:t>
            </w:r>
          </w:p>
        </w:tc>
        <w:tc>
          <w:tcPr>
            <w:tcW w:w="4608" w:type="dxa"/>
          </w:tcPr>
          <w:p w:rsidR="00D159BF" w:rsidRPr="00EF2D2B" w:rsidRDefault="00D159BF" w:rsidP="00D159BF">
            <w:pPr>
              <w:pStyle w:val="TableParagraph"/>
              <w:tabs>
                <w:tab w:val="left" w:pos="0"/>
              </w:tabs>
              <w:spacing w:line="276" w:lineRule="auto"/>
              <w:rPr>
                <w:sz w:val="20"/>
                <w:szCs w:val="20"/>
                <w:lang w:val="mn-MN"/>
              </w:rPr>
            </w:pPr>
            <w:r w:rsidRPr="00EF2D2B">
              <w:rPr>
                <w:sz w:val="20"/>
                <w:szCs w:val="20"/>
                <w:lang w:val="mn-MN"/>
              </w:rPr>
              <w:t>Time channel status (up/down)</w:t>
            </w:r>
          </w:p>
        </w:tc>
        <w:tc>
          <w:tcPr>
            <w:tcW w:w="499" w:type="dxa"/>
          </w:tcPr>
          <w:p w:rsidR="00D159BF" w:rsidRPr="00D33687" w:rsidRDefault="00D159BF" w:rsidP="00D159BF">
            <w:pPr>
              <w:pStyle w:val="TableParagraph"/>
              <w:tabs>
                <w:tab w:val="left" w:pos="0"/>
              </w:tabs>
              <w:spacing w:before="0" w:line="276" w:lineRule="auto"/>
              <w:rPr>
                <w:sz w:val="20"/>
                <w:szCs w:val="20"/>
                <w:lang w:val="mn-MN"/>
              </w:rPr>
            </w:pPr>
          </w:p>
        </w:tc>
        <w:tc>
          <w:tcPr>
            <w:tcW w:w="901"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O</w:t>
            </w:r>
          </w:p>
        </w:tc>
      </w:tr>
      <w:tr w:rsidR="00D159BF" w:rsidRPr="00EF2D2B" w:rsidTr="00D159BF">
        <w:tc>
          <w:tcPr>
            <w:tcW w:w="1696"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TmLok</w:t>
            </w:r>
          </w:p>
        </w:tc>
        <w:tc>
          <w:tcPr>
            <w:tcW w:w="1640" w:type="dxa"/>
          </w:tcPr>
          <w:p w:rsidR="00D159BF" w:rsidRPr="00EF2D2B"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ENS</w:t>
            </w:r>
          </w:p>
        </w:tc>
        <w:tc>
          <w:tcPr>
            <w:tcW w:w="4608" w:type="dxa"/>
          </w:tcPr>
          <w:p w:rsidR="00D159BF" w:rsidRPr="00EF2D2B" w:rsidRDefault="00D159BF" w:rsidP="00D159BF">
            <w:pPr>
              <w:pStyle w:val="TableParagraph"/>
              <w:tabs>
                <w:tab w:val="left" w:pos="0"/>
              </w:tabs>
              <w:spacing w:line="276" w:lineRule="auto"/>
              <w:rPr>
                <w:sz w:val="20"/>
                <w:szCs w:val="20"/>
                <w:lang w:val="mn-MN"/>
              </w:rPr>
            </w:pPr>
            <w:r w:rsidRPr="00EF2D2B">
              <w:rPr>
                <w:sz w:val="20"/>
                <w:szCs w:val="20"/>
                <w:lang w:val="mn-MN"/>
              </w:rPr>
              <w:t>Unlock Time</w:t>
            </w:r>
          </w:p>
        </w:tc>
        <w:tc>
          <w:tcPr>
            <w:tcW w:w="499" w:type="dxa"/>
          </w:tcPr>
          <w:p w:rsidR="00D159BF" w:rsidRPr="00D33687" w:rsidRDefault="00D159BF" w:rsidP="00D159BF">
            <w:pPr>
              <w:pStyle w:val="TableParagraph"/>
              <w:tabs>
                <w:tab w:val="left" w:pos="0"/>
              </w:tabs>
              <w:spacing w:before="0" w:line="276" w:lineRule="auto"/>
              <w:rPr>
                <w:sz w:val="20"/>
                <w:szCs w:val="20"/>
                <w:lang w:val="mn-MN"/>
              </w:rPr>
            </w:pPr>
          </w:p>
        </w:tc>
        <w:tc>
          <w:tcPr>
            <w:tcW w:w="901"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O</w:t>
            </w:r>
          </w:p>
        </w:tc>
      </w:tr>
      <w:tr w:rsidR="00D159BF" w:rsidRPr="00EF2D2B" w:rsidTr="00474E8E">
        <w:tc>
          <w:tcPr>
            <w:tcW w:w="9344" w:type="dxa"/>
            <w:gridSpan w:val="5"/>
          </w:tcPr>
          <w:p w:rsidR="00D159BF" w:rsidRPr="00EF2D2B" w:rsidRDefault="00D159BF" w:rsidP="00D159BF">
            <w:pPr>
              <w:pStyle w:val="TableParagraph"/>
              <w:tabs>
                <w:tab w:val="left" w:pos="0"/>
              </w:tabs>
              <w:spacing w:before="97" w:line="276" w:lineRule="auto"/>
              <w:ind w:left="107"/>
              <w:rPr>
                <w:sz w:val="20"/>
                <w:szCs w:val="20"/>
                <w:lang w:val="mn-MN"/>
              </w:rPr>
            </w:pPr>
            <w:r w:rsidRPr="004C737E">
              <w:rPr>
                <w:sz w:val="20"/>
                <w:szCs w:val="20"/>
                <w:lang w:val="mn-MN"/>
              </w:rPr>
              <w:t>Settings</w:t>
            </w:r>
          </w:p>
        </w:tc>
      </w:tr>
      <w:tr w:rsidR="00D159BF" w:rsidRPr="00EF2D2B" w:rsidTr="00D159BF">
        <w:tc>
          <w:tcPr>
            <w:tcW w:w="1696" w:type="dxa"/>
          </w:tcPr>
          <w:p w:rsidR="00D159BF" w:rsidRPr="00731F96"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TmSrcSet1</w:t>
            </w:r>
          </w:p>
        </w:tc>
        <w:tc>
          <w:tcPr>
            <w:tcW w:w="1640" w:type="dxa"/>
          </w:tcPr>
          <w:p w:rsidR="00D159BF" w:rsidRPr="00EF2D2B" w:rsidRDefault="00D159BF" w:rsidP="00D159BF">
            <w:pPr>
              <w:pStyle w:val="TableParagraph"/>
              <w:tabs>
                <w:tab w:val="left" w:pos="0"/>
              </w:tabs>
              <w:spacing w:before="97" w:line="276" w:lineRule="auto"/>
              <w:ind w:left="107"/>
              <w:rPr>
                <w:sz w:val="20"/>
                <w:szCs w:val="20"/>
                <w:lang w:val="mn-MN"/>
              </w:rPr>
            </w:pPr>
            <w:r w:rsidRPr="00EF2D2B">
              <w:rPr>
                <w:sz w:val="20"/>
                <w:szCs w:val="20"/>
                <w:lang w:val="mn-MN"/>
              </w:rPr>
              <w:t>VSG</w:t>
            </w:r>
          </w:p>
        </w:tc>
        <w:tc>
          <w:tcPr>
            <w:tcW w:w="4608" w:type="dxa"/>
          </w:tcPr>
          <w:p w:rsidR="00D159BF" w:rsidRPr="00EF2D2B" w:rsidRDefault="00D159BF" w:rsidP="00D159BF">
            <w:pPr>
              <w:pStyle w:val="TableParagraph"/>
              <w:tabs>
                <w:tab w:val="left" w:pos="0"/>
              </w:tabs>
              <w:spacing w:line="276" w:lineRule="auto"/>
              <w:ind w:right="294"/>
              <w:rPr>
                <w:sz w:val="20"/>
                <w:szCs w:val="20"/>
                <w:lang w:val="mn-MN"/>
              </w:rPr>
            </w:pPr>
            <w:r w:rsidRPr="00EF2D2B">
              <w:rPr>
                <w:sz w:val="20"/>
                <w:szCs w:val="20"/>
                <w:lang w:val="mn-MN"/>
              </w:rPr>
              <w:t>Time source setting (“1588” in case the time source is a IEEE 1588 source or dotted IP-address)</w:t>
            </w:r>
          </w:p>
        </w:tc>
        <w:tc>
          <w:tcPr>
            <w:tcW w:w="499" w:type="dxa"/>
          </w:tcPr>
          <w:p w:rsidR="00D159BF" w:rsidRPr="00D33687" w:rsidRDefault="00D159BF" w:rsidP="00D159BF">
            <w:pPr>
              <w:pStyle w:val="TableParagraph"/>
              <w:tabs>
                <w:tab w:val="left" w:pos="0"/>
              </w:tabs>
              <w:spacing w:before="0" w:line="276" w:lineRule="auto"/>
              <w:rPr>
                <w:sz w:val="20"/>
                <w:szCs w:val="20"/>
                <w:lang w:val="mn-MN"/>
              </w:rPr>
            </w:pPr>
          </w:p>
        </w:tc>
        <w:tc>
          <w:tcPr>
            <w:tcW w:w="901" w:type="dxa"/>
          </w:tcPr>
          <w:p w:rsidR="00D159BF" w:rsidRPr="00731F96" w:rsidRDefault="00D159BF" w:rsidP="00D159BF">
            <w:pPr>
              <w:pStyle w:val="TableParagraph"/>
              <w:tabs>
                <w:tab w:val="left" w:pos="0"/>
              </w:tabs>
              <w:spacing w:before="96" w:line="276" w:lineRule="auto"/>
              <w:ind w:left="107"/>
              <w:rPr>
                <w:sz w:val="20"/>
                <w:szCs w:val="20"/>
                <w:lang w:val="mn-MN"/>
              </w:rPr>
            </w:pPr>
            <w:r w:rsidRPr="00EF2D2B">
              <w:rPr>
                <w:sz w:val="20"/>
                <w:szCs w:val="20"/>
                <w:lang w:val="mn-MN"/>
              </w:rPr>
              <w:t>O</w:t>
            </w:r>
          </w:p>
        </w:tc>
      </w:tr>
    </w:tbl>
    <w:p w:rsidR="00D159BF" w:rsidRDefault="00D159BF" w:rsidP="00CD1812">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D159BF" w:rsidTr="00D159BF">
        <w:tc>
          <w:tcPr>
            <w:tcW w:w="4672" w:type="dxa"/>
          </w:tcPr>
          <w:p w:rsidR="00D159BF" w:rsidRPr="00D159BF" w:rsidRDefault="00D159BF" w:rsidP="00D159BF">
            <w:pPr>
              <w:ind w:left="0" w:firstLine="0"/>
              <w:jc w:val="center"/>
              <w:rPr>
                <w:rFonts w:eastAsia="Calibri"/>
                <w:b/>
                <w:bCs/>
                <w:szCs w:val="22"/>
              </w:rPr>
            </w:pPr>
            <w:r w:rsidRPr="00D159BF">
              <w:rPr>
                <w:rFonts w:eastAsia="Calibri"/>
                <w:b/>
                <w:bCs/>
                <w:szCs w:val="22"/>
              </w:rPr>
              <w:t>Хавсралт A</w:t>
            </w:r>
          </w:p>
          <w:p w:rsidR="00D159BF" w:rsidRPr="00D159BF" w:rsidRDefault="00D159BF" w:rsidP="00D159BF">
            <w:pPr>
              <w:ind w:left="0" w:firstLine="0"/>
              <w:jc w:val="center"/>
              <w:rPr>
                <w:rFonts w:eastAsia="Calibri"/>
                <w:bCs/>
                <w:szCs w:val="22"/>
              </w:rPr>
            </w:pPr>
            <w:r w:rsidRPr="00D159BF">
              <w:rPr>
                <w:rFonts w:eastAsia="Calibri"/>
                <w:bCs/>
                <w:szCs w:val="22"/>
              </w:rPr>
              <w:t>(мэдээллийн)</w:t>
            </w:r>
          </w:p>
          <w:p w:rsidR="00D159BF" w:rsidRPr="00D159BF" w:rsidRDefault="00D159BF" w:rsidP="00D159BF">
            <w:pPr>
              <w:ind w:left="0" w:firstLine="0"/>
              <w:rPr>
                <w:rFonts w:eastAsia="Calibri"/>
                <w:b/>
                <w:bCs/>
                <w:szCs w:val="22"/>
              </w:rPr>
            </w:pPr>
            <w:r w:rsidRPr="00D159BF">
              <w:rPr>
                <w:rFonts w:eastAsia="Calibri"/>
                <w:b/>
                <w:bCs/>
                <w:szCs w:val="22"/>
              </w:rPr>
              <w:t>C37.118.2 тохиргооны бүрэн SCL жишээ</w:t>
            </w:r>
          </w:p>
          <w:p w:rsidR="00D159BF" w:rsidRPr="00D159BF" w:rsidRDefault="00D159BF" w:rsidP="00D159BF">
            <w:pPr>
              <w:ind w:left="0" w:firstLine="0"/>
              <w:rPr>
                <w:rFonts w:eastAsia="Calibri"/>
                <w:bCs/>
                <w:szCs w:val="22"/>
              </w:rPr>
            </w:pPr>
            <w:r w:rsidRPr="00D159BF">
              <w:rPr>
                <w:rFonts w:eastAsia="Calibri"/>
                <w:bCs/>
                <w:szCs w:val="22"/>
              </w:rPr>
              <w:t>Жишээг хураангуйлахын тулд бүх хаягийн тайлбарыг жишээ хэсэгт байрлуулж, DataTypeTemplate тодорхойлолтуудыг хассан болно.Семантик нь хоёр түвшинд явагддаг болохыг ажигла: нэгдүгээрт IED-ийн өгөгдлийн загвар, хоёрдугаарт дэд станцын нэг шугамд IED логик зангилааг хуваарилах.</w:t>
            </w:r>
          </w:p>
          <w:p w:rsidR="00D159BF" w:rsidRPr="00D159BF" w:rsidRDefault="00D159BF" w:rsidP="00D159BF">
            <w:pPr>
              <w:ind w:left="0" w:firstLine="0"/>
              <w:rPr>
                <w:rFonts w:eastAsia="Calibri"/>
                <w:bCs/>
                <w:szCs w:val="22"/>
              </w:rPr>
            </w:pPr>
            <w:r w:rsidRPr="00D159BF">
              <w:rPr>
                <w:rFonts w:eastAsia="Calibri"/>
                <w:bCs/>
                <w:szCs w:val="22"/>
              </w:rPr>
              <w:t xml:space="preserve">Энэ жишээг Зураг A.1-д үзүүлсэн гаргалгааны (bay) нэг хэлхээт шугам дээр тулгуурласан бөгөөд AA1FP1 нэртэй нэг PMU-ийг тодорхойлж, энэ </w:t>
            </w:r>
            <w:r w:rsidRPr="00D159BF">
              <w:rPr>
                <w:rFonts w:eastAsia="Calibri"/>
                <w:bCs/>
                <w:szCs w:val="22"/>
              </w:rPr>
              <w:lastRenderedPageBreak/>
              <w:t>гаргалгааны фазор өгөгдлийг AA1KA1 клиент рүү илгээдэг.</w:t>
            </w:r>
          </w:p>
        </w:tc>
        <w:tc>
          <w:tcPr>
            <w:tcW w:w="4672" w:type="dxa"/>
          </w:tcPr>
          <w:p w:rsidR="00D159BF" w:rsidRPr="00D159BF" w:rsidRDefault="00D159BF" w:rsidP="00D159BF">
            <w:pPr>
              <w:ind w:left="0" w:firstLine="0"/>
              <w:jc w:val="center"/>
              <w:rPr>
                <w:rFonts w:eastAsia="Calibri"/>
                <w:b/>
                <w:bCs/>
                <w:szCs w:val="22"/>
              </w:rPr>
            </w:pPr>
            <w:r w:rsidRPr="00D159BF">
              <w:rPr>
                <w:rFonts w:eastAsia="Calibri"/>
                <w:b/>
                <w:bCs/>
                <w:szCs w:val="22"/>
              </w:rPr>
              <w:lastRenderedPageBreak/>
              <w:t>Annex A</w:t>
            </w:r>
          </w:p>
          <w:p w:rsidR="00D159BF" w:rsidRPr="00D159BF" w:rsidRDefault="00D159BF" w:rsidP="00D159BF">
            <w:pPr>
              <w:ind w:left="0" w:firstLine="0"/>
              <w:jc w:val="center"/>
              <w:rPr>
                <w:rFonts w:eastAsia="Calibri"/>
                <w:bCs/>
                <w:szCs w:val="22"/>
              </w:rPr>
            </w:pPr>
            <w:r w:rsidRPr="00D159BF">
              <w:rPr>
                <w:rFonts w:eastAsia="Calibri"/>
                <w:bCs/>
                <w:szCs w:val="22"/>
              </w:rPr>
              <w:t>(informative)</w:t>
            </w:r>
          </w:p>
          <w:p w:rsidR="00D159BF" w:rsidRPr="00D159BF" w:rsidRDefault="00D159BF" w:rsidP="00D159BF">
            <w:pPr>
              <w:ind w:left="0" w:firstLine="0"/>
              <w:rPr>
                <w:rFonts w:eastAsia="Calibri"/>
                <w:b/>
                <w:bCs/>
                <w:szCs w:val="22"/>
              </w:rPr>
            </w:pPr>
            <w:r w:rsidRPr="00D159BF">
              <w:rPr>
                <w:rFonts w:eastAsia="Calibri"/>
                <w:b/>
                <w:bCs/>
                <w:szCs w:val="22"/>
              </w:rPr>
              <w:t>Full SCL example for C37.118.2 configuration</w:t>
            </w:r>
          </w:p>
          <w:p w:rsidR="00D159BF" w:rsidRPr="00D159BF" w:rsidRDefault="00D159BF" w:rsidP="00D159BF">
            <w:pPr>
              <w:ind w:left="0" w:firstLine="0"/>
              <w:rPr>
                <w:rFonts w:eastAsia="Calibri"/>
                <w:bCs/>
                <w:szCs w:val="22"/>
              </w:rPr>
            </w:pPr>
            <w:r w:rsidRPr="00D159BF">
              <w:rPr>
                <w:rFonts w:eastAsia="Calibri"/>
                <w:bCs/>
                <w:szCs w:val="22"/>
              </w:rPr>
              <w:t>To make the example shorter, all address mappings are in the instance part, and the DataTypeTemplate definitions are removed. Observe that the semantic is carried at two levels: first the data model of the IED, second the allocation of IED logical nodes to the substation single line.</w:t>
            </w:r>
          </w:p>
          <w:p w:rsidR="00D159BF" w:rsidRPr="00D159BF" w:rsidRDefault="00D159BF" w:rsidP="00D159BF">
            <w:pPr>
              <w:ind w:left="0" w:firstLine="0"/>
              <w:rPr>
                <w:rFonts w:eastAsia="Calibri"/>
                <w:bCs/>
                <w:szCs w:val="22"/>
              </w:rPr>
            </w:pPr>
            <w:r w:rsidRPr="00D159BF">
              <w:rPr>
                <w:rFonts w:eastAsia="Calibri"/>
                <w:bCs/>
                <w:szCs w:val="22"/>
              </w:rPr>
              <w:t xml:space="preserve">This example is based on the bay single line shown in </w:t>
            </w:r>
            <w:hyperlink w:anchor="_bookmark86" w:history="1">
              <w:r w:rsidRPr="00D159BF">
                <w:rPr>
                  <w:rFonts w:eastAsia="Calibri"/>
                  <w:bCs/>
                  <w:szCs w:val="22"/>
                </w:rPr>
                <w:t>Figure A.1,</w:t>
              </w:r>
            </w:hyperlink>
            <w:r w:rsidRPr="00D159BF">
              <w:rPr>
                <w:rFonts w:eastAsia="Calibri"/>
                <w:bCs/>
                <w:szCs w:val="22"/>
              </w:rPr>
              <w:t xml:space="preserve"> and describes one PMU named AA1FP1, sending phasor data of this bay to a client AA1KA1.</w:t>
            </w:r>
          </w:p>
          <w:p w:rsidR="00D159BF" w:rsidRPr="00D159BF" w:rsidRDefault="00D159BF" w:rsidP="00D159BF">
            <w:pPr>
              <w:ind w:left="0" w:firstLine="0"/>
              <w:rPr>
                <w:rFonts w:eastAsia="Calibri"/>
                <w:bCs/>
                <w:szCs w:val="22"/>
              </w:rPr>
            </w:pPr>
          </w:p>
        </w:tc>
      </w:tr>
    </w:tbl>
    <w:p w:rsidR="00D159BF" w:rsidRDefault="00D159BF" w:rsidP="00CD1812">
      <w:pPr>
        <w:ind w:left="0" w:firstLine="0"/>
        <w:jc w:val="center"/>
        <w:rPr>
          <w:b/>
          <w:lang w:val="en-US"/>
        </w:rPr>
      </w:pPr>
    </w:p>
    <w:p w:rsidR="00D159BF" w:rsidRDefault="00D159BF" w:rsidP="00CD1812">
      <w:pPr>
        <w:ind w:left="0" w:firstLine="0"/>
        <w:jc w:val="center"/>
        <w:rPr>
          <w:b/>
          <w:lang w:val="en-US"/>
        </w:rPr>
      </w:pPr>
      <w:r>
        <w:rPr>
          <w:noProof/>
          <w:lang w:val="en-US"/>
        </w:rPr>
        <w:drawing>
          <wp:inline distT="0" distB="0" distL="0" distR="0" wp14:anchorId="3FBD9DE9" wp14:editId="2F3482FA">
            <wp:extent cx="2514600" cy="4448175"/>
            <wp:effectExtent l="0" t="0" r="0"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514600" cy="4448175"/>
                    </a:xfrm>
                    <a:prstGeom prst="rect">
                      <a:avLst/>
                    </a:prstGeom>
                  </pic:spPr>
                </pic:pic>
              </a:graphicData>
            </a:graphic>
          </wp:inline>
        </w:drawing>
      </w:r>
    </w:p>
    <w:p w:rsidR="00F11018" w:rsidRDefault="00F11018" w:rsidP="00CD1812">
      <w:pPr>
        <w:ind w:left="0" w:firstLine="0"/>
        <w:jc w:val="center"/>
        <w:rPr>
          <w:b/>
          <w:lang w:val="en-US"/>
        </w:rPr>
      </w:pPr>
      <w:r w:rsidRPr="00F11018">
        <w:rPr>
          <w:b/>
          <w:lang w:val="en-US"/>
        </w:rPr>
        <w:t>A.1</w:t>
      </w:r>
      <w:r>
        <w:rPr>
          <w:b/>
          <w:lang w:val="en-US"/>
        </w:rPr>
        <w:t>-</w:t>
      </w:r>
      <w:r>
        <w:rPr>
          <w:b/>
        </w:rPr>
        <w:t>р зураг</w:t>
      </w:r>
      <w:r w:rsidRPr="00F11018">
        <w:rPr>
          <w:b/>
          <w:lang w:val="en-US"/>
        </w:rPr>
        <w:t xml:space="preserve"> – Нэг шугамын SCL жишээ</w:t>
      </w:r>
    </w:p>
    <w:p w:rsidR="00F11018" w:rsidRDefault="00F11018" w:rsidP="00CD1812">
      <w:pPr>
        <w:ind w:left="0" w:firstLine="0"/>
        <w:jc w:val="center"/>
        <w:rPr>
          <w:b/>
          <w:lang w:val="en-US"/>
        </w:rPr>
      </w:pPr>
      <w:r>
        <w:rPr>
          <w:b/>
          <w:lang w:val="en-US"/>
        </w:rPr>
        <w:t>Figure A.1 – Single line for SCL example</w:t>
      </w:r>
    </w:p>
    <w:p w:rsidR="006873F1" w:rsidRDefault="006873F1" w:rsidP="00CD1812">
      <w:pPr>
        <w:ind w:left="0" w:firstLine="0"/>
        <w:jc w:val="center"/>
        <w:rPr>
          <w:b/>
          <w:lang w:val="en-US"/>
        </w:rPr>
      </w:pPr>
    </w:p>
    <w:tbl>
      <w:tblPr>
        <w:tblStyle w:val="TableGrid"/>
        <w:tblW w:w="0" w:type="auto"/>
        <w:tblLook w:val="04A0" w:firstRow="1" w:lastRow="0" w:firstColumn="1" w:lastColumn="0" w:noHBand="0" w:noVBand="1"/>
      </w:tblPr>
      <w:tblGrid>
        <w:gridCol w:w="9344"/>
      </w:tblGrid>
      <w:tr w:rsidR="00474E8E" w:rsidTr="00474E8E">
        <w:tc>
          <w:tcPr>
            <w:tcW w:w="9344" w:type="dxa"/>
          </w:tcPr>
          <w:p w:rsidR="00474E8E" w:rsidRPr="00E07CB1" w:rsidRDefault="00474E8E" w:rsidP="00474E8E">
            <w:pPr>
              <w:pStyle w:val="BodyText"/>
              <w:spacing w:before="101"/>
              <w:ind w:left="112"/>
              <w:rPr>
                <w:rFonts w:ascii="Symbol" w:hAnsi="Symbol"/>
                <w:sz w:val="24"/>
                <w:szCs w:val="24"/>
              </w:rPr>
            </w:pPr>
            <w:r w:rsidRPr="00E07CB1">
              <w:rPr>
                <w:rFonts w:ascii="Symbol" w:hAnsi="Symbol"/>
                <w:sz w:val="24"/>
                <w:szCs w:val="24"/>
              </w:rPr>
              <w:t></w:t>
            </w:r>
            <w:r w:rsidRPr="00E07CB1">
              <w:rPr>
                <w:sz w:val="24"/>
                <w:szCs w:val="24"/>
              </w:rPr>
              <w:t>?xml version="1.0"?</w:t>
            </w:r>
            <w:r w:rsidRPr="00E07CB1">
              <w:rPr>
                <w:rFonts w:ascii="Symbol" w:hAnsi="Symbol"/>
                <w:sz w:val="24"/>
                <w:szCs w:val="24"/>
              </w:rPr>
              <w:t></w:t>
            </w:r>
          </w:p>
          <w:p w:rsidR="00474E8E" w:rsidRPr="00E07CB1" w:rsidRDefault="00474E8E" w:rsidP="00474E8E">
            <w:pPr>
              <w:pStyle w:val="BodyText"/>
              <w:tabs>
                <w:tab w:val="left" w:pos="1463"/>
                <w:tab w:val="left" w:pos="7009"/>
                <w:tab w:val="left" w:pos="11327"/>
                <w:tab w:val="left" w:pos="13436"/>
              </w:tabs>
              <w:spacing w:before="4" w:line="235" w:lineRule="auto"/>
              <w:ind w:left="112" w:right="107"/>
              <w:rPr>
                <w:sz w:val="24"/>
                <w:szCs w:val="24"/>
              </w:rPr>
            </w:pPr>
            <w:r w:rsidRPr="00E07CB1">
              <w:rPr>
                <w:rFonts w:ascii="Symbol" w:hAnsi="Symbol"/>
                <w:spacing w:val="5"/>
                <w:sz w:val="24"/>
                <w:szCs w:val="24"/>
              </w:rPr>
              <w:t></w:t>
            </w:r>
            <w:r w:rsidRPr="00E07CB1">
              <w:rPr>
                <w:color w:val="800000"/>
                <w:spacing w:val="5"/>
                <w:sz w:val="24"/>
                <w:szCs w:val="24"/>
              </w:rPr>
              <w:t>SCL</w:t>
            </w:r>
            <w:r w:rsidRPr="00E07CB1">
              <w:rPr>
                <w:color w:val="800000"/>
                <w:spacing w:val="5"/>
                <w:sz w:val="24"/>
                <w:szCs w:val="24"/>
              </w:rPr>
              <w:tab/>
            </w:r>
            <w:r w:rsidRPr="00E07CB1">
              <w:rPr>
                <w:color w:val="FF0000"/>
                <w:spacing w:val="6"/>
                <w:sz w:val="24"/>
                <w:szCs w:val="24"/>
              </w:rPr>
              <w:t>xmlns:sxy</w:t>
            </w:r>
            <w:r w:rsidRPr="00E07CB1">
              <w:rPr>
                <w:spacing w:val="6"/>
                <w:sz w:val="24"/>
                <w:szCs w:val="24"/>
              </w:rPr>
              <w:t>="</w:t>
            </w:r>
            <w:hyperlink r:id="rId101">
              <w:r w:rsidRPr="00E07CB1">
                <w:rPr>
                  <w:spacing w:val="6"/>
                  <w:sz w:val="24"/>
                  <w:szCs w:val="24"/>
                </w:rPr>
                <w:t>http://www.iec.ch/61850/2003/SCLcoordinates</w:t>
              </w:r>
            </w:hyperlink>
            <w:r w:rsidRPr="00E07CB1">
              <w:rPr>
                <w:spacing w:val="6"/>
                <w:sz w:val="24"/>
                <w:szCs w:val="24"/>
              </w:rPr>
              <w:t>"</w:t>
            </w:r>
            <w:r w:rsidRPr="00E07CB1">
              <w:rPr>
                <w:spacing w:val="6"/>
                <w:sz w:val="24"/>
                <w:szCs w:val="24"/>
              </w:rPr>
              <w:tab/>
            </w:r>
            <w:r w:rsidRPr="00E07CB1">
              <w:rPr>
                <w:color w:val="FF0000"/>
                <w:spacing w:val="6"/>
                <w:sz w:val="24"/>
                <w:szCs w:val="24"/>
              </w:rPr>
              <w:t>xmlns</w:t>
            </w:r>
            <w:r w:rsidRPr="00E07CB1">
              <w:rPr>
                <w:spacing w:val="6"/>
                <w:sz w:val="24"/>
                <w:szCs w:val="24"/>
              </w:rPr>
              <w:t>="</w:t>
            </w:r>
            <w:hyperlink r:id="rId102">
              <w:r w:rsidRPr="00E07CB1">
                <w:rPr>
                  <w:spacing w:val="6"/>
                  <w:sz w:val="24"/>
                  <w:szCs w:val="24"/>
                </w:rPr>
                <w:t>http://www.iec.ch/61850/2003/SCL"</w:t>
              </w:r>
            </w:hyperlink>
            <w:r w:rsidRPr="00E07CB1">
              <w:rPr>
                <w:spacing w:val="6"/>
                <w:sz w:val="24"/>
                <w:szCs w:val="24"/>
              </w:rPr>
              <w:tab/>
            </w:r>
            <w:r w:rsidRPr="00E07CB1">
              <w:rPr>
                <w:color w:val="FF0000"/>
                <w:spacing w:val="6"/>
                <w:sz w:val="24"/>
                <w:szCs w:val="24"/>
              </w:rPr>
              <w:t>version</w:t>
            </w:r>
            <w:r w:rsidRPr="00E07CB1">
              <w:rPr>
                <w:spacing w:val="6"/>
                <w:sz w:val="24"/>
                <w:szCs w:val="24"/>
              </w:rPr>
              <w:t>="2007"</w:t>
            </w:r>
            <w:r w:rsidRPr="00E07CB1">
              <w:rPr>
                <w:spacing w:val="6"/>
                <w:sz w:val="24"/>
                <w:szCs w:val="24"/>
              </w:rPr>
              <w:tab/>
            </w:r>
            <w:r w:rsidRPr="00E07CB1">
              <w:rPr>
                <w:color w:val="FF0000"/>
                <w:spacing w:val="6"/>
                <w:sz w:val="24"/>
                <w:szCs w:val="24"/>
              </w:rPr>
              <w:t>revision</w:t>
            </w:r>
            <w:r w:rsidRPr="00E07CB1">
              <w:rPr>
                <w:spacing w:val="6"/>
                <w:sz w:val="24"/>
                <w:szCs w:val="24"/>
              </w:rPr>
              <w:t xml:space="preserve">="B" </w:t>
            </w:r>
            <w:r w:rsidRPr="00E07CB1">
              <w:rPr>
                <w:color w:val="FF0000"/>
                <w:spacing w:val="6"/>
                <w:sz w:val="24"/>
                <w:szCs w:val="24"/>
              </w:rPr>
              <w:t>xmlns:xsi</w:t>
            </w:r>
            <w:r w:rsidRPr="00E07CB1">
              <w:rPr>
                <w:spacing w:val="6"/>
                <w:sz w:val="24"/>
                <w:szCs w:val="24"/>
              </w:rPr>
              <w:t>="</w:t>
            </w:r>
            <w:hyperlink r:id="rId103">
              <w:r w:rsidRPr="00E07CB1">
                <w:rPr>
                  <w:spacing w:val="6"/>
                  <w:sz w:val="24"/>
                  <w:szCs w:val="24"/>
                </w:rPr>
                <w:t>http://www.w3.org/2001/XMLSchema-instance"</w:t>
              </w:r>
              <w:r w:rsidRPr="00E07CB1">
                <w:rPr>
                  <w:spacing w:val="19"/>
                  <w:sz w:val="24"/>
                  <w:szCs w:val="24"/>
                </w:rPr>
                <w:t xml:space="preserve"> </w:t>
              </w:r>
            </w:hyperlink>
            <w:r w:rsidRPr="00E07CB1">
              <w:rPr>
                <w:color w:val="FF0000"/>
                <w:spacing w:val="6"/>
                <w:sz w:val="24"/>
                <w:szCs w:val="24"/>
              </w:rPr>
              <w:t>xsi:schemaLocation</w:t>
            </w:r>
            <w:r w:rsidRPr="00E07CB1">
              <w:rPr>
                <w:spacing w:val="6"/>
                <w:sz w:val="24"/>
                <w:szCs w:val="24"/>
              </w:rPr>
              <w:t>="</w:t>
            </w:r>
            <w:hyperlink r:id="rId104">
              <w:r w:rsidRPr="00E07CB1">
                <w:rPr>
                  <w:spacing w:val="6"/>
                  <w:sz w:val="24"/>
                  <w:szCs w:val="24"/>
                </w:rPr>
                <w:t>http://www.iec.ch/61850/2003/SCL</w:t>
              </w:r>
            </w:hyperlink>
          </w:p>
          <w:p w:rsidR="00474E8E" w:rsidRPr="00E07CB1" w:rsidRDefault="00474E8E" w:rsidP="00474E8E">
            <w:pPr>
              <w:pStyle w:val="BodyText"/>
              <w:spacing w:before="4"/>
              <w:ind w:left="112"/>
              <w:rPr>
                <w:rFonts w:ascii="Symbol" w:hAnsi="Symbol"/>
                <w:sz w:val="24"/>
                <w:szCs w:val="24"/>
              </w:rPr>
            </w:pPr>
            <w:r w:rsidRPr="00E07CB1">
              <w:rPr>
                <w:sz w:val="24"/>
                <w:szCs w:val="24"/>
              </w:rPr>
              <w:t>C:\Data\sdps\SCL3.1\SCL.xsd"</w:t>
            </w:r>
            <w:r w:rsidRPr="00E07CB1">
              <w:rPr>
                <w:rFonts w:ascii="Symbol" w:hAnsi="Symbol"/>
                <w:sz w:val="24"/>
                <w:szCs w:val="24"/>
              </w:rPr>
              <w:t></w:t>
            </w:r>
          </w:p>
          <w:p w:rsidR="00474E8E" w:rsidRPr="00E07CB1" w:rsidRDefault="00474E8E" w:rsidP="00474E8E">
            <w:pPr>
              <w:pStyle w:val="BodyText"/>
              <w:spacing w:line="195" w:lineRule="exact"/>
              <w:ind w:left="832"/>
              <w:rPr>
                <w:rFonts w:ascii="Symbol" w:hAnsi="Symbol"/>
                <w:sz w:val="24"/>
                <w:szCs w:val="24"/>
              </w:rPr>
            </w:pPr>
            <w:r w:rsidRPr="00E07CB1">
              <w:rPr>
                <w:rFonts w:ascii="Symbol" w:hAnsi="Symbol"/>
                <w:sz w:val="24"/>
                <w:szCs w:val="24"/>
              </w:rPr>
              <w:t></w:t>
            </w:r>
            <w:r w:rsidRPr="00E07CB1">
              <w:rPr>
                <w:color w:val="800000"/>
                <w:sz w:val="24"/>
                <w:szCs w:val="24"/>
              </w:rPr>
              <w:t xml:space="preserve">Header </w:t>
            </w:r>
            <w:r w:rsidRPr="00E07CB1">
              <w:rPr>
                <w:color w:val="FF0000"/>
                <w:sz w:val="24"/>
                <w:szCs w:val="24"/>
              </w:rPr>
              <w:t>id</w:t>
            </w:r>
            <w:r w:rsidRPr="00E07CB1">
              <w:rPr>
                <w:sz w:val="24"/>
                <w:szCs w:val="24"/>
              </w:rPr>
              <w:t xml:space="preserve">="SynchroPhasor AA1 SED" </w:t>
            </w:r>
            <w:r w:rsidRPr="00E07CB1">
              <w:rPr>
                <w:color w:val="FF0000"/>
                <w:sz w:val="24"/>
                <w:szCs w:val="24"/>
              </w:rPr>
              <w:t>toolID</w:t>
            </w:r>
            <w:r w:rsidRPr="00E07CB1">
              <w:rPr>
                <w:sz w:val="24"/>
                <w:szCs w:val="24"/>
              </w:rPr>
              <w:t>="SSI-Tool"/</w:t>
            </w:r>
            <w:r w:rsidRPr="00E07CB1">
              <w:rPr>
                <w:rFonts w:ascii="Symbol" w:hAnsi="Symbol"/>
                <w:sz w:val="24"/>
                <w:szCs w:val="24"/>
              </w:rPr>
              <w:t></w:t>
            </w:r>
          </w:p>
          <w:p w:rsidR="00474E8E" w:rsidRPr="00E07CB1" w:rsidRDefault="00474E8E" w:rsidP="00474E8E">
            <w:pPr>
              <w:pStyle w:val="BodyText"/>
              <w:spacing w:line="195" w:lineRule="exact"/>
              <w:ind w:left="832"/>
              <w:rPr>
                <w:rFonts w:ascii="Symbol" w:hAnsi="Symbol"/>
                <w:sz w:val="24"/>
                <w:szCs w:val="24"/>
              </w:rPr>
            </w:pPr>
            <w:r w:rsidRPr="00E07CB1">
              <w:rPr>
                <w:rFonts w:ascii="Symbol" w:hAnsi="Symbol"/>
                <w:sz w:val="24"/>
                <w:szCs w:val="24"/>
              </w:rPr>
              <w:t></w:t>
            </w:r>
            <w:r w:rsidRPr="00E07CB1">
              <w:rPr>
                <w:color w:val="800000"/>
                <w:sz w:val="24"/>
                <w:szCs w:val="24"/>
              </w:rPr>
              <w:t xml:space="preserve">Substation </w:t>
            </w:r>
            <w:r w:rsidRPr="00E07CB1">
              <w:rPr>
                <w:color w:val="FF0000"/>
                <w:sz w:val="24"/>
                <w:szCs w:val="24"/>
              </w:rPr>
              <w:t>name</w:t>
            </w:r>
            <w:r w:rsidRPr="00E07CB1">
              <w:rPr>
                <w:sz w:val="24"/>
                <w:szCs w:val="24"/>
              </w:rPr>
              <w:t xml:space="preserve">="AA1" </w:t>
            </w:r>
            <w:r w:rsidRPr="00E07CB1">
              <w:rPr>
                <w:color w:val="FF0000"/>
                <w:sz w:val="24"/>
                <w:szCs w:val="24"/>
              </w:rPr>
              <w:t>desc</w:t>
            </w:r>
            <w:r w:rsidRPr="00E07CB1">
              <w:rPr>
                <w:sz w:val="24"/>
                <w:szCs w:val="24"/>
              </w:rPr>
              <w:t>="Substation"</w:t>
            </w:r>
            <w:r w:rsidRPr="00E07CB1">
              <w:rPr>
                <w:rFonts w:ascii="Symbol" w:hAnsi="Symbol"/>
                <w:sz w:val="24"/>
                <w:szCs w:val="24"/>
              </w:rPr>
              <w:t></w:t>
            </w:r>
          </w:p>
          <w:p w:rsidR="00474E8E" w:rsidRPr="00E07CB1" w:rsidRDefault="00474E8E" w:rsidP="00474E8E">
            <w:pPr>
              <w:pStyle w:val="BodyText"/>
              <w:spacing w:before="1"/>
              <w:ind w:left="1552"/>
              <w:rPr>
                <w:rFonts w:ascii="Symbol" w:hAnsi="Symbol"/>
                <w:sz w:val="24"/>
                <w:szCs w:val="24"/>
              </w:rPr>
            </w:pPr>
            <w:r w:rsidRPr="00E07CB1">
              <w:rPr>
                <w:rFonts w:ascii="Symbol" w:hAnsi="Symbol"/>
                <w:sz w:val="24"/>
                <w:szCs w:val="24"/>
              </w:rPr>
              <w:t></w:t>
            </w:r>
            <w:r w:rsidRPr="00E07CB1">
              <w:rPr>
                <w:color w:val="800000"/>
                <w:sz w:val="24"/>
                <w:szCs w:val="24"/>
              </w:rPr>
              <w:t xml:space="preserve">VoltageLevel </w:t>
            </w:r>
            <w:r w:rsidRPr="00E07CB1">
              <w:rPr>
                <w:color w:val="FF0000"/>
                <w:sz w:val="24"/>
                <w:szCs w:val="24"/>
              </w:rPr>
              <w:t>name</w:t>
            </w:r>
            <w:r w:rsidRPr="00E07CB1">
              <w:rPr>
                <w:sz w:val="24"/>
                <w:szCs w:val="24"/>
              </w:rPr>
              <w:t xml:space="preserve">="D1" </w:t>
            </w:r>
            <w:r w:rsidRPr="00E07CB1">
              <w:rPr>
                <w:color w:val="FF0000"/>
                <w:sz w:val="24"/>
                <w:szCs w:val="24"/>
              </w:rPr>
              <w:t>desc</w:t>
            </w:r>
            <w:r w:rsidRPr="00E07CB1">
              <w:rPr>
                <w:sz w:val="24"/>
                <w:szCs w:val="24"/>
              </w:rPr>
              <w:t>="Voltage Level"</w:t>
            </w:r>
            <w:r w:rsidRPr="00E07CB1">
              <w:rPr>
                <w:rFonts w:ascii="Symbol" w:hAnsi="Symbol"/>
                <w:sz w:val="24"/>
                <w:szCs w:val="24"/>
              </w:rPr>
              <w:t></w:t>
            </w:r>
          </w:p>
          <w:p w:rsidR="00474E8E" w:rsidRPr="00E07CB1" w:rsidRDefault="00474E8E" w:rsidP="00474E8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Bay </w:t>
            </w:r>
            <w:r w:rsidRPr="00E07CB1">
              <w:rPr>
                <w:color w:val="FF0000"/>
                <w:sz w:val="24"/>
                <w:szCs w:val="24"/>
              </w:rPr>
              <w:t>name</w:t>
            </w:r>
            <w:r w:rsidRPr="00E07CB1">
              <w:rPr>
                <w:sz w:val="24"/>
                <w:szCs w:val="24"/>
              </w:rPr>
              <w:t xml:space="preserve">="Q1" </w:t>
            </w:r>
            <w:r w:rsidRPr="00E07CB1">
              <w:rPr>
                <w:color w:val="FF0000"/>
                <w:sz w:val="24"/>
                <w:szCs w:val="24"/>
              </w:rPr>
              <w:t>desc</w:t>
            </w:r>
            <w:r w:rsidRPr="00E07CB1">
              <w:rPr>
                <w:sz w:val="24"/>
                <w:szCs w:val="24"/>
              </w:rPr>
              <w:t xml:space="preserve">="Bay" </w:t>
            </w:r>
            <w:r w:rsidRPr="00E07CB1">
              <w:rPr>
                <w:color w:val="FF0000"/>
                <w:sz w:val="24"/>
                <w:szCs w:val="24"/>
              </w:rPr>
              <w:t>sxy:x</w:t>
            </w:r>
            <w:r w:rsidRPr="00E07CB1">
              <w:rPr>
                <w:sz w:val="24"/>
                <w:szCs w:val="24"/>
              </w:rPr>
              <w:t xml:space="preserve">="55" </w:t>
            </w:r>
            <w:r w:rsidRPr="00E07CB1">
              <w:rPr>
                <w:color w:val="FF0000"/>
                <w:sz w:val="24"/>
                <w:szCs w:val="24"/>
              </w:rPr>
              <w:t>sxy:y</w:t>
            </w:r>
            <w:r w:rsidRPr="00E07CB1">
              <w:rPr>
                <w:sz w:val="24"/>
                <w:szCs w:val="24"/>
              </w:rPr>
              <w:t xml:space="preserve">="62"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line="195" w:lineRule="exact"/>
              <w:ind w:left="2992"/>
              <w:rPr>
                <w:rFonts w:ascii="Symbol" w:hAnsi="Symbol"/>
                <w:sz w:val="24"/>
                <w:szCs w:val="24"/>
              </w:rPr>
            </w:pPr>
            <w:r w:rsidRPr="00E07CB1">
              <w:rPr>
                <w:rFonts w:ascii="Symbol" w:hAnsi="Symbol"/>
                <w:sz w:val="24"/>
                <w:szCs w:val="24"/>
              </w:rPr>
              <w:t></w:t>
            </w:r>
            <w:r w:rsidRPr="00E07CB1">
              <w:rPr>
                <w:color w:val="800000"/>
                <w:sz w:val="24"/>
                <w:szCs w:val="24"/>
              </w:rPr>
              <w:t xml:space="preserve">LNode </w:t>
            </w:r>
            <w:r w:rsidRPr="00E07CB1">
              <w:rPr>
                <w:color w:val="FF0000"/>
                <w:sz w:val="24"/>
                <w:szCs w:val="24"/>
              </w:rPr>
              <w:t>iedName</w:t>
            </w:r>
            <w:r w:rsidRPr="00E07CB1">
              <w:rPr>
                <w:sz w:val="24"/>
                <w:szCs w:val="24"/>
              </w:rPr>
              <w:t xml:space="preserve">="AA1FP1" </w:t>
            </w:r>
            <w:r w:rsidRPr="00E07CB1">
              <w:rPr>
                <w:color w:val="FF0000"/>
                <w:sz w:val="24"/>
                <w:szCs w:val="24"/>
              </w:rPr>
              <w:t>ldInst</w:t>
            </w:r>
            <w:r w:rsidRPr="00E07CB1">
              <w:rPr>
                <w:sz w:val="24"/>
                <w:szCs w:val="24"/>
              </w:rPr>
              <w:t xml:space="preserve">="PMU" </w:t>
            </w:r>
            <w:r w:rsidRPr="00E07CB1">
              <w:rPr>
                <w:color w:val="FF0000"/>
                <w:sz w:val="24"/>
                <w:szCs w:val="24"/>
              </w:rPr>
              <w:t>lnClass</w:t>
            </w:r>
            <w:r w:rsidRPr="00E07CB1">
              <w:rPr>
                <w:sz w:val="24"/>
                <w:szCs w:val="24"/>
              </w:rPr>
              <w:t xml:space="preserve">="MMXU" </w:t>
            </w:r>
            <w:r w:rsidRPr="00E07CB1">
              <w:rPr>
                <w:color w:val="FF0000"/>
                <w:sz w:val="24"/>
                <w:szCs w:val="24"/>
              </w:rPr>
              <w:t>lnInst</w:t>
            </w:r>
            <w:r w:rsidRPr="00E07CB1">
              <w:rPr>
                <w:sz w:val="24"/>
                <w:szCs w:val="24"/>
              </w:rPr>
              <w:t>="1"/</w:t>
            </w:r>
            <w:r w:rsidRPr="00E07CB1">
              <w:rPr>
                <w:rFonts w:ascii="Symbol" w:hAnsi="Symbol"/>
                <w:sz w:val="24"/>
                <w:szCs w:val="24"/>
              </w:rPr>
              <w:t></w:t>
            </w:r>
          </w:p>
          <w:p w:rsidR="00474E8E" w:rsidRPr="00E07CB1" w:rsidRDefault="00474E8E" w:rsidP="00474E8E">
            <w:pPr>
              <w:pStyle w:val="BodyText"/>
              <w:tabs>
                <w:tab w:val="left" w:pos="6210"/>
                <w:tab w:val="left" w:pos="8536"/>
                <w:tab w:val="left" w:pos="11058"/>
                <w:tab w:val="left" w:pos="13480"/>
              </w:tabs>
              <w:spacing w:before="1"/>
              <w:ind w:left="4432" w:right="100" w:hanging="1441"/>
              <w:rPr>
                <w:rFonts w:ascii="Symbol" w:hAnsi="Symbol"/>
                <w:sz w:val="24"/>
                <w:szCs w:val="24"/>
              </w:rPr>
            </w:pPr>
            <w:r w:rsidRPr="00E07CB1">
              <w:rPr>
                <w:rFonts w:ascii="Symbol" w:hAnsi="Symbol"/>
                <w:spacing w:val="6"/>
                <w:sz w:val="24"/>
                <w:szCs w:val="24"/>
              </w:rPr>
              <w:t></w:t>
            </w:r>
            <w:r w:rsidRPr="00E07CB1">
              <w:rPr>
                <w:color w:val="800000"/>
                <w:spacing w:val="6"/>
                <w:sz w:val="24"/>
                <w:szCs w:val="24"/>
              </w:rPr>
              <w:t>ConductingEquipment</w:t>
            </w:r>
            <w:r w:rsidRPr="00E07CB1">
              <w:rPr>
                <w:color w:val="800000"/>
                <w:spacing w:val="6"/>
                <w:sz w:val="24"/>
                <w:szCs w:val="24"/>
              </w:rPr>
              <w:tab/>
            </w:r>
            <w:r w:rsidRPr="00E07CB1">
              <w:rPr>
                <w:color w:val="FF0000"/>
                <w:spacing w:val="6"/>
                <w:sz w:val="24"/>
                <w:szCs w:val="24"/>
              </w:rPr>
              <w:t>name</w:t>
            </w:r>
            <w:r w:rsidRPr="00E07CB1">
              <w:rPr>
                <w:spacing w:val="6"/>
                <w:sz w:val="24"/>
                <w:szCs w:val="24"/>
              </w:rPr>
              <w:t>="BI1"</w:t>
            </w:r>
            <w:r w:rsidRPr="00E07CB1">
              <w:rPr>
                <w:spacing w:val="6"/>
                <w:sz w:val="24"/>
                <w:szCs w:val="24"/>
              </w:rPr>
              <w:tab/>
            </w:r>
            <w:r w:rsidRPr="00E07CB1">
              <w:rPr>
                <w:color w:val="FF0000"/>
                <w:spacing w:val="6"/>
                <w:sz w:val="24"/>
                <w:szCs w:val="24"/>
              </w:rPr>
              <w:t>desc</w:t>
            </w:r>
            <w:r w:rsidRPr="00E07CB1">
              <w:rPr>
                <w:spacing w:val="6"/>
                <w:sz w:val="24"/>
                <w:szCs w:val="24"/>
              </w:rPr>
              <w:t>="Current</w:t>
            </w:r>
            <w:r w:rsidRPr="00E07CB1">
              <w:rPr>
                <w:spacing w:val="6"/>
                <w:sz w:val="24"/>
                <w:szCs w:val="24"/>
              </w:rPr>
              <w:tab/>
              <w:t>Transformer"</w:t>
            </w:r>
            <w:r w:rsidRPr="00E07CB1">
              <w:rPr>
                <w:spacing w:val="6"/>
                <w:sz w:val="24"/>
                <w:szCs w:val="24"/>
              </w:rPr>
              <w:tab/>
            </w:r>
            <w:r w:rsidRPr="00E07CB1">
              <w:rPr>
                <w:color w:val="FF0000"/>
                <w:spacing w:val="4"/>
                <w:sz w:val="24"/>
                <w:szCs w:val="24"/>
              </w:rPr>
              <w:t>type</w:t>
            </w:r>
            <w:r w:rsidRPr="00E07CB1">
              <w:rPr>
                <w:spacing w:val="4"/>
                <w:sz w:val="24"/>
                <w:szCs w:val="24"/>
              </w:rPr>
              <w:t xml:space="preserve">="CTR" </w:t>
            </w:r>
            <w:r w:rsidRPr="00E07CB1">
              <w:rPr>
                <w:color w:val="FF0000"/>
                <w:spacing w:val="5"/>
                <w:sz w:val="24"/>
                <w:szCs w:val="24"/>
              </w:rPr>
              <w:t>sxy:x</w:t>
            </w:r>
            <w:r w:rsidRPr="00E07CB1">
              <w:rPr>
                <w:spacing w:val="5"/>
                <w:sz w:val="24"/>
                <w:szCs w:val="24"/>
              </w:rPr>
              <w:t xml:space="preserve">="8" </w:t>
            </w:r>
            <w:r w:rsidRPr="00E07CB1">
              <w:rPr>
                <w:color w:val="FF0000"/>
                <w:spacing w:val="6"/>
                <w:sz w:val="24"/>
                <w:szCs w:val="24"/>
              </w:rPr>
              <w:t>sxy:y</w:t>
            </w:r>
            <w:r w:rsidRPr="00E07CB1">
              <w:rPr>
                <w:spacing w:val="6"/>
                <w:sz w:val="24"/>
                <w:szCs w:val="24"/>
              </w:rPr>
              <w:t>="15"</w:t>
            </w:r>
            <w:r w:rsidRPr="00E07CB1">
              <w:rPr>
                <w:spacing w:val="27"/>
                <w:sz w:val="24"/>
                <w:szCs w:val="24"/>
              </w:rPr>
              <w:t xml:space="preserve"> </w:t>
            </w:r>
            <w:r w:rsidRPr="00E07CB1">
              <w:rPr>
                <w:color w:val="FF0000"/>
                <w:spacing w:val="6"/>
                <w:sz w:val="24"/>
                <w:szCs w:val="24"/>
              </w:rPr>
              <w:t>sxy:dir</w:t>
            </w:r>
            <w:r w:rsidRPr="00E07CB1">
              <w:rPr>
                <w:spacing w:val="6"/>
                <w:sz w:val="24"/>
                <w:szCs w:val="24"/>
              </w:rPr>
              <w:t>="vertical"</w:t>
            </w:r>
            <w:r w:rsidRPr="00E07CB1">
              <w:rPr>
                <w:rFonts w:ascii="Symbol" w:hAnsi="Symbol"/>
                <w:spacing w:val="6"/>
                <w:sz w:val="24"/>
                <w:szCs w:val="24"/>
              </w:rPr>
              <w:t></w:t>
            </w:r>
          </w:p>
          <w:p w:rsidR="00474E8E" w:rsidRPr="00E07CB1" w:rsidRDefault="00474E8E" w:rsidP="00474E8E">
            <w:pPr>
              <w:pStyle w:val="BodyText"/>
              <w:spacing w:line="195" w:lineRule="exact"/>
              <w:ind w:left="3712"/>
              <w:jc w:val="both"/>
              <w:rPr>
                <w:rFonts w:ascii="Symbol" w:hAnsi="Symbol"/>
                <w:sz w:val="24"/>
                <w:szCs w:val="24"/>
              </w:rPr>
            </w:pPr>
            <w:r w:rsidRPr="00E07CB1">
              <w:rPr>
                <w:rFonts w:ascii="Symbol" w:hAnsi="Symbol"/>
                <w:sz w:val="24"/>
                <w:szCs w:val="24"/>
              </w:rPr>
              <w:t></w:t>
            </w:r>
            <w:r w:rsidRPr="00E07CB1">
              <w:rPr>
                <w:color w:val="800000"/>
                <w:sz w:val="24"/>
                <w:szCs w:val="24"/>
              </w:rPr>
              <w:t xml:space="preserve">LNode </w:t>
            </w:r>
            <w:r w:rsidRPr="00E07CB1">
              <w:rPr>
                <w:color w:val="FF0000"/>
                <w:sz w:val="24"/>
                <w:szCs w:val="24"/>
              </w:rPr>
              <w:t>iedName</w:t>
            </w:r>
            <w:r w:rsidRPr="00E07CB1">
              <w:rPr>
                <w:sz w:val="24"/>
                <w:szCs w:val="24"/>
              </w:rPr>
              <w:t xml:space="preserve">="AA1FP1" </w:t>
            </w:r>
            <w:r w:rsidRPr="00E07CB1">
              <w:rPr>
                <w:color w:val="FF0000"/>
                <w:sz w:val="24"/>
                <w:szCs w:val="24"/>
              </w:rPr>
              <w:t>ldInst</w:t>
            </w:r>
            <w:r w:rsidRPr="00E07CB1">
              <w:rPr>
                <w:sz w:val="24"/>
                <w:szCs w:val="24"/>
              </w:rPr>
              <w:t xml:space="preserve">="PMU" </w:t>
            </w:r>
            <w:r w:rsidRPr="00E07CB1">
              <w:rPr>
                <w:color w:val="FF0000"/>
                <w:sz w:val="24"/>
                <w:szCs w:val="24"/>
              </w:rPr>
              <w:t>lnClass</w:t>
            </w:r>
            <w:r w:rsidRPr="00E07CB1">
              <w:rPr>
                <w:sz w:val="24"/>
                <w:szCs w:val="24"/>
              </w:rPr>
              <w:t xml:space="preserve">="TCTR" </w:t>
            </w:r>
            <w:r w:rsidRPr="00E07CB1">
              <w:rPr>
                <w:color w:val="FF0000"/>
                <w:sz w:val="24"/>
                <w:szCs w:val="24"/>
              </w:rPr>
              <w:t>lnInst</w:t>
            </w:r>
            <w:r w:rsidRPr="00E07CB1">
              <w:rPr>
                <w:sz w:val="24"/>
                <w:szCs w:val="24"/>
              </w:rPr>
              <w:t>="1"/</w:t>
            </w:r>
            <w:r w:rsidRPr="00E07CB1">
              <w:rPr>
                <w:rFonts w:ascii="Symbol" w:hAnsi="Symbol"/>
                <w:sz w:val="24"/>
                <w:szCs w:val="24"/>
              </w:rPr>
              <w:t></w:t>
            </w:r>
          </w:p>
          <w:p w:rsidR="00474E8E" w:rsidRPr="00E07CB1" w:rsidRDefault="00474E8E" w:rsidP="00474E8E">
            <w:pPr>
              <w:pStyle w:val="BodyText"/>
              <w:tabs>
                <w:tab w:val="left" w:pos="7249"/>
                <w:tab w:val="left" w:pos="8775"/>
                <w:tab w:val="left" w:pos="11665"/>
                <w:tab w:val="left" w:pos="13198"/>
              </w:tabs>
              <w:ind w:left="4432" w:right="99" w:hanging="720"/>
              <w:jc w:val="both"/>
              <w:rPr>
                <w:rFonts w:ascii="Symbol" w:hAnsi="Symbol"/>
                <w:sz w:val="24"/>
                <w:szCs w:val="24"/>
              </w:rPr>
            </w:pPr>
            <w:r w:rsidRPr="00E07CB1">
              <w:rPr>
                <w:rFonts w:ascii="Symbol" w:hAnsi="Symbol"/>
                <w:spacing w:val="6"/>
                <w:sz w:val="24"/>
                <w:szCs w:val="24"/>
              </w:rPr>
              <w:lastRenderedPageBreak/>
              <w:t></w:t>
            </w:r>
            <w:r w:rsidRPr="00E07CB1">
              <w:rPr>
                <w:color w:val="800000"/>
                <w:spacing w:val="6"/>
                <w:sz w:val="24"/>
                <w:szCs w:val="24"/>
              </w:rPr>
              <w:t>Terminal</w:t>
            </w:r>
            <w:r w:rsidRPr="00E07CB1">
              <w:rPr>
                <w:color w:val="800000"/>
                <w:spacing w:val="6"/>
                <w:sz w:val="24"/>
                <w:szCs w:val="24"/>
              </w:rPr>
              <w:tab/>
            </w:r>
            <w:r w:rsidRPr="00E07CB1">
              <w:rPr>
                <w:spacing w:val="6"/>
                <w:sz w:val="24"/>
                <w:szCs w:val="24"/>
              </w:rPr>
              <w:t>name="AA1D1Q1N2"</w:t>
            </w:r>
            <w:r w:rsidRPr="00E07CB1">
              <w:rPr>
                <w:spacing w:val="6"/>
                <w:sz w:val="24"/>
                <w:szCs w:val="24"/>
              </w:rPr>
              <w:tab/>
              <w:t>connectivityNode="AA1/D1/Q1/N2" substationName="AA1"</w:t>
            </w:r>
            <w:r w:rsidRPr="00E07CB1">
              <w:rPr>
                <w:spacing w:val="6"/>
                <w:sz w:val="24"/>
                <w:szCs w:val="24"/>
              </w:rPr>
              <w:tab/>
            </w:r>
            <w:r w:rsidRPr="00E07CB1">
              <w:rPr>
                <w:spacing w:val="6"/>
                <w:sz w:val="24"/>
                <w:szCs w:val="24"/>
              </w:rPr>
              <w:tab/>
              <w:t>voltageLevelName="D1"</w:t>
            </w:r>
            <w:r w:rsidRPr="00E07CB1">
              <w:rPr>
                <w:spacing w:val="6"/>
                <w:sz w:val="24"/>
                <w:szCs w:val="24"/>
              </w:rPr>
              <w:tab/>
            </w:r>
            <w:r w:rsidRPr="00E07CB1">
              <w:rPr>
                <w:spacing w:val="6"/>
                <w:sz w:val="24"/>
                <w:szCs w:val="24"/>
              </w:rPr>
              <w:tab/>
            </w:r>
            <w:r w:rsidRPr="00E07CB1">
              <w:rPr>
                <w:spacing w:val="5"/>
                <w:sz w:val="24"/>
                <w:szCs w:val="24"/>
              </w:rPr>
              <w:t xml:space="preserve">bayName="Q1" </w:t>
            </w:r>
            <w:r w:rsidRPr="00E07CB1">
              <w:rPr>
                <w:spacing w:val="6"/>
                <w:sz w:val="24"/>
                <w:szCs w:val="24"/>
              </w:rPr>
              <w:t>cNodeName="N2"/</w:t>
            </w:r>
            <w:r w:rsidRPr="00E07CB1">
              <w:rPr>
                <w:rFonts w:ascii="Symbol" w:hAnsi="Symbol"/>
                <w:spacing w:val="6"/>
                <w:sz w:val="24"/>
                <w:szCs w:val="24"/>
              </w:rPr>
              <w:t></w:t>
            </w:r>
          </w:p>
          <w:p w:rsidR="00474E8E" w:rsidRPr="00E07CB1" w:rsidRDefault="00474E8E" w:rsidP="00474E8E">
            <w:pPr>
              <w:pStyle w:val="BodyText"/>
              <w:ind w:left="112" w:right="4024"/>
              <w:jc w:val="both"/>
              <w:rPr>
                <w:rFonts w:ascii="Symbol" w:hAnsi="Symbol"/>
                <w:sz w:val="24"/>
                <w:szCs w:val="24"/>
              </w:rPr>
            </w:pPr>
            <w:r w:rsidRPr="00E07CB1">
              <w:rPr>
                <w:rFonts w:ascii="Symbol" w:hAnsi="Symbol"/>
                <w:sz w:val="24"/>
                <w:szCs w:val="24"/>
              </w:rPr>
              <w:t></w:t>
            </w:r>
            <w:r w:rsidRPr="00E07CB1">
              <w:rPr>
                <w:color w:val="800000"/>
                <w:sz w:val="24"/>
                <w:szCs w:val="24"/>
              </w:rPr>
              <w:t xml:space="preserve">Terminal </w:t>
            </w:r>
            <w:r w:rsidRPr="00E07CB1">
              <w:rPr>
                <w:sz w:val="24"/>
                <w:szCs w:val="24"/>
              </w:rPr>
              <w:t>name="AA1D1Q1N3" connectivityNode="AA1/D1/Q1/N3" substationName="AA1" voltageLevelName="D1" bayName="Q1" cNodeName="N3"/</w:t>
            </w:r>
            <w:r w:rsidRPr="00E07CB1">
              <w:rPr>
                <w:rFonts w:ascii="Symbol" w:hAnsi="Symbol"/>
                <w:sz w:val="24"/>
                <w:szCs w:val="24"/>
              </w:rPr>
              <w:t></w:t>
            </w:r>
          </w:p>
          <w:p w:rsidR="00474E8E" w:rsidRPr="00E07CB1" w:rsidRDefault="00474E8E" w:rsidP="00474E8E">
            <w:pPr>
              <w:pStyle w:val="BodyTex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tabs>
                <w:tab w:val="left" w:pos="3356"/>
                <w:tab w:val="left" w:pos="5795"/>
                <w:tab w:val="left" w:pos="8406"/>
                <w:tab w:val="left" w:pos="10689"/>
              </w:tabs>
              <w:ind w:left="111"/>
              <w:rPr>
                <w:sz w:val="24"/>
                <w:szCs w:val="24"/>
              </w:rPr>
            </w:pPr>
            <w:r w:rsidRPr="00E07CB1">
              <w:rPr>
                <w:rFonts w:ascii="Symbol" w:hAnsi="Symbol"/>
                <w:spacing w:val="6"/>
                <w:sz w:val="24"/>
                <w:szCs w:val="24"/>
              </w:rPr>
              <w:t></w:t>
            </w:r>
            <w:r w:rsidRPr="00E07CB1">
              <w:rPr>
                <w:color w:val="800000"/>
                <w:spacing w:val="6"/>
                <w:sz w:val="24"/>
                <w:szCs w:val="24"/>
              </w:rPr>
              <w:t>ConductingEquipment</w:t>
            </w:r>
            <w:r w:rsidRPr="00E07CB1">
              <w:rPr>
                <w:color w:val="800000"/>
                <w:spacing w:val="6"/>
                <w:sz w:val="24"/>
                <w:szCs w:val="24"/>
              </w:rPr>
              <w:tab/>
            </w:r>
            <w:r w:rsidRPr="00E07CB1">
              <w:rPr>
                <w:color w:val="FF0000"/>
                <w:spacing w:val="5"/>
                <w:sz w:val="24"/>
                <w:szCs w:val="24"/>
              </w:rPr>
              <w:t>name</w:t>
            </w:r>
            <w:r w:rsidRPr="00E07CB1">
              <w:rPr>
                <w:spacing w:val="5"/>
                <w:sz w:val="24"/>
                <w:szCs w:val="24"/>
              </w:rPr>
              <w:t>="QC2"</w:t>
            </w:r>
            <w:r w:rsidRPr="00E07CB1">
              <w:rPr>
                <w:spacing w:val="5"/>
                <w:sz w:val="24"/>
                <w:szCs w:val="24"/>
              </w:rPr>
              <w:tab/>
            </w:r>
            <w:r w:rsidRPr="00E07CB1">
              <w:rPr>
                <w:color w:val="FF0000"/>
                <w:spacing w:val="6"/>
                <w:sz w:val="24"/>
                <w:szCs w:val="24"/>
              </w:rPr>
              <w:t>desc</w:t>
            </w:r>
            <w:r w:rsidRPr="00E07CB1">
              <w:rPr>
                <w:spacing w:val="6"/>
                <w:sz w:val="24"/>
                <w:szCs w:val="24"/>
              </w:rPr>
              <w:t>="Isolator"</w:t>
            </w:r>
            <w:r w:rsidRPr="00E07CB1">
              <w:rPr>
                <w:spacing w:val="6"/>
                <w:sz w:val="24"/>
                <w:szCs w:val="24"/>
              </w:rPr>
              <w:tab/>
            </w:r>
            <w:r w:rsidRPr="00E07CB1">
              <w:rPr>
                <w:color w:val="FF0000"/>
                <w:spacing w:val="6"/>
                <w:sz w:val="24"/>
                <w:szCs w:val="24"/>
              </w:rPr>
              <w:t>type</w:t>
            </w:r>
            <w:r w:rsidRPr="00E07CB1">
              <w:rPr>
                <w:spacing w:val="6"/>
                <w:sz w:val="24"/>
                <w:szCs w:val="24"/>
              </w:rPr>
              <w:t>="DIS"</w:t>
            </w:r>
            <w:r w:rsidRPr="00E07CB1">
              <w:rPr>
                <w:spacing w:val="6"/>
                <w:sz w:val="24"/>
                <w:szCs w:val="24"/>
              </w:rPr>
              <w:tab/>
            </w:r>
            <w:r w:rsidRPr="00E07CB1">
              <w:rPr>
                <w:color w:val="FF0000"/>
                <w:spacing w:val="6"/>
                <w:sz w:val="24"/>
                <w:szCs w:val="24"/>
              </w:rPr>
              <w:t>sxy:x</w:t>
            </w:r>
            <w:r w:rsidRPr="00E07CB1">
              <w:rPr>
                <w:spacing w:val="6"/>
                <w:sz w:val="24"/>
                <w:szCs w:val="24"/>
              </w:rPr>
              <w:t>="10"</w:t>
            </w:r>
          </w:p>
          <w:p w:rsidR="00474E8E" w:rsidRPr="00E07CB1" w:rsidRDefault="00474E8E" w:rsidP="00474E8E">
            <w:pPr>
              <w:pStyle w:val="BodyText"/>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 xml:space="preserve">name="AA1D1Q1N6"   connectivityNode="AA1/D1/Q1/N6"   substationName="AA1"   voltageLevelName="D1" </w:t>
            </w:r>
            <w:r w:rsidRPr="00E07CB1">
              <w:rPr>
                <w:spacing w:val="25"/>
                <w:sz w:val="24"/>
                <w:szCs w:val="24"/>
              </w:rPr>
              <w:t xml:space="preserve"> </w:t>
            </w:r>
            <w:r w:rsidRPr="00E07CB1">
              <w:rPr>
                <w:spacing w:val="6"/>
                <w:sz w:val="24"/>
                <w:szCs w:val="24"/>
              </w:rPr>
              <w:t>bayName="Q1"</w:t>
            </w:r>
          </w:p>
          <w:p w:rsidR="00474E8E" w:rsidRPr="00E07CB1" w:rsidRDefault="00474E8E" w:rsidP="00474E8E">
            <w:pPr>
              <w:pStyle w:val="BodyText"/>
              <w:rPr>
                <w:sz w:val="24"/>
                <w:szCs w:val="24"/>
              </w:rPr>
            </w:pPr>
          </w:p>
          <w:p w:rsidR="00474E8E" w:rsidRPr="00E07CB1" w:rsidRDefault="00474E8E" w:rsidP="00474E8E">
            <w:pPr>
              <w:pStyle w:val="BodyText"/>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name="grounded"  connectivityNode="AA1/D1/Q1/grounded"  substationName="AA1"  voltageLevelName="D1"</w:t>
            </w:r>
            <w:r w:rsidRPr="00E07CB1">
              <w:rPr>
                <w:spacing w:val="22"/>
                <w:sz w:val="24"/>
                <w:szCs w:val="24"/>
              </w:rPr>
              <w:t xml:space="preserve"> </w:t>
            </w:r>
            <w:r w:rsidRPr="00E07CB1">
              <w:rPr>
                <w:spacing w:val="6"/>
                <w:sz w:val="24"/>
                <w:szCs w:val="24"/>
              </w:rPr>
              <w:t>bayName="Q1"</w:t>
            </w:r>
          </w:p>
          <w:p w:rsidR="00474E8E" w:rsidRPr="00E07CB1" w:rsidRDefault="00474E8E" w:rsidP="00474E8E">
            <w:pPr>
              <w:pStyle w:val="BodyText"/>
              <w:spacing w:before="148" w:line="480" w:lineRule="auto"/>
              <w:ind w:left="112"/>
              <w:rPr>
                <w:rFonts w:ascii="Symbol" w:hAnsi="Symbol"/>
                <w:sz w:val="24"/>
                <w:szCs w:val="24"/>
              </w:rPr>
            </w:pPr>
            <w:r w:rsidRPr="00E07CB1">
              <w:rPr>
                <w:color w:val="FF0000"/>
                <w:sz w:val="24"/>
                <w:szCs w:val="24"/>
              </w:rPr>
              <w:t>sxy:y</w:t>
            </w:r>
            <w:r w:rsidRPr="00E07CB1">
              <w:rPr>
                <w:sz w:val="24"/>
                <w:szCs w:val="24"/>
              </w:rPr>
              <w:t xml:space="preserve">="21" </w:t>
            </w:r>
            <w:r w:rsidRPr="00E07CB1">
              <w:rPr>
                <w:color w:val="FF0000"/>
                <w:sz w:val="24"/>
                <w:szCs w:val="24"/>
              </w:rPr>
              <w:t>sxy:dir</w:t>
            </w:r>
            <w:r w:rsidRPr="00E07CB1">
              <w:rPr>
                <w:sz w:val="24"/>
                <w:szCs w:val="24"/>
              </w:rPr>
              <w:t>="vertical"</w:t>
            </w:r>
            <w:r w:rsidRPr="00E07CB1">
              <w:rPr>
                <w:rFonts w:ascii="Symbol" w:hAnsi="Symbol"/>
                <w:sz w:val="24"/>
                <w:szCs w:val="24"/>
              </w:rPr>
              <w:t></w:t>
            </w:r>
            <w:r w:rsidRPr="00E07CB1">
              <w:rPr>
                <w:rFonts w:ascii="Times New Roman" w:hAnsi="Times New Roman"/>
                <w:sz w:val="24"/>
                <w:szCs w:val="24"/>
              </w:rPr>
              <w:t xml:space="preserve"> </w:t>
            </w:r>
            <w:r w:rsidRPr="00E07CB1">
              <w:rPr>
                <w:sz w:val="24"/>
                <w:szCs w:val="24"/>
              </w:rPr>
              <w:t>cNodeName="N6"/</w:t>
            </w:r>
            <w:r w:rsidRPr="00E07CB1">
              <w:rPr>
                <w:rFonts w:ascii="Symbol" w:hAnsi="Symbol"/>
                <w:sz w:val="24"/>
                <w:szCs w:val="24"/>
              </w:rPr>
              <w:t></w:t>
            </w:r>
          </w:p>
          <w:p w:rsidR="00474E8E" w:rsidRPr="00E07CB1" w:rsidRDefault="00474E8E" w:rsidP="00474E8E">
            <w:pPr>
              <w:ind w:left="0" w:firstLine="0"/>
              <w:jc w:val="center"/>
              <w:rPr>
                <w:rFonts w:ascii="Symbol" w:hAnsi="Symbol"/>
              </w:rPr>
            </w:pPr>
            <w:r w:rsidRPr="00E07CB1">
              <w:t>cNodeName="grounded"/</w:t>
            </w:r>
            <w:r w:rsidRPr="00E07CB1">
              <w:rPr>
                <w:rFonts w:ascii="Symbol" w:hAnsi="Symbol"/>
              </w:rPr>
              <w:t></w:t>
            </w:r>
          </w:p>
          <w:p w:rsidR="00474E8E" w:rsidRPr="00E07CB1" w:rsidRDefault="00474E8E" w:rsidP="00474E8E">
            <w:pPr>
              <w:pStyle w:val="BodyTex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spacing w:before="1"/>
              <w:ind w:left="111"/>
              <w:rPr>
                <w:rFonts w:ascii="Symbol" w:hAnsi="Symbol"/>
                <w:sz w:val="24"/>
                <w:szCs w:val="24"/>
              </w:rPr>
            </w:pPr>
            <w:r w:rsidRPr="00E07CB1">
              <w:rPr>
                <w:rFonts w:ascii="Symbol" w:hAnsi="Symbol"/>
                <w:sz w:val="24"/>
                <w:szCs w:val="24"/>
              </w:rPr>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="BU2" </w:t>
            </w:r>
            <w:r w:rsidRPr="00E07CB1">
              <w:rPr>
                <w:color w:val="FF0000"/>
                <w:sz w:val="24"/>
                <w:szCs w:val="24"/>
              </w:rPr>
              <w:t>desc</w:t>
            </w:r>
            <w:r w:rsidRPr="00E07CB1">
              <w:rPr>
                <w:sz w:val="24"/>
                <w:szCs w:val="24"/>
              </w:rPr>
              <w:t xml:space="preserve">="Voltage Transformer 3Phase" </w:t>
            </w:r>
            <w:r w:rsidRPr="00E07CB1">
              <w:rPr>
                <w:color w:val="FF0000"/>
                <w:sz w:val="24"/>
                <w:szCs w:val="24"/>
              </w:rPr>
              <w:t>type</w:t>
            </w:r>
            <w:r w:rsidRPr="00E07CB1">
              <w:rPr>
                <w:sz w:val="24"/>
                <w:szCs w:val="24"/>
              </w:rPr>
              <w:t xml:space="preserve">="VTR" </w:t>
            </w:r>
            <w:r w:rsidRPr="00E07CB1">
              <w:rPr>
                <w:color w:val="FF0000"/>
                <w:sz w:val="24"/>
                <w:szCs w:val="24"/>
              </w:rPr>
              <w:t>sxy:x</w:t>
            </w:r>
            <w:r w:rsidRPr="00E07CB1">
              <w:rPr>
                <w:sz w:val="24"/>
                <w:szCs w:val="24"/>
              </w:rPr>
              <w:t xml:space="preserve">="12" </w:t>
            </w:r>
            <w:r w:rsidRPr="00E07CB1">
              <w:rPr>
                <w:color w:val="FF0000"/>
                <w:sz w:val="24"/>
                <w:szCs w:val="24"/>
              </w:rPr>
              <w:t>sxy:y</w:t>
            </w:r>
            <w:r w:rsidRPr="00E07CB1">
              <w:rPr>
                <w:sz w:val="24"/>
                <w:szCs w:val="24"/>
              </w:rPr>
              <w:t xml:space="preserve">="14"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line="195" w:lineRule="exact"/>
              <w:ind w:left="832"/>
              <w:rPr>
                <w:rFonts w:ascii="Symbol" w:hAnsi="Symbol"/>
                <w:sz w:val="24"/>
                <w:szCs w:val="24"/>
              </w:rPr>
            </w:pPr>
            <w:r w:rsidRPr="00E07CB1">
              <w:rPr>
                <w:rFonts w:ascii="Symbol" w:hAnsi="Symbol"/>
                <w:sz w:val="24"/>
                <w:szCs w:val="24"/>
              </w:rPr>
              <w:t></w:t>
            </w:r>
            <w:r w:rsidRPr="00E07CB1">
              <w:rPr>
                <w:color w:val="800000"/>
                <w:sz w:val="24"/>
                <w:szCs w:val="24"/>
              </w:rPr>
              <w:t xml:space="preserve">LNode </w:t>
            </w:r>
            <w:r w:rsidRPr="00E07CB1">
              <w:rPr>
                <w:color w:val="FF0000"/>
                <w:sz w:val="24"/>
                <w:szCs w:val="24"/>
              </w:rPr>
              <w:t>iedName</w:t>
            </w:r>
            <w:r w:rsidRPr="00E07CB1">
              <w:rPr>
                <w:sz w:val="24"/>
                <w:szCs w:val="24"/>
              </w:rPr>
              <w:t xml:space="preserve">="AA1FP1" </w:t>
            </w:r>
            <w:r w:rsidRPr="00E07CB1">
              <w:rPr>
                <w:color w:val="FF0000"/>
                <w:sz w:val="24"/>
                <w:szCs w:val="24"/>
              </w:rPr>
              <w:t>ldInst</w:t>
            </w:r>
            <w:r w:rsidRPr="00E07CB1">
              <w:rPr>
                <w:sz w:val="24"/>
                <w:szCs w:val="24"/>
              </w:rPr>
              <w:t xml:space="preserve">="PMU" </w:t>
            </w:r>
            <w:r w:rsidRPr="00E07CB1">
              <w:rPr>
                <w:color w:val="FF0000"/>
                <w:sz w:val="24"/>
                <w:szCs w:val="24"/>
              </w:rPr>
              <w:t>lnClass</w:t>
            </w:r>
            <w:r w:rsidRPr="00E07CB1">
              <w:rPr>
                <w:sz w:val="24"/>
                <w:szCs w:val="24"/>
              </w:rPr>
              <w:t xml:space="preserve">="TVTR" </w:t>
            </w:r>
            <w:r w:rsidRPr="00E07CB1">
              <w:rPr>
                <w:color w:val="FF0000"/>
                <w:sz w:val="24"/>
                <w:szCs w:val="24"/>
              </w:rPr>
              <w:t>lnInst</w:t>
            </w:r>
            <w:r w:rsidRPr="00E07CB1">
              <w:rPr>
                <w:sz w:val="24"/>
                <w:szCs w:val="24"/>
              </w:rPr>
              <w:t>="1"/</w:t>
            </w:r>
            <w:r w:rsidRPr="00E07CB1">
              <w:rPr>
                <w:rFonts w:ascii="Symbol" w:hAnsi="Symbol"/>
                <w:sz w:val="24"/>
                <w:szCs w:val="24"/>
              </w:rPr>
              <w:t></w:t>
            </w:r>
          </w:p>
          <w:p w:rsidR="00474E8E" w:rsidRPr="00E07CB1" w:rsidRDefault="00474E8E" w:rsidP="00474E8E">
            <w:pPr>
              <w:pStyle w:val="BodyText"/>
              <w:spacing w:line="195" w:lineRule="exact"/>
              <w:ind w:left="832"/>
              <w:rPr>
                <w:sz w:val="24"/>
                <w:szCs w:val="24"/>
              </w:rPr>
            </w:pPr>
            <w:r w:rsidRPr="00E07CB1">
              <w:rPr>
                <w:rFonts w:ascii="Symbol" w:hAnsi="Symbol"/>
                <w:sz w:val="24"/>
                <w:szCs w:val="24"/>
              </w:rPr>
              <w:t></w:t>
            </w:r>
            <w:r w:rsidRPr="00E07CB1">
              <w:rPr>
                <w:color w:val="800000"/>
                <w:sz w:val="24"/>
                <w:szCs w:val="24"/>
              </w:rPr>
              <w:t xml:space="preserve">Terminal </w:t>
            </w:r>
            <w:r w:rsidRPr="00E07CB1">
              <w:rPr>
                <w:sz w:val="24"/>
                <w:szCs w:val="24"/>
              </w:rPr>
              <w:t>name="AA1D1Q1N3" connectivityNode="AA1/D1/Q1/N3" substationName="AA1" voltageLevelName="D1" bayName="Q1"</w:t>
            </w:r>
          </w:p>
          <w:p w:rsidR="00474E8E" w:rsidRPr="00E07CB1" w:rsidRDefault="00474E8E" w:rsidP="00474E8E">
            <w:pPr>
              <w:pStyle w:val="BodyText"/>
              <w:spacing w:before="1" w:line="195" w:lineRule="exac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spacing w:line="195" w:lineRule="exact"/>
              <w:ind w:left="111"/>
              <w:rPr>
                <w:rFonts w:ascii="Symbol" w:hAnsi="Symbol"/>
                <w:sz w:val="24"/>
                <w:szCs w:val="24"/>
              </w:rPr>
            </w:pPr>
            <w:r w:rsidRPr="00E07CB1">
              <w:rPr>
                <w:rFonts w:ascii="Symbol" w:hAnsi="Symbol"/>
                <w:sz w:val="24"/>
                <w:szCs w:val="24"/>
              </w:rPr>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="QB2" </w:t>
            </w:r>
            <w:r w:rsidRPr="00E07CB1">
              <w:rPr>
                <w:color w:val="FF0000"/>
                <w:sz w:val="24"/>
                <w:szCs w:val="24"/>
              </w:rPr>
              <w:t>desc</w:t>
            </w:r>
            <w:r w:rsidRPr="00E07CB1">
              <w:rPr>
                <w:sz w:val="24"/>
                <w:szCs w:val="24"/>
              </w:rPr>
              <w:t xml:space="preserve">="Isolator" </w:t>
            </w:r>
            <w:r w:rsidRPr="00E07CB1">
              <w:rPr>
                <w:color w:val="FF0000"/>
                <w:sz w:val="24"/>
                <w:szCs w:val="24"/>
              </w:rPr>
              <w:t>type</w:t>
            </w:r>
            <w:r w:rsidRPr="00E07CB1">
              <w:rPr>
                <w:sz w:val="24"/>
                <w:szCs w:val="24"/>
              </w:rPr>
              <w:t xml:space="preserve">="DIS" </w:t>
            </w:r>
            <w:r w:rsidRPr="00E07CB1">
              <w:rPr>
                <w:color w:val="FF0000"/>
                <w:sz w:val="24"/>
                <w:szCs w:val="24"/>
              </w:rPr>
              <w:t>sxy:x</w:t>
            </w:r>
            <w:r w:rsidRPr="00E07CB1">
              <w:rPr>
                <w:sz w:val="24"/>
                <w:szCs w:val="24"/>
              </w:rPr>
              <w:t xml:space="preserve">="12" </w:t>
            </w:r>
            <w:r w:rsidRPr="00E07CB1">
              <w:rPr>
                <w:color w:val="FF0000"/>
                <w:sz w:val="24"/>
                <w:szCs w:val="24"/>
              </w:rPr>
              <w:t>sxy:y</w:t>
            </w:r>
            <w:r w:rsidRPr="00E07CB1">
              <w:rPr>
                <w:sz w:val="24"/>
                <w:szCs w:val="24"/>
              </w:rPr>
              <w:t xml:space="preserve">="4"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line="195" w:lineRule="exac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spacing w:line="195" w:lineRule="exact"/>
              <w:ind w:left="111"/>
              <w:rPr>
                <w:rFonts w:ascii="Symbol" w:hAnsi="Symbol"/>
                <w:sz w:val="24"/>
                <w:szCs w:val="24"/>
              </w:rPr>
            </w:pPr>
            <w:r w:rsidRPr="00E07CB1">
              <w:rPr>
                <w:rFonts w:ascii="Symbol" w:hAnsi="Symbol"/>
                <w:sz w:val="24"/>
                <w:szCs w:val="24"/>
              </w:rPr>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="QC1" </w:t>
            </w:r>
            <w:r w:rsidRPr="00E07CB1">
              <w:rPr>
                <w:color w:val="FF0000"/>
                <w:sz w:val="24"/>
                <w:szCs w:val="24"/>
              </w:rPr>
              <w:t>desc</w:t>
            </w:r>
            <w:r w:rsidRPr="00E07CB1">
              <w:rPr>
                <w:sz w:val="24"/>
                <w:szCs w:val="24"/>
              </w:rPr>
              <w:t xml:space="preserve">="Isolator" </w:t>
            </w:r>
            <w:r w:rsidRPr="00E07CB1">
              <w:rPr>
                <w:color w:val="FF0000"/>
                <w:sz w:val="24"/>
                <w:szCs w:val="24"/>
              </w:rPr>
              <w:t>type</w:t>
            </w:r>
            <w:r w:rsidRPr="00E07CB1">
              <w:rPr>
                <w:sz w:val="24"/>
                <w:szCs w:val="24"/>
              </w:rPr>
              <w:t xml:space="preserve">="DIS" </w:t>
            </w:r>
            <w:r w:rsidRPr="00E07CB1">
              <w:rPr>
                <w:color w:val="FF0000"/>
                <w:sz w:val="24"/>
                <w:szCs w:val="24"/>
              </w:rPr>
              <w:t>sxy:x</w:t>
            </w:r>
            <w:r w:rsidRPr="00E07CB1">
              <w:rPr>
                <w:sz w:val="24"/>
                <w:szCs w:val="24"/>
              </w:rPr>
              <w:t xml:space="preserve">="10" </w:t>
            </w:r>
            <w:r w:rsidRPr="00E07CB1">
              <w:rPr>
                <w:color w:val="FF0000"/>
                <w:sz w:val="24"/>
                <w:szCs w:val="24"/>
              </w:rPr>
              <w:t>sxy:y</w:t>
            </w:r>
            <w:r w:rsidRPr="00E07CB1">
              <w:rPr>
                <w:sz w:val="24"/>
                <w:szCs w:val="24"/>
              </w:rPr>
              <w:t xml:space="preserve">="8"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before="1"/>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 xml:space="preserve">name="AA1D1Q1N5"   connectivityNode="AA1/D1/Q1/N5"   substationName="AA1"   voltageLevelName="D1" </w:t>
            </w:r>
            <w:r w:rsidRPr="00E07CB1">
              <w:rPr>
                <w:spacing w:val="25"/>
                <w:sz w:val="24"/>
                <w:szCs w:val="24"/>
              </w:rPr>
              <w:t xml:space="preserve"> </w:t>
            </w:r>
            <w:r w:rsidRPr="00E07CB1">
              <w:rPr>
                <w:spacing w:val="6"/>
                <w:sz w:val="24"/>
                <w:szCs w:val="24"/>
              </w:rPr>
              <w:t>bayName="Q1"</w:t>
            </w:r>
          </w:p>
          <w:p w:rsidR="00474E8E" w:rsidRPr="00E07CB1" w:rsidRDefault="00474E8E" w:rsidP="00474E8E">
            <w:pPr>
              <w:pStyle w:val="BodyText"/>
              <w:rPr>
                <w:sz w:val="24"/>
                <w:szCs w:val="24"/>
              </w:rPr>
            </w:pPr>
          </w:p>
          <w:p w:rsidR="00474E8E" w:rsidRPr="00E07CB1" w:rsidRDefault="00474E8E" w:rsidP="00474E8E">
            <w:pPr>
              <w:pStyle w:val="BodyText"/>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name="grounded"  connectivityNode="AA1/D1/Q1/grounded"  substationName="AA1"  voltageLevelName="D1"</w:t>
            </w:r>
            <w:r w:rsidRPr="00E07CB1">
              <w:rPr>
                <w:spacing w:val="22"/>
                <w:sz w:val="24"/>
                <w:szCs w:val="24"/>
              </w:rPr>
              <w:t xml:space="preserve"> </w:t>
            </w:r>
            <w:r w:rsidRPr="00E07CB1">
              <w:rPr>
                <w:spacing w:val="6"/>
                <w:sz w:val="24"/>
                <w:szCs w:val="24"/>
              </w:rPr>
              <w:t>bayName="Q1"</w:t>
            </w:r>
          </w:p>
          <w:p w:rsidR="00474E8E" w:rsidRPr="00E07CB1" w:rsidRDefault="00474E8E" w:rsidP="00474E8E">
            <w:pPr>
              <w:pStyle w:val="BodyText"/>
              <w:spacing w:before="2"/>
              <w:rPr>
                <w:sz w:val="24"/>
                <w:szCs w:val="24"/>
              </w:rPr>
            </w:pPr>
          </w:p>
          <w:p w:rsidR="00474E8E" w:rsidRPr="00E07CB1" w:rsidRDefault="00474E8E" w:rsidP="00474E8E">
            <w:pPr>
              <w:pStyle w:val="BodyText"/>
              <w:spacing w:line="195" w:lineRule="exac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spacing w:line="195" w:lineRule="exact"/>
              <w:ind w:left="111"/>
              <w:rPr>
                <w:rFonts w:ascii="Symbol" w:hAnsi="Symbol"/>
                <w:sz w:val="24"/>
                <w:szCs w:val="24"/>
              </w:rPr>
            </w:pPr>
            <w:r w:rsidRPr="00E07CB1">
              <w:rPr>
                <w:rFonts w:ascii="Symbol" w:hAnsi="Symbol"/>
                <w:sz w:val="24"/>
                <w:szCs w:val="24"/>
              </w:rPr>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="BI3" </w:t>
            </w:r>
            <w:r w:rsidRPr="00E07CB1">
              <w:rPr>
                <w:color w:val="FF0000"/>
                <w:sz w:val="24"/>
                <w:szCs w:val="24"/>
              </w:rPr>
              <w:t>desc</w:t>
            </w:r>
            <w:r w:rsidRPr="00E07CB1">
              <w:rPr>
                <w:sz w:val="24"/>
                <w:szCs w:val="24"/>
              </w:rPr>
              <w:t xml:space="preserve">="Current Transformer" </w:t>
            </w:r>
            <w:r w:rsidRPr="00E07CB1">
              <w:rPr>
                <w:color w:val="FF0000"/>
                <w:sz w:val="24"/>
                <w:szCs w:val="24"/>
              </w:rPr>
              <w:t>type</w:t>
            </w:r>
            <w:r w:rsidRPr="00E07CB1">
              <w:rPr>
                <w:sz w:val="24"/>
                <w:szCs w:val="24"/>
              </w:rPr>
              <w:t xml:space="preserve">="CTR" </w:t>
            </w:r>
            <w:r w:rsidRPr="00E07CB1">
              <w:rPr>
                <w:color w:val="FF0000"/>
                <w:sz w:val="24"/>
                <w:szCs w:val="24"/>
              </w:rPr>
              <w:t>sxy:x</w:t>
            </w:r>
            <w:r w:rsidRPr="00E07CB1">
              <w:rPr>
                <w:sz w:val="24"/>
                <w:szCs w:val="24"/>
              </w:rPr>
              <w:t xml:space="preserve">="8" </w:t>
            </w:r>
            <w:r w:rsidRPr="00E07CB1">
              <w:rPr>
                <w:color w:val="FF0000"/>
                <w:sz w:val="24"/>
                <w:szCs w:val="24"/>
              </w:rPr>
              <w:t>sxy:y</w:t>
            </w:r>
            <w:r w:rsidRPr="00E07CB1">
              <w:rPr>
                <w:sz w:val="24"/>
                <w:szCs w:val="24"/>
              </w:rPr>
              <w:t xml:space="preserve">="19"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before="1"/>
              <w:ind w:left="832"/>
              <w:rPr>
                <w:sz w:val="24"/>
                <w:szCs w:val="24"/>
              </w:rPr>
            </w:pPr>
            <w:r w:rsidRPr="00E07CB1">
              <w:rPr>
                <w:rFonts w:ascii="Symbol" w:hAnsi="Symbol"/>
                <w:sz w:val="24"/>
                <w:szCs w:val="24"/>
              </w:rPr>
              <w:t></w:t>
            </w:r>
            <w:r w:rsidRPr="00E07CB1">
              <w:rPr>
                <w:color w:val="800000"/>
                <w:sz w:val="24"/>
                <w:szCs w:val="24"/>
              </w:rPr>
              <w:t xml:space="preserve">Terminal </w:t>
            </w:r>
            <w:r w:rsidRPr="00E07CB1">
              <w:rPr>
                <w:sz w:val="24"/>
                <w:szCs w:val="24"/>
              </w:rPr>
              <w:t>name="AA1D1Q1N6" connectivityNode="AA1/D1/Q1/N6" substationName="AA1" voltageLevelName="D1" bayName="Q1"</w:t>
            </w:r>
          </w:p>
          <w:p w:rsidR="00474E8E" w:rsidRPr="00E07CB1" w:rsidRDefault="00474E8E" w:rsidP="00474E8E">
            <w:pPr>
              <w:pStyle w:val="BodyText"/>
              <w:spacing w:before="101"/>
              <w:ind w:left="832"/>
              <w:rPr>
                <w:sz w:val="24"/>
                <w:szCs w:val="24"/>
              </w:rPr>
            </w:pPr>
            <w:r w:rsidRPr="00E07CB1">
              <w:rPr>
                <w:rFonts w:ascii="Symbol" w:hAnsi="Symbol"/>
                <w:sz w:val="24"/>
                <w:szCs w:val="24"/>
              </w:rPr>
              <w:t></w:t>
            </w:r>
            <w:r w:rsidRPr="00E07CB1">
              <w:rPr>
                <w:color w:val="800000"/>
                <w:sz w:val="24"/>
                <w:szCs w:val="24"/>
              </w:rPr>
              <w:t xml:space="preserve">Terminal </w:t>
            </w:r>
            <w:r w:rsidRPr="00E07CB1">
              <w:rPr>
                <w:sz w:val="24"/>
                <w:szCs w:val="24"/>
              </w:rPr>
              <w:t>name="AA1D1Q1N4" connectivityNode="AA1/D1/Q1/N4" substationName="AA1" voltageLevelName="D1" bayName="Q1"</w:t>
            </w:r>
          </w:p>
          <w:p w:rsidR="00474E8E" w:rsidRPr="00E07CB1" w:rsidRDefault="00474E8E" w:rsidP="00474E8E">
            <w:pPr>
              <w:pStyle w:val="BodyText"/>
              <w:spacing w:before="11"/>
              <w:rPr>
                <w:sz w:val="24"/>
                <w:szCs w:val="24"/>
              </w:rPr>
            </w:pPr>
          </w:p>
          <w:p w:rsidR="00474E8E" w:rsidRPr="00E07CB1" w:rsidRDefault="00474E8E" w:rsidP="00474E8E">
            <w:pPr>
              <w:pStyle w:val="BodyTex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ind w:left="111"/>
              <w:rPr>
                <w:rFonts w:ascii="Symbol" w:hAnsi="Symbol"/>
                <w:sz w:val="24"/>
                <w:szCs w:val="24"/>
              </w:rPr>
            </w:pPr>
            <w:r w:rsidRPr="00E07CB1">
              <w:rPr>
                <w:rFonts w:ascii="Symbol" w:hAnsi="Symbol"/>
                <w:sz w:val="24"/>
                <w:szCs w:val="24"/>
              </w:rPr>
              <w:lastRenderedPageBreak/>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="QA1" </w:t>
            </w:r>
            <w:r w:rsidRPr="00E07CB1">
              <w:rPr>
                <w:color w:val="FF0000"/>
                <w:sz w:val="24"/>
                <w:szCs w:val="24"/>
              </w:rPr>
              <w:t>desc</w:t>
            </w:r>
            <w:r w:rsidRPr="00E07CB1">
              <w:rPr>
                <w:sz w:val="24"/>
                <w:szCs w:val="24"/>
              </w:rPr>
              <w:t xml:space="preserve">="Circuit Breaker" </w:t>
            </w:r>
            <w:r w:rsidRPr="00E07CB1">
              <w:rPr>
                <w:color w:val="FF0000"/>
                <w:sz w:val="24"/>
                <w:szCs w:val="24"/>
              </w:rPr>
              <w:t>type</w:t>
            </w:r>
            <w:r w:rsidRPr="00E07CB1">
              <w:rPr>
                <w:sz w:val="24"/>
                <w:szCs w:val="24"/>
              </w:rPr>
              <w:t xml:space="preserve">="CBR" </w:t>
            </w:r>
            <w:r w:rsidRPr="00E07CB1">
              <w:rPr>
                <w:color w:val="FF0000"/>
                <w:sz w:val="24"/>
                <w:szCs w:val="24"/>
              </w:rPr>
              <w:t>sxy:x</w:t>
            </w:r>
            <w:r w:rsidRPr="00E07CB1">
              <w:rPr>
                <w:sz w:val="24"/>
                <w:szCs w:val="24"/>
              </w:rPr>
              <w:t xml:space="preserve">="8" </w:t>
            </w:r>
            <w:r w:rsidRPr="00E07CB1">
              <w:rPr>
                <w:color w:val="FF0000"/>
                <w:sz w:val="24"/>
                <w:szCs w:val="24"/>
              </w:rPr>
              <w:t>sxy:y</w:t>
            </w:r>
            <w:r w:rsidRPr="00E07CB1">
              <w:rPr>
                <w:sz w:val="24"/>
                <w:szCs w:val="24"/>
              </w:rPr>
              <w:t xml:space="preserve">="11"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before="1"/>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 xml:space="preserve">name="AA1D1Q1N3"   connectivityNode="AA1/D1/Q1/N3"   substationName="AA1"   voltageLevelName="D1" </w:t>
            </w:r>
            <w:r w:rsidRPr="00E07CB1">
              <w:rPr>
                <w:spacing w:val="25"/>
                <w:sz w:val="24"/>
                <w:szCs w:val="24"/>
              </w:rPr>
              <w:t xml:space="preserve"> </w:t>
            </w:r>
            <w:r w:rsidRPr="00E07CB1">
              <w:rPr>
                <w:spacing w:val="6"/>
                <w:sz w:val="24"/>
                <w:szCs w:val="24"/>
              </w:rPr>
              <w:t>bayName="Q1"</w:t>
            </w:r>
          </w:p>
          <w:p w:rsidR="00474E8E" w:rsidRPr="00E07CB1" w:rsidRDefault="00474E8E" w:rsidP="00474E8E">
            <w:pPr>
              <w:pStyle w:val="BodyText"/>
              <w:rPr>
                <w:sz w:val="24"/>
                <w:szCs w:val="24"/>
              </w:rPr>
            </w:pPr>
          </w:p>
          <w:p w:rsidR="00474E8E" w:rsidRPr="00E07CB1" w:rsidRDefault="00474E8E" w:rsidP="00474E8E">
            <w:pPr>
              <w:pStyle w:val="BodyText"/>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 xml:space="preserve">name="AA1D1Q1N5"   connectivityNode="AA1/D1/Q1/N5"   substationName="AA1"   voltageLevelName="D1" </w:t>
            </w:r>
            <w:r w:rsidRPr="00E07CB1">
              <w:rPr>
                <w:spacing w:val="25"/>
                <w:sz w:val="24"/>
                <w:szCs w:val="24"/>
              </w:rPr>
              <w:t xml:space="preserve"> </w:t>
            </w:r>
            <w:r w:rsidRPr="00E07CB1">
              <w:rPr>
                <w:spacing w:val="6"/>
                <w:sz w:val="24"/>
                <w:szCs w:val="24"/>
              </w:rPr>
              <w:t>bayName="Q1"</w:t>
            </w:r>
          </w:p>
          <w:p w:rsidR="00474E8E" w:rsidRPr="00E07CB1" w:rsidRDefault="00474E8E" w:rsidP="00474E8E">
            <w:pPr>
              <w:pStyle w:val="BodyText"/>
              <w:spacing w:before="11"/>
              <w:rPr>
                <w:sz w:val="24"/>
                <w:szCs w:val="24"/>
              </w:rPr>
            </w:pPr>
          </w:p>
          <w:p w:rsidR="00474E8E" w:rsidRPr="00E07CB1" w:rsidRDefault="00474E8E" w:rsidP="00474E8E">
            <w:pPr>
              <w:pStyle w:val="BodyTex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spacing w:before="1"/>
              <w:ind w:left="111"/>
              <w:rPr>
                <w:rFonts w:ascii="Symbol" w:hAnsi="Symbol"/>
                <w:sz w:val="24"/>
                <w:szCs w:val="24"/>
              </w:rPr>
            </w:pPr>
            <w:r w:rsidRPr="00E07CB1">
              <w:rPr>
                <w:rFonts w:ascii="Symbol" w:hAnsi="Symbol"/>
                <w:sz w:val="24"/>
                <w:szCs w:val="24"/>
              </w:rPr>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="BI2" </w:t>
            </w:r>
            <w:r w:rsidRPr="00E07CB1">
              <w:rPr>
                <w:color w:val="FF0000"/>
                <w:sz w:val="24"/>
                <w:szCs w:val="24"/>
              </w:rPr>
              <w:t>desc</w:t>
            </w:r>
            <w:r w:rsidRPr="00E07CB1">
              <w:rPr>
                <w:sz w:val="24"/>
                <w:szCs w:val="24"/>
              </w:rPr>
              <w:t xml:space="preserve">="Current Transformer" </w:t>
            </w:r>
            <w:r w:rsidRPr="00E07CB1">
              <w:rPr>
                <w:color w:val="FF0000"/>
                <w:sz w:val="24"/>
                <w:szCs w:val="24"/>
              </w:rPr>
              <w:t>type</w:t>
            </w:r>
            <w:r w:rsidRPr="00E07CB1">
              <w:rPr>
                <w:sz w:val="24"/>
                <w:szCs w:val="24"/>
              </w:rPr>
              <w:t xml:space="preserve">="CTR" </w:t>
            </w:r>
            <w:r w:rsidRPr="00E07CB1">
              <w:rPr>
                <w:color w:val="FF0000"/>
                <w:sz w:val="24"/>
                <w:szCs w:val="24"/>
              </w:rPr>
              <w:t>sxy:x</w:t>
            </w:r>
            <w:r w:rsidRPr="00E07CB1">
              <w:rPr>
                <w:sz w:val="24"/>
                <w:szCs w:val="24"/>
              </w:rPr>
              <w:t xml:space="preserve">="8" </w:t>
            </w:r>
            <w:r w:rsidRPr="00E07CB1">
              <w:rPr>
                <w:color w:val="FF0000"/>
                <w:sz w:val="24"/>
                <w:szCs w:val="24"/>
              </w:rPr>
              <w:t>sxy:y</w:t>
            </w:r>
            <w:r w:rsidRPr="00E07CB1">
              <w:rPr>
                <w:sz w:val="24"/>
                <w:szCs w:val="24"/>
              </w:rPr>
              <w:t xml:space="preserve">="17"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before="1"/>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 xml:space="preserve">name="AA1D1Q1N2"   connectivityNode="AA1/D1/Q1/N2"   substationName="AA1"   voltageLevelName="D1" </w:t>
            </w:r>
            <w:r w:rsidRPr="00E07CB1">
              <w:rPr>
                <w:spacing w:val="25"/>
                <w:sz w:val="24"/>
                <w:szCs w:val="24"/>
              </w:rPr>
              <w:t xml:space="preserve"> </w:t>
            </w:r>
            <w:r w:rsidRPr="00E07CB1">
              <w:rPr>
                <w:spacing w:val="6"/>
                <w:sz w:val="24"/>
                <w:szCs w:val="24"/>
              </w:rPr>
              <w:t>bayName="Q1"</w:t>
            </w:r>
          </w:p>
          <w:p w:rsidR="00474E8E" w:rsidRPr="00E07CB1" w:rsidRDefault="00474E8E" w:rsidP="00474E8E">
            <w:pPr>
              <w:pStyle w:val="BodyText"/>
              <w:spacing w:before="11"/>
              <w:rPr>
                <w:sz w:val="24"/>
                <w:szCs w:val="24"/>
              </w:rPr>
            </w:pPr>
          </w:p>
          <w:p w:rsidR="00474E8E" w:rsidRPr="00E07CB1" w:rsidRDefault="00474E8E" w:rsidP="00474E8E">
            <w:pPr>
              <w:pStyle w:val="BodyText"/>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 xml:space="preserve">name="AA1D1Q1N4"   connectivityNode="AA1/D1/Q1/N4"   substationName="AA1"   voltageLevelName="D1" </w:t>
            </w:r>
            <w:r w:rsidRPr="00E07CB1">
              <w:rPr>
                <w:spacing w:val="25"/>
                <w:sz w:val="24"/>
                <w:szCs w:val="24"/>
              </w:rPr>
              <w:t xml:space="preserve"> </w:t>
            </w:r>
            <w:r w:rsidRPr="00E07CB1">
              <w:rPr>
                <w:spacing w:val="6"/>
                <w:sz w:val="24"/>
                <w:szCs w:val="24"/>
              </w:rPr>
              <w:t>bayName="Q1"</w:t>
            </w:r>
          </w:p>
          <w:p w:rsidR="00474E8E" w:rsidRPr="00E07CB1" w:rsidRDefault="00474E8E" w:rsidP="00474E8E">
            <w:pPr>
              <w:pStyle w:val="BodyText"/>
              <w:spacing w:before="11"/>
              <w:rPr>
                <w:sz w:val="24"/>
                <w:szCs w:val="24"/>
              </w:rPr>
            </w:pPr>
          </w:p>
          <w:p w:rsidR="00474E8E" w:rsidRPr="00E07CB1" w:rsidRDefault="00474E8E" w:rsidP="00474E8E">
            <w:pPr>
              <w:pStyle w:val="BodyTex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spacing w:before="1"/>
              <w:ind w:left="111"/>
              <w:rPr>
                <w:rFonts w:ascii="Symbol" w:hAnsi="Symbol"/>
                <w:sz w:val="24"/>
                <w:szCs w:val="24"/>
              </w:rPr>
            </w:pPr>
            <w:r w:rsidRPr="00E07CB1">
              <w:rPr>
                <w:rFonts w:ascii="Symbol" w:hAnsi="Symbol"/>
                <w:sz w:val="24"/>
                <w:szCs w:val="24"/>
              </w:rPr>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="QB1" </w:t>
            </w:r>
            <w:r w:rsidRPr="00E07CB1">
              <w:rPr>
                <w:color w:val="FF0000"/>
                <w:sz w:val="24"/>
                <w:szCs w:val="24"/>
              </w:rPr>
              <w:t>desc</w:t>
            </w:r>
            <w:r w:rsidRPr="00E07CB1">
              <w:rPr>
                <w:sz w:val="24"/>
                <w:szCs w:val="24"/>
              </w:rPr>
              <w:t xml:space="preserve">="Isolator" </w:t>
            </w:r>
            <w:r w:rsidRPr="00E07CB1">
              <w:rPr>
                <w:color w:val="FF0000"/>
                <w:sz w:val="24"/>
                <w:szCs w:val="24"/>
              </w:rPr>
              <w:t>type</w:t>
            </w:r>
            <w:r w:rsidRPr="00E07CB1">
              <w:rPr>
                <w:sz w:val="24"/>
                <w:szCs w:val="24"/>
              </w:rPr>
              <w:t xml:space="preserve">="DIS" </w:t>
            </w:r>
            <w:r w:rsidRPr="00E07CB1">
              <w:rPr>
                <w:color w:val="FF0000"/>
                <w:sz w:val="24"/>
                <w:szCs w:val="24"/>
              </w:rPr>
              <w:t>sxy:x</w:t>
            </w:r>
            <w:r w:rsidRPr="00E07CB1">
              <w:rPr>
                <w:sz w:val="24"/>
                <w:szCs w:val="24"/>
              </w:rPr>
              <w:t xml:space="preserve">="6" </w:t>
            </w:r>
            <w:r w:rsidRPr="00E07CB1">
              <w:rPr>
                <w:color w:val="FF0000"/>
                <w:sz w:val="24"/>
                <w:szCs w:val="24"/>
              </w:rPr>
              <w:t>sxy:y</w:t>
            </w:r>
            <w:r w:rsidRPr="00E07CB1">
              <w:rPr>
                <w:sz w:val="24"/>
                <w:szCs w:val="24"/>
              </w:rPr>
              <w:t xml:space="preserve">="4"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before="1"/>
              <w:ind w:left="832"/>
              <w:rPr>
                <w:sz w:val="24"/>
                <w:szCs w:val="24"/>
              </w:rPr>
            </w:pPr>
            <w:r w:rsidRPr="00E07CB1">
              <w:rPr>
                <w:rFonts w:ascii="Symbol" w:hAnsi="Symbol"/>
                <w:sz w:val="24"/>
                <w:szCs w:val="24"/>
              </w:rPr>
              <w:t></w:t>
            </w:r>
            <w:r w:rsidRPr="00E07CB1">
              <w:rPr>
                <w:color w:val="800000"/>
                <w:sz w:val="24"/>
                <w:szCs w:val="24"/>
              </w:rPr>
              <w:t xml:space="preserve">Terminal </w:t>
            </w:r>
            <w:r w:rsidRPr="00E07CB1">
              <w:rPr>
                <w:sz w:val="24"/>
                <w:szCs w:val="24"/>
              </w:rPr>
              <w:t>name="AA1D1Q1N5" connectivityNode="AA1/D1/Q1/N5" substationName="AA1" voltageLevelName="D1" bayName="Q1"</w:t>
            </w:r>
          </w:p>
          <w:p w:rsidR="00474E8E" w:rsidRPr="00E07CB1" w:rsidRDefault="00474E8E" w:rsidP="00474E8E">
            <w:pPr>
              <w:pStyle w:val="BodyText"/>
              <w:spacing w:before="11"/>
              <w:rPr>
                <w:sz w:val="24"/>
                <w:szCs w:val="24"/>
              </w:rPr>
            </w:pPr>
          </w:p>
          <w:p w:rsidR="00474E8E" w:rsidRPr="00E07CB1" w:rsidRDefault="00474E8E" w:rsidP="00474E8E">
            <w:pPr>
              <w:pStyle w:val="BodyText"/>
              <w:tabs>
                <w:tab w:val="left" w:pos="1991"/>
                <w:tab w:val="left" w:pos="4162"/>
                <w:tab w:val="left" w:pos="7404"/>
                <w:tab w:val="left" w:pos="9613"/>
              </w:tabs>
              <w:ind w:left="832"/>
              <w:rPr>
                <w:sz w:val="24"/>
                <w:szCs w:val="24"/>
              </w:rPr>
            </w:pPr>
            <w:r w:rsidRPr="00E07CB1">
              <w:rPr>
                <w:rFonts w:ascii="Symbol" w:hAnsi="Symbol"/>
                <w:spacing w:val="6"/>
                <w:sz w:val="24"/>
                <w:szCs w:val="24"/>
              </w:rPr>
              <w:t></w:t>
            </w:r>
            <w:r w:rsidRPr="00E07CB1">
              <w:rPr>
                <w:color w:val="800000"/>
                <w:spacing w:val="6"/>
                <w:sz w:val="24"/>
                <w:szCs w:val="24"/>
              </w:rPr>
              <w:t>Terminal</w:t>
            </w:r>
            <w:r w:rsidRPr="00E07CB1">
              <w:rPr>
                <w:color w:val="800000"/>
                <w:spacing w:val="6"/>
                <w:sz w:val="24"/>
                <w:szCs w:val="24"/>
              </w:rPr>
              <w:tab/>
            </w:r>
            <w:r w:rsidRPr="00E07CB1">
              <w:rPr>
                <w:spacing w:val="6"/>
                <w:sz w:val="24"/>
                <w:szCs w:val="24"/>
              </w:rPr>
              <w:t>name="AA1D1QBBN1"</w:t>
            </w:r>
            <w:r w:rsidRPr="00E07CB1">
              <w:rPr>
                <w:spacing w:val="6"/>
                <w:sz w:val="24"/>
                <w:szCs w:val="24"/>
              </w:rPr>
              <w:tab/>
              <w:t>connectivityNode="AA1/D1/QBB/N1"</w:t>
            </w:r>
            <w:r w:rsidRPr="00E07CB1">
              <w:rPr>
                <w:spacing w:val="6"/>
                <w:sz w:val="24"/>
                <w:szCs w:val="24"/>
              </w:rPr>
              <w:tab/>
              <w:t>substationName="AA1"</w:t>
            </w:r>
            <w:r w:rsidRPr="00E07CB1">
              <w:rPr>
                <w:spacing w:val="6"/>
                <w:sz w:val="24"/>
                <w:szCs w:val="24"/>
              </w:rPr>
              <w:tab/>
              <w:t>voltageLevelName="D1"</w:t>
            </w:r>
          </w:p>
          <w:p w:rsidR="00474E8E" w:rsidRPr="00E07CB1" w:rsidRDefault="00474E8E" w:rsidP="00474E8E">
            <w:pPr>
              <w:pStyle w:val="BodyText"/>
              <w:spacing w:line="195" w:lineRule="exact"/>
              <w:ind w:left="2992"/>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ind w:left="2992"/>
              <w:rPr>
                <w:rFonts w:ascii="Symbol" w:hAnsi="Symbol"/>
                <w:sz w:val="24"/>
                <w:szCs w:val="24"/>
              </w:rPr>
            </w:pPr>
            <w:r w:rsidRPr="00E07CB1">
              <w:rPr>
                <w:rFonts w:ascii="Symbol" w:hAnsi="Symbol"/>
                <w:sz w:val="24"/>
                <w:szCs w:val="24"/>
              </w:rPr>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="QB4" </w:t>
            </w:r>
            <w:r w:rsidRPr="00E07CB1">
              <w:rPr>
                <w:color w:val="FF0000"/>
                <w:sz w:val="24"/>
                <w:szCs w:val="24"/>
              </w:rPr>
              <w:t>desc</w:t>
            </w:r>
            <w:r w:rsidRPr="00E07CB1">
              <w:rPr>
                <w:sz w:val="24"/>
                <w:szCs w:val="24"/>
              </w:rPr>
              <w:t xml:space="preserve">="Isolator" </w:t>
            </w:r>
            <w:r w:rsidRPr="00E07CB1">
              <w:rPr>
                <w:color w:val="FF0000"/>
                <w:sz w:val="24"/>
                <w:szCs w:val="24"/>
              </w:rPr>
              <w:t>type</w:t>
            </w:r>
            <w:r w:rsidRPr="00E07CB1">
              <w:rPr>
                <w:sz w:val="24"/>
                <w:szCs w:val="24"/>
              </w:rPr>
              <w:t xml:space="preserve">="DIS" </w:t>
            </w:r>
            <w:r w:rsidRPr="00E07CB1">
              <w:rPr>
                <w:color w:val="FF0000"/>
                <w:sz w:val="24"/>
                <w:szCs w:val="24"/>
              </w:rPr>
              <w:t>sxy:x</w:t>
            </w:r>
            <w:r w:rsidRPr="00E07CB1">
              <w:rPr>
                <w:sz w:val="24"/>
                <w:szCs w:val="24"/>
              </w:rPr>
              <w:t xml:space="preserve">="8" </w:t>
            </w:r>
            <w:r w:rsidRPr="00E07CB1">
              <w:rPr>
                <w:color w:val="FF0000"/>
                <w:sz w:val="24"/>
                <w:szCs w:val="24"/>
              </w:rPr>
              <w:t>sxy:y</w:t>
            </w:r>
            <w:r w:rsidRPr="00E07CB1">
              <w:rPr>
                <w:sz w:val="24"/>
                <w:szCs w:val="24"/>
              </w:rPr>
              <w:t xml:space="preserve">="23"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before="1" w:line="194" w:lineRule="exact"/>
              <w:ind w:left="3712"/>
              <w:rPr>
                <w:sz w:val="24"/>
                <w:szCs w:val="24"/>
              </w:rPr>
            </w:pPr>
            <w:r w:rsidRPr="00E07CB1">
              <w:rPr>
                <w:rFonts w:ascii="Symbol" w:hAnsi="Symbol"/>
                <w:sz w:val="24"/>
                <w:szCs w:val="24"/>
              </w:rPr>
              <w:t></w:t>
            </w:r>
            <w:r w:rsidRPr="00E07CB1">
              <w:rPr>
                <w:color w:val="800000"/>
                <w:sz w:val="24"/>
                <w:szCs w:val="24"/>
              </w:rPr>
              <w:t xml:space="preserve">Terminal </w:t>
            </w:r>
            <w:r w:rsidRPr="00E07CB1">
              <w:rPr>
                <w:sz w:val="24"/>
                <w:szCs w:val="24"/>
              </w:rPr>
              <w:t>name="AA1D1Q1N1" connectivityNode="AA1/D1/Q1/N1" substationName="AA1" voltageLevelName="D1" bayName="Q1"</w:t>
            </w:r>
          </w:p>
          <w:p w:rsidR="00474E8E" w:rsidRPr="00E07CB1" w:rsidRDefault="00474E8E" w:rsidP="00474E8E">
            <w:pPr>
              <w:pStyle w:val="BodyText"/>
              <w:ind w:left="832"/>
              <w:rPr>
                <w:sz w:val="24"/>
                <w:szCs w:val="24"/>
              </w:rPr>
            </w:pPr>
            <w:r w:rsidRPr="00E07CB1">
              <w:rPr>
                <w:rFonts w:ascii="Symbol" w:hAnsi="Symbol"/>
                <w:sz w:val="24"/>
                <w:szCs w:val="24"/>
              </w:rPr>
              <w:t></w:t>
            </w:r>
            <w:r w:rsidRPr="00E07CB1">
              <w:rPr>
                <w:color w:val="800000"/>
                <w:sz w:val="24"/>
                <w:szCs w:val="24"/>
              </w:rPr>
              <w:t xml:space="preserve">Terminal </w:t>
            </w:r>
            <w:r w:rsidRPr="00E07CB1">
              <w:rPr>
                <w:sz w:val="24"/>
                <w:szCs w:val="24"/>
              </w:rPr>
              <w:t>name="AA1D1Q1N6" connectivityNode="AA1/D1/Q1/N6" substationName="AA1" voltageLevelName="D1" bayName="Q1"</w:t>
            </w:r>
          </w:p>
          <w:p w:rsidR="00474E8E" w:rsidRPr="00E07CB1" w:rsidRDefault="00474E8E" w:rsidP="00474E8E">
            <w:pPr>
              <w:pStyle w:val="BodyTex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spacing w:before="1"/>
              <w:ind w:left="111"/>
              <w:rPr>
                <w:rFonts w:ascii="Symbol" w:hAnsi="Symbol"/>
                <w:sz w:val="24"/>
                <w:szCs w:val="24"/>
              </w:rPr>
            </w:pPr>
            <w:r w:rsidRPr="00E07CB1">
              <w:rPr>
                <w:rFonts w:ascii="Symbol" w:hAnsi="Symbol"/>
                <w:sz w:val="24"/>
                <w:szCs w:val="24"/>
              </w:rPr>
              <w:t></w:t>
            </w:r>
            <w:r w:rsidRPr="00E07CB1">
              <w:rPr>
                <w:color w:val="800000"/>
                <w:sz w:val="24"/>
                <w:szCs w:val="24"/>
              </w:rPr>
              <w:t xml:space="preserve">ConductingEquipment </w:t>
            </w:r>
            <w:r w:rsidRPr="00E07CB1">
              <w:rPr>
                <w:color w:val="FF0000"/>
                <w:sz w:val="24"/>
                <w:szCs w:val="24"/>
              </w:rPr>
              <w:t>name</w:t>
            </w:r>
            <w:r w:rsidRPr="00E07CB1">
              <w:rPr>
                <w:sz w:val="24"/>
                <w:szCs w:val="24"/>
              </w:rPr>
              <w:t xml:space="preserve">="QC3" </w:t>
            </w:r>
            <w:r w:rsidRPr="00E07CB1">
              <w:rPr>
                <w:color w:val="FF0000"/>
                <w:sz w:val="24"/>
                <w:szCs w:val="24"/>
              </w:rPr>
              <w:t>desc</w:t>
            </w:r>
            <w:r w:rsidRPr="00E07CB1">
              <w:rPr>
                <w:sz w:val="24"/>
                <w:szCs w:val="24"/>
              </w:rPr>
              <w:t xml:space="preserve">="Isolator" </w:t>
            </w:r>
            <w:r w:rsidRPr="00E07CB1">
              <w:rPr>
                <w:color w:val="FF0000"/>
                <w:sz w:val="24"/>
                <w:szCs w:val="24"/>
              </w:rPr>
              <w:t>type</w:t>
            </w:r>
            <w:r w:rsidRPr="00E07CB1">
              <w:rPr>
                <w:sz w:val="24"/>
                <w:szCs w:val="24"/>
              </w:rPr>
              <w:t xml:space="preserve">="DIS" </w:t>
            </w:r>
            <w:r w:rsidRPr="00E07CB1">
              <w:rPr>
                <w:color w:val="FF0000"/>
                <w:sz w:val="24"/>
                <w:szCs w:val="24"/>
              </w:rPr>
              <w:t>sxy:x</w:t>
            </w:r>
            <w:r w:rsidRPr="00E07CB1">
              <w:rPr>
                <w:sz w:val="24"/>
                <w:szCs w:val="24"/>
              </w:rPr>
              <w:t xml:space="preserve">="10" </w:t>
            </w:r>
            <w:r w:rsidRPr="00E07CB1">
              <w:rPr>
                <w:color w:val="FF0000"/>
                <w:sz w:val="24"/>
                <w:szCs w:val="24"/>
              </w:rPr>
              <w:t>sxy:y</w:t>
            </w:r>
            <w:r w:rsidRPr="00E07CB1">
              <w:rPr>
                <w:sz w:val="24"/>
                <w:szCs w:val="24"/>
              </w:rPr>
              <w:t xml:space="preserve">="35"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before="1"/>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 xml:space="preserve">name="AA1D1Q1N1"   connectivityNode="AA1/D1/Q1/N1"   substationName="AA1"   voltageLevelName="D1" </w:t>
            </w:r>
            <w:r w:rsidRPr="00E07CB1">
              <w:rPr>
                <w:spacing w:val="25"/>
                <w:sz w:val="24"/>
                <w:szCs w:val="24"/>
              </w:rPr>
              <w:t xml:space="preserve"> </w:t>
            </w:r>
            <w:r w:rsidRPr="00E07CB1">
              <w:rPr>
                <w:spacing w:val="6"/>
                <w:sz w:val="24"/>
                <w:szCs w:val="24"/>
              </w:rPr>
              <w:t>bayName="Q1"</w:t>
            </w:r>
          </w:p>
          <w:p w:rsidR="00474E8E" w:rsidRPr="00E07CB1" w:rsidRDefault="00474E8E" w:rsidP="00474E8E">
            <w:pPr>
              <w:pStyle w:val="BodyText"/>
              <w:ind w:left="832"/>
              <w:rPr>
                <w:sz w:val="24"/>
                <w:szCs w:val="24"/>
              </w:rPr>
            </w:pPr>
            <w:r w:rsidRPr="00E07CB1">
              <w:rPr>
                <w:rFonts w:ascii="Symbol" w:hAnsi="Symbol"/>
                <w:spacing w:val="6"/>
                <w:sz w:val="24"/>
                <w:szCs w:val="24"/>
              </w:rPr>
              <w:t></w:t>
            </w:r>
            <w:r w:rsidRPr="00E07CB1">
              <w:rPr>
                <w:color w:val="800000"/>
                <w:spacing w:val="6"/>
                <w:sz w:val="24"/>
                <w:szCs w:val="24"/>
              </w:rPr>
              <w:t xml:space="preserve">Terminal  </w:t>
            </w:r>
            <w:r w:rsidRPr="00E07CB1">
              <w:rPr>
                <w:spacing w:val="6"/>
                <w:sz w:val="24"/>
                <w:szCs w:val="24"/>
              </w:rPr>
              <w:t>name="grounded"  connectivityNode="AA1/D1/Q1/grounded"  substationName="AA1"  voltageLevelName="D1"</w:t>
            </w:r>
            <w:r w:rsidRPr="00E07CB1">
              <w:rPr>
                <w:spacing w:val="22"/>
                <w:sz w:val="24"/>
                <w:szCs w:val="24"/>
              </w:rPr>
              <w:t xml:space="preserve"> </w:t>
            </w:r>
            <w:r w:rsidRPr="00E07CB1">
              <w:rPr>
                <w:spacing w:val="6"/>
                <w:sz w:val="24"/>
                <w:szCs w:val="24"/>
              </w:rPr>
              <w:t>bayName="Q1"</w:t>
            </w:r>
          </w:p>
          <w:p w:rsidR="00474E8E" w:rsidRPr="00E07CB1" w:rsidRDefault="00474E8E" w:rsidP="00474E8E">
            <w:pPr>
              <w:pStyle w:val="BodyText"/>
              <w:ind w:left="111"/>
              <w:rPr>
                <w:rFonts w:ascii="Symbol" w:hAnsi="Symbol"/>
                <w:sz w:val="24"/>
                <w:szCs w:val="24"/>
              </w:rPr>
            </w:pPr>
            <w:r w:rsidRPr="00E07CB1">
              <w:rPr>
                <w:rFonts w:ascii="Symbol" w:hAnsi="Symbol"/>
                <w:sz w:val="24"/>
                <w:szCs w:val="24"/>
              </w:rPr>
              <w:t></w:t>
            </w:r>
            <w:r w:rsidRPr="00E07CB1">
              <w:rPr>
                <w:sz w:val="24"/>
                <w:szCs w:val="24"/>
              </w:rPr>
              <w:t>/ConductingEquipment</w:t>
            </w:r>
            <w:r w:rsidRPr="00E07CB1">
              <w:rPr>
                <w:rFonts w:ascii="Symbol" w:hAnsi="Symbol"/>
                <w:sz w:val="24"/>
                <w:szCs w:val="24"/>
              </w:rPr>
              <w:t></w:t>
            </w:r>
          </w:p>
          <w:p w:rsidR="00474E8E" w:rsidRPr="00E07CB1" w:rsidRDefault="00474E8E" w:rsidP="00474E8E">
            <w:pPr>
              <w:pStyle w:val="BodyText"/>
              <w:spacing w:before="1"/>
              <w:ind w:left="111"/>
              <w:rPr>
                <w:rFonts w:ascii="Symbol" w:hAnsi="Symbol"/>
                <w:sz w:val="24"/>
                <w:szCs w:val="24"/>
              </w:rPr>
            </w:pPr>
            <w:r w:rsidRPr="00E07CB1">
              <w:rPr>
                <w:rFonts w:ascii="Symbol" w:hAnsi="Symbol"/>
                <w:spacing w:val="6"/>
                <w:sz w:val="24"/>
                <w:szCs w:val="24"/>
              </w:rPr>
              <w:t></w:t>
            </w:r>
            <w:r w:rsidRPr="00E07CB1">
              <w:rPr>
                <w:color w:val="800000"/>
                <w:spacing w:val="6"/>
                <w:sz w:val="24"/>
                <w:szCs w:val="24"/>
              </w:rPr>
              <w:t xml:space="preserve">ConnectivityNode </w:t>
            </w:r>
            <w:r w:rsidRPr="00E07CB1">
              <w:rPr>
                <w:color w:val="FF0000"/>
                <w:spacing w:val="6"/>
                <w:sz w:val="24"/>
                <w:szCs w:val="24"/>
              </w:rPr>
              <w:t>name</w:t>
            </w:r>
            <w:r w:rsidRPr="00E07CB1">
              <w:rPr>
                <w:spacing w:val="6"/>
                <w:sz w:val="24"/>
                <w:szCs w:val="24"/>
              </w:rPr>
              <w:t xml:space="preserve">="N1"  </w:t>
            </w:r>
            <w:r w:rsidRPr="00E07CB1">
              <w:rPr>
                <w:color w:val="FF0000"/>
                <w:spacing w:val="6"/>
                <w:sz w:val="24"/>
                <w:szCs w:val="24"/>
              </w:rPr>
              <w:t>pathName</w:t>
            </w:r>
            <w:r w:rsidRPr="00E07CB1">
              <w:rPr>
                <w:spacing w:val="6"/>
                <w:sz w:val="24"/>
                <w:szCs w:val="24"/>
              </w:rPr>
              <w:t xml:space="preserve">="AA1/D1/Q1/N1"  </w:t>
            </w:r>
            <w:r w:rsidRPr="00E07CB1">
              <w:rPr>
                <w:color w:val="FF0000"/>
                <w:spacing w:val="6"/>
                <w:sz w:val="24"/>
                <w:szCs w:val="24"/>
              </w:rPr>
              <w:t>sxy:x</w:t>
            </w:r>
            <w:r w:rsidRPr="00E07CB1">
              <w:rPr>
                <w:spacing w:val="6"/>
                <w:sz w:val="24"/>
                <w:szCs w:val="24"/>
              </w:rPr>
              <w:t>="8"</w:t>
            </w:r>
            <w:r w:rsidRPr="00E07CB1">
              <w:rPr>
                <w:spacing w:val="8"/>
                <w:sz w:val="24"/>
                <w:szCs w:val="24"/>
              </w:rPr>
              <w:t xml:space="preserve"> </w:t>
            </w:r>
            <w:r w:rsidRPr="00E07CB1">
              <w:rPr>
                <w:color w:val="FF0000"/>
                <w:spacing w:val="6"/>
                <w:sz w:val="24"/>
                <w:szCs w:val="24"/>
              </w:rPr>
              <w:t>sxy:y</w:t>
            </w:r>
            <w:r w:rsidRPr="00E07CB1">
              <w:rPr>
                <w:spacing w:val="6"/>
                <w:sz w:val="24"/>
                <w:szCs w:val="24"/>
              </w:rPr>
              <w:t>="31"/</w:t>
            </w:r>
            <w:r w:rsidRPr="00E07CB1">
              <w:rPr>
                <w:rFonts w:ascii="Symbol" w:hAnsi="Symbol"/>
                <w:spacing w:val="6"/>
                <w:sz w:val="24"/>
                <w:szCs w:val="24"/>
              </w:rPr>
              <w:t></w:t>
            </w:r>
          </w:p>
          <w:p w:rsidR="00474E8E" w:rsidRPr="00E07CB1" w:rsidRDefault="00474E8E" w:rsidP="00474E8E">
            <w:pPr>
              <w:pStyle w:val="BodyText"/>
              <w:spacing w:before="1" w:line="195" w:lineRule="exact"/>
              <w:ind w:left="111"/>
              <w:rPr>
                <w:rFonts w:ascii="Symbol" w:hAnsi="Symbol"/>
                <w:sz w:val="24"/>
                <w:szCs w:val="24"/>
              </w:rPr>
            </w:pPr>
            <w:r w:rsidRPr="00E07CB1">
              <w:rPr>
                <w:rFonts w:ascii="Symbol" w:hAnsi="Symbol"/>
                <w:spacing w:val="6"/>
                <w:sz w:val="24"/>
                <w:szCs w:val="24"/>
              </w:rPr>
              <w:t></w:t>
            </w:r>
            <w:r w:rsidRPr="00E07CB1">
              <w:rPr>
                <w:color w:val="800000"/>
                <w:spacing w:val="6"/>
                <w:sz w:val="24"/>
                <w:szCs w:val="24"/>
              </w:rPr>
              <w:t xml:space="preserve">ConnectivityNode </w:t>
            </w:r>
            <w:r w:rsidRPr="00E07CB1">
              <w:rPr>
                <w:color w:val="FF0000"/>
                <w:spacing w:val="6"/>
                <w:sz w:val="24"/>
                <w:szCs w:val="24"/>
              </w:rPr>
              <w:t>name</w:t>
            </w:r>
            <w:r w:rsidRPr="00E07CB1">
              <w:rPr>
                <w:spacing w:val="6"/>
                <w:sz w:val="24"/>
                <w:szCs w:val="24"/>
              </w:rPr>
              <w:t xml:space="preserve">="N2"  </w:t>
            </w:r>
            <w:r w:rsidRPr="00E07CB1">
              <w:rPr>
                <w:color w:val="FF0000"/>
                <w:spacing w:val="6"/>
                <w:sz w:val="24"/>
                <w:szCs w:val="24"/>
              </w:rPr>
              <w:t>pathName</w:t>
            </w:r>
            <w:r w:rsidRPr="00E07CB1">
              <w:rPr>
                <w:spacing w:val="6"/>
                <w:sz w:val="24"/>
                <w:szCs w:val="24"/>
              </w:rPr>
              <w:t xml:space="preserve">="AA1/D1/Q1/N2"  </w:t>
            </w:r>
            <w:r w:rsidRPr="00E07CB1">
              <w:rPr>
                <w:color w:val="FF0000"/>
                <w:spacing w:val="6"/>
                <w:sz w:val="24"/>
                <w:szCs w:val="24"/>
              </w:rPr>
              <w:t>sxy:x</w:t>
            </w:r>
            <w:r w:rsidRPr="00E07CB1">
              <w:rPr>
                <w:spacing w:val="6"/>
                <w:sz w:val="24"/>
                <w:szCs w:val="24"/>
              </w:rPr>
              <w:t>="8"</w:t>
            </w:r>
            <w:r w:rsidRPr="00E07CB1">
              <w:rPr>
                <w:spacing w:val="7"/>
                <w:sz w:val="24"/>
                <w:szCs w:val="24"/>
              </w:rPr>
              <w:t xml:space="preserve"> </w:t>
            </w:r>
            <w:r w:rsidRPr="00E07CB1">
              <w:rPr>
                <w:color w:val="FF0000"/>
                <w:spacing w:val="6"/>
                <w:sz w:val="24"/>
                <w:szCs w:val="24"/>
              </w:rPr>
              <w:t>sxy:y</w:t>
            </w:r>
            <w:r w:rsidRPr="00E07CB1">
              <w:rPr>
                <w:spacing w:val="6"/>
                <w:sz w:val="24"/>
                <w:szCs w:val="24"/>
              </w:rPr>
              <w:t>="16"/</w:t>
            </w:r>
            <w:r w:rsidRPr="00E07CB1">
              <w:rPr>
                <w:rFonts w:ascii="Symbol" w:hAnsi="Symbol"/>
                <w:spacing w:val="6"/>
                <w:sz w:val="24"/>
                <w:szCs w:val="24"/>
              </w:rPr>
              <w:t></w:t>
            </w:r>
          </w:p>
          <w:p w:rsidR="00474E8E" w:rsidRPr="00E07CB1" w:rsidRDefault="00474E8E" w:rsidP="00474E8E">
            <w:pPr>
              <w:pStyle w:val="BodyText"/>
              <w:spacing w:line="195" w:lineRule="exact"/>
              <w:ind w:left="111"/>
              <w:rPr>
                <w:rFonts w:ascii="Symbol" w:hAnsi="Symbol"/>
                <w:sz w:val="24"/>
                <w:szCs w:val="24"/>
              </w:rPr>
            </w:pPr>
            <w:r w:rsidRPr="00E07CB1">
              <w:rPr>
                <w:rFonts w:ascii="Symbol" w:hAnsi="Symbol"/>
                <w:spacing w:val="6"/>
                <w:sz w:val="24"/>
                <w:szCs w:val="24"/>
              </w:rPr>
              <w:t></w:t>
            </w:r>
            <w:r w:rsidRPr="00E07CB1">
              <w:rPr>
                <w:color w:val="800000"/>
                <w:spacing w:val="6"/>
                <w:sz w:val="24"/>
                <w:szCs w:val="24"/>
              </w:rPr>
              <w:t xml:space="preserve">ConnectivityNode </w:t>
            </w:r>
            <w:r w:rsidRPr="00E07CB1">
              <w:rPr>
                <w:color w:val="FF0000"/>
                <w:spacing w:val="6"/>
                <w:sz w:val="24"/>
                <w:szCs w:val="24"/>
              </w:rPr>
              <w:t>name</w:t>
            </w:r>
            <w:r w:rsidRPr="00E07CB1">
              <w:rPr>
                <w:spacing w:val="6"/>
                <w:sz w:val="24"/>
                <w:szCs w:val="24"/>
              </w:rPr>
              <w:t xml:space="preserve">="N3"  </w:t>
            </w:r>
            <w:r w:rsidRPr="00E07CB1">
              <w:rPr>
                <w:color w:val="FF0000"/>
                <w:spacing w:val="6"/>
                <w:sz w:val="24"/>
                <w:szCs w:val="24"/>
              </w:rPr>
              <w:t>pathName</w:t>
            </w:r>
            <w:r w:rsidRPr="00E07CB1">
              <w:rPr>
                <w:spacing w:val="6"/>
                <w:sz w:val="24"/>
                <w:szCs w:val="24"/>
              </w:rPr>
              <w:t xml:space="preserve">="AA1/D1/Q1/N3"  </w:t>
            </w:r>
            <w:r w:rsidRPr="00E07CB1">
              <w:rPr>
                <w:color w:val="FF0000"/>
                <w:spacing w:val="6"/>
                <w:sz w:val="24"/>
                <w:szCs w:val="24"/>
              </w:rPr>
              <w:t>sxy:x</w:t>
            </w:r>
            <w:r w:rsidRPr="00E07CB1">
              <w:rPr>
                <w:spacing w:val="6"/>
                <w:sz w:val="24"/>
                <w:szCs w:val="24"/>
              </w:rPr>
              <w:t>="9"</w:t>
            </w:r>
            <w:r w:rsidRPr="00E07CB1">
              <w:rPr>
                <w:spacing w:val="8"/>
                <w:sz w:val="24"/>
                <w:szCs w:val="24"/>
              </w:rPr>
              <w:t xml:space="preserve"> </w:t>
            </w:r>
            <w:r w:rsidRPr="00E07CB1">
              <w:rPr>
                <w:color w:val="FF0000"/>
                <w:spacing w:val="6"/>
                <w:sz w:val="24"/>
                <w:szCs w:val="24"/>
              </w:rPr>
              <w:t>sxy:y</w:t>
            </w:r>
            <w:r w:rsidRPr="00E07CB1">
              <w:rPr>
                <w:spacing w:val="6"/>
                <w:sz w:val="24"/>
                <w:szCs w:val="24"/>
              </w:rPr>
              <w:t>="13"/</w:t>
            </w:r>
            <w:r w:rsidRPr="00E07CB1">
              <w:rPr>
                <w:rFonts w:ascii="Symbol" w:hAnsi="Symbol"/>
                <w:spacing w:val="6"/>
                <w:sz w:val="24"/>
                <w:szCs w:val="24"/>
              </w:rPr>
              <w:t></w:t>
            </w:r>
          </w:p>
          <w:p w:rsidR="00474E8E" w:rsidRPr="00E07CB1" w:rsidRDefault="00474E8E" w:rsidP="00474E8E">
            <w:pPr>
              <w:pStyle w:val="BodyText"/>
              <w:ind w:left="111"/>
              <w:rPr>
                <w:rFonts w:ascii="Symbol" w:hAnsi="Symbol"/>
                <w:sz w:val="24"/>
                <w:szCs w:val="24"/>
              </w:rPr>
            </w:pPr>
            <w:r w:rsidRPr="00E07CB1">
              <w:rPr>
                <w:rFonts w:ascii="Symbol" w:hAnsi="Symbol"/>
                <w:spacing w:val="6"/>
                <w:sz w:val="24"/>
                <w:szCs w:val="24"/>
              </w:rPr>
              <w:t></w:t>
            </w:r>
            <w:r w:rsidRPr="00E07CB1">
              <w:rPr>
                <w:color w:val="800000"/>
                <w:spacing w:val="6"/>
                <w:sz w:val="24"/>
                <w:szCs w:val="24"/>
              </w:rPr>
              <w:t xml:space="preserve">ConnectivityNode </w:t>
            </w:r>
            <w:r w:rsidRPr="00E07CB1">
              <w:rPr>
                <w:color w:val="FF0000"/>
                <w:spacing w:val="6"/>
                <w:sz w:val="24"/>
                <w:szCs w:val="24"/>
              </w:rPr>
              <w:t>name</w:t>
            </w:r>
            <w:r w:rsidRPr="00E07CB1">
              <w:rPr>
                <w:spacing w:val="6"/>
                <w:sz w:val="24"/>
                <w:szCs w:val="24"/>
              </w:rPr>
              <w:t xml:space="preserve">="N6"  </w:t>
            </w:r>
            <w:r w:rsidRPr="00E07CB1">
              <w:rPr>
                <w:color w:val="FF0000"/>
                <w:spacing w:val="6"/>
                <w:sz w:val="24"/>
                <w:szCs w:val="24"/>
              </w:rPr>
              <w:t>pathName</w:t>
            </w:r>
            <w:r w:rsidRPr="00E07CB1">
              <w:rPr>
                <w:spacing w:val="6"/>
                <w:sz w:val="24"/>
                <w:szCs w:val="24"/>
              </w:rPr>
              <w:t xml:space="preserve">="AA1/D1/Q1/N6"  </w:t>
            </w:r>
            <w:r w:rsidRPr="00E07CB1">
              <w:rPr>
                <w:color w:val="FF0000"/>
                <w:spacing w:val="6"/>
                <w:sz w:val="24"/>
                <w:szCs w:val="24"/>
              </w:rPr>
              <w:t>sxy:x</w:t>
            </w:r>
            <w:r w:rsidRPr="00E07CB1">
              <w:rPr>
                <w:spacing w:val="6"/>
                <w:sz w:val="24"/>
                <w:szCs w:val="24"/>
              </w:rPr>
              <w:t>="8"</w:t>
            </w:r>
            <w:r w:rsidRPr="00E07CB1">
              <w:rPr>
                <w:spacing w:val="8"/>
                <w:sz w:val="24"/>
                <w:szCs w:val="24"/>
              </w:rPr>
              <w:t xml:space="preserve"> </w:t>
            </w:r>
            <w:r w:rsidRPr="00E07CB1">
              <w:rPr>
                <w:color w:val="FF0000"/>
                <w:spacing w:val="6"/>
                <w:sz w:val="24"/>
                <w:szCs w:val="24"/>
              </w:rPr>
              <w:t>sxy:y</w:t>
            </w:r>
            <w:r w:rsidRPr="00E07CB1">
              <w:rPr>
                <w:spacing w:val="6"/>
                <w:sz w:val="24"/>
                <w:szCs w:val="24"/>
              </w:rPr>
              <w:t>="21"/</w:t>
            </w:r>
            <w:r w:rsidRPr="00E07CB1">
              <w:rPr>
                <w:rFonts w:ascii="Symbol" w:hAnsi="Symbol"/>
                <w:spacing w:val="6"/>
                <w:sz w:val="24"/>
                <w:szCs w:val="24"/>
              </w:rPr>
              <w:t></w:t>
            </w:r>
          </w:p>
          <w:p w:rsidR="00474E8E" w:rsidRPr="00E07CB1" w:rsidRDefault="00474E8E" w:rsidP="00474E8E">
            <w:pPr>
              <w:pStyle w:val="BodyText"/>
              <w:spacing w:before="1" w:line="195" w:lineRule="exact"/>
              <w:ind w:left="111"/>
              <w:rPr>
                <w:rFonts w:ascii="Symbol" w:hAnsi="Symbol"/>
                <w:sz w:val="24"/>
                <w:szCs w:val="24"/>
              </w:rPr>
            </w:pPr>
            <w:r w:rsidRPr="00E07CB1">
              <w:rPr>
                <w:rFonts w:ascii="Symbol" w:hAnsi="Symbol"/>
                <w:sz w:val="24"/>
                <w:szCs w:val="24"/>
              </w:rPr>
              <w:lastRenderedPageBreak/>
              <w:t></w:t>
            </w:r>
            <w:r w:rsidRPr="00E07CB1">
              <w:rPr>
                <w:color w:val="800000"/>
                <w:sz w:val="24"/>
                <w:szCs w:val="24"/>
              </w:rPr>
              <w:t xml:space="preserve">ConnectivityNode </w:t>
            </w:r>
            <w:r w:rsidRPr="00E07CB1">
              <w:rPr>
                <w:color w:val="FF0000"/>
                <w:sz w:val="24"/>
                <w:szCs w:val="24"/>
              </w:rPr>
              <w:t>name</w:t>
            </w:r>
            <w:r w:rsidRPr="00E07CB1">
              <w:rPr>
                <w:sz w:val="24"/>
                <w:szCs w:val="24"/>
              </w:rPr>
              <w:t xml:space="preserve">="N5" </w:t>
            </w:r>
            <w:r w:rsidRPr="00E07CB1">
              <w:rPr>
                <w:color w:val="FF0000"/>
                <w:sz w:val="24"/>
                <w:szCs w:val="24"/>
              </w:rPr>
              <w:t>pathName</w:t>
            </w:r>
            <w:r w:rsidRPr="00E07CB1">
              <w:rPr>
                <w:sz w:val="24"/>
                <w:szCs w:val="24"/>
              </w:rPr>
              <w:t xml:space="preserve">="AA1/D1/Q1/N5" </w:t>
            </w:r>
            <w:r w:rsidRPr="00E07CB1">
              <w:rPr>
                <w:color w:val="FF0000"/>
                <w:sz w:val="24"/>
                <w:szCs w:val="24"/>
              </w:rPr>
              <w:t>sxy:x</w:t>
            </w:r>
            <w:r w:rsidRPr="00E07CB1">
              <w:rPr>
                <w:sz w:val="24"/>
                <w:szCs w:val="24"/>
              </w:rPr>
              <w:t xml:space="preserve">="9" </w:t>
            </w:r>
            <w:r w:rsidRPr="00E07CB1">
              <w:rPr>
                <w:color w:val="FF0000"/>
                <w:sz w:val="24"/>
                <w:szCs w:val="24"/>
              </w:rPr>
              <w:t>sxy:y</w:t>
            </w:r>
            <w:r w:rsidRPr="00E07CB1">
              <w:rPr>
                <w:sz w:val="24"/>
                <w:szCs w:val="24"/>
              </w:rPr>
              <w:t>="6"/</w:t>
            </w:r>
            <w:r w:rsidRPr="00E07CB1">
              <w:rPr>
                <w:rFonts w:ascii="Symbol" w:hAnsi="Symbol"/>
                <w:sz w:val="24"/>
                <w:szCs w:val="24"/>
              </w:rPr>
              <w:t></w:t>
            </w:r>
          </w:p>
          <w:p w:rsidR="00474E8E" w:rsidRPr="00E07CB1" w:rsidRDefault="00474E8E" w:rsidP="00474E8E">
            <w:pPr>
              <w:pStyle w:val="BodyText"/>
              <w:spacing w:line="195" w:lineRule="exact"/>
              <w:ind w:left="111"/>
              <w:rPr>
                <w:rFonts w:ascii="Symbol" w:hAnsi="Symbol"/>
                <w:sz w:val="24"/>
                <w:szCs w:val="24"/>
              </w:rPr>
            </w:pPr>
            <w:r w:rsidRPr="00E07CB1">
              <w:rPr>
                <w:rFonts w:ascii="Symbol" w:hAnsi="Symbol"/>
                <w:sz w:val="24"/>
                <w:szCs w:val="24"/>
              </w:rPr>
              <w:t></w:t>
            </w:r>
            <w:r w:rsidRPr="00E07CB1">
              <w:rPr>
                <w:color w:val="800000"/>
                <w:sz w:val="24"/>
                <w:szCs w:val="24"/>
              </w:rPr>
              <w:t xml:space="preserve">ConnectivityNode </w:t>
            </w:r>
            <w:r w:rsidRPr="00E07CB1">
              <w:rPr>
                <w:color w:val="FF0000"/>
                <w:sz w:val="24"/>
                <w:szCs w:val="24"/>
              </w:rPr>
              <w:t>name</w:t>
            </w:r>
            <w:r w:rsidRPr="00E07CB1">
              <w:rPr>
                <w:sz w:val="24"/>
                <w:szCs w:val="24"/>
              </w:rPr>
              <w:t xml:space="preserve">="N4" </w:t>
            </w:r>
            <w:r w:rsidRPr="00E07CB1">
              <w:rPr>
                <w:color w:val="FF0000"/>
                <w:sz w:val="24"/>
                <w:szCs w:val="24"/>
              </w:rPr>
              <w:t>pathName</w:t>
            </w:r>
            <w:r w:rsidRPr="00E07CB1">
              <w:rPr>
                <w:sz w:val="24"/>
                <w:szCs w:val="24"/>
              </w:rPr>
              <w:t xml:space="preserve">="AA1/D1/Q1/N4" </w:t>
            </w:r>
            <w:r w:rsidRPr="00E07CB1">
              <w:rPr>
                <w:color w:val="FF0000"/>
                <w:sz w:val="24"/>
                <w:szCs w:val="24"/>
              </w:rPr>
              <w:t>sxy:x</w:t>
            </w:r>
            <w:r w:rsidRPr="00E07CB1">
              <w:rPr>
                <w:sz w:val="24"/>
                <w:szCs w:val="24"/>
              </w:rPr>
              <w:t xml:space="preserve">="8" </w:t>
            </w:r>
            <w:r w:rsidRPr="00E07CB1">
              <w:rPr>
                <w:color w:val="FF0000"/>
                <w:sz w:val="24"/>
                <w:szCs w:val="24"/>
              </w:rPr>
              <w:t>sxy:y</w:t>
            </w:r>
            <w:r w:rsidRPr="00E07CB1">
              <w:rPr>
                <w:sz w:val="24"/>
                <w:szCs w:val="24"/>
              </w:rPr>
              <w:t>="18"/</w:t>
            </w:r>
            <w:r w:rsidRPr="00E07CB1">
              <w:rPr>
                <w:rFonts w:ascii="Symbol" w:hAnsi="Symbol"/>
                <w:sz w:val="24"/>
                <w:szCs w:val="24"/>
              </w:rPr>
              <w:t></w:t>
            </w:r>
          </w:p>
          <w:p w:rsidR="00474E8E" w:rsidRPr="00E07CB1" w:rsidRDefault="00474E8E" w:rsidP="00474E8E">
            <w:pPr>
              <w:pStyle w:val="BodyText"/>
              <w:spacing w:line="195" w:lineRule="exact"/>
              <w:ind w:left="2272"/>
              <w:rPr>
                <w:rFonts w:ascii="Symbol" w:hAnsi="Symbol"/>
                <w:sz w:val="24"/>
                <w:szCs w:val="24"/>
              </w:rPr>
            </w:pPr>
            <w:r w:rsidRPr="00E07CB1">
              <w:rPr>
                <w:noProof/>
                <w:sz w:val="24"/>
                <w:szCs w:val="24"/>
              </w:rPr>
              <mc:AlternateContent>
                <mc:Choice Requires="wps">
                  <w:drawing>
                    <wp:anchor distT="0" distB="0" distL="114300" distR="114300" simplePos="0" relativeHeight="251669504" behindDoc="0" locked="0" layoutInCell="1" allowOverlap="1">
                      <wp:simplePos x="0" y="0"/>
                      <wp:positionH relativeFrom="page">
                        <wp:posOffset>10175875</wp:posOffset>
                      </wp:positionH>
                      <wp:positionV relativeFrom="page">
                        <wp:posOffset>3559810</wp:posOffset>
                      </wp:positionV>
                      <wp:extent cx="167005" cy="478790"/>
                      <wp:effectExtent l="0" t="0" r="0" b="0"/>
                      <wp:wrapNone/>
                      <wp:docPr id="1868" name="Text 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58" w:rsidRDefault="00D80958" w:rsidP="00474E8E">
                                  <w:pPr>
                                    <w:spacing w:before="12"/>
                                    <w:ind w:left="20"/>
                                    <w:rPr>
                                      <w:sz w:val="20"/>
                                    </w:rPr>
                                  </w:pPr>
                                  <w:r>
                                    <w:rPr>
                                      <w:sz w:val="20"/>
                                    </w:rPr>
                                    <w:t>– 116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8" o:spid="_x0000_s1028" type="#_x0000_t202" style="position:absolute;left:0;text-align:left;margin-left:801.25pt;margin-top:280.3pt;width:13.15pt;height:37.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" filled="f" stroked="f">
                      <v:textbox style="layout-flow:vertical" inset="0,0,0,0">
                        <w:txbxContent>
                          <w:p w:rsidR="00D80958" w:rsidRDefault="00D80958" w:rsidP="00474E8E">
                            <w:pPr>
                              <w:spacing w:before="12"/>
                              <w:ind w:left="20"/>
                              <w:rPr>
                                <w:sz w:val="20"/>
                              </w:rPr>
                            </w:pPr>
                            <w:r>
                              <w:rPr>
                                <w:sz w:val="20"/>
                              </w:rPr>
                              <w:t>– 116 –</w:t>
                            </w:r>
                          </w:p>
                        </w:txbxContent>
                      </v:textbox>
                      <w10:wrap anchorx="page" anchory="page"/>
                    </v:shape>
                  </w:pict>
                </mc:Fallback>
              </mc:AlternateContent>
            </w:r>
            <w:r w:rsidRPr="00E07CB1">
              <w:rPr>
                <w:noProof/>
                <w:sz w:val="24"/>
                <w:szCs w:val="24"/>
              </w:rPr>
              <mc:AlternateContent>
                <mc:Choice Requires="wps">
                  <w:drawing>
                    <wp:anchor distT="0" distB="0" distL="114300" distR="114300" simplePos="0" relativeHeight="251670528" behindDoc="0" locked="0" layoutInCell="1" allowOverlap="1">
                      <wp:simplePos x="0" y="0"/>
                      <wp:positionH relativeFrom="page">
                        <wp:posOffset>10175875</wp:posOffset>
                      </wp:positionH>
                      <wp:positionV relativeFrom="page">
                        <wp:posOffset>4815205</wp:posOffset>
                      </wp:positionV>
                      <wp:extent cx="167005" cy="18719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7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58" w:rsidRDefault="00D80958" w:rsidP="00474E8E">
                                  <w:pPr>
                                    <w:spacing w:before="12"/>
                                    <w:ind w:left="20"/>
                                    <w:rPr>
                                      <w:sz w:val="20"/>
                                    </w:rPr>
                                  </w:pPr>
                                  <w:r>
                                    <w:rPr>
                                      <w:sz w:val="20"/>
                                    </w:rPr>
                                    <w:t>TR 61850-90-5 © IEC:2012(E)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801.25pt;margin-top:379.15pt;width:13.15pt;height:147.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" filled="f" stroked="f">
                      <v:textbox style="layout-flow:vertical" inset="0,0,0,0">
                        <w:txbxContent>
                          <w:p w:rsidR="00D80958" w:rsidRDefault="00D80958" w:rsidP="00474E8E">
                            <w:pPr>
                              <w:spacing w:before="12"/>
                              <w:ind w:left="20"/>
                              <w:rPr>
                                <w:sz w:val="20"/>
                              </w:rPr>
                            </w:pPr>
                            <w:r>
                              <w:rPr>
                                <w:sz w:val="20"/>
                              </w:rPr>
                              <w:t>TR 61850-90-5 © IEC:2012(E)</w:t>
                            </w:r>
                          </w:p>
                        </w:txbxContent>
                      </v:textbox>
                      <w10:wrap anchorx="page" anchory="page"/>
                    </v:shape>
                  </w:pict>
                </mc:Fallback>
              </mc:AlternateContent>
            </w:r>
            <w:r w:rsidRPr="00E07CB1">
              <w:rPr>
                <w:rFonts w:ascii="Symbol" w:hAnsi="Symbol"/>
                <w:sz w:val="24"/>
                <w:szCs w:val="24"/>
              </w:rPr>
              <w:t></w:t>
            </w:r>
            <w:r w:rsidRPr="00E07CB1">
              <w:rPr>
                <w:color w:val="800000"/>
                <w:sz w:val="24"/>
                <w:szCs w:val="24"/>
              </w:rPr>
              <w:t xml:space="preserve">Bay </w:t>
            </w:r>
            <w:r w:rsidRPr="00E07CB1">
              <w:rPr>
                <w:color w:val="FF0000"/>
                <w:sz w:val="24"/>
                <w:szCs w:val="24"/>
              </w:rPr>
              <w:t>name</w:t>
            </w:r>
            <w:r w:rsidRPr="00E07CB1">
              <w:rPr>
                <w:sz w:val="24"/>
                <w:szCs w:val="24"/>
              </w:rPr>
              <w:t xml:space="preserve">="QBB" </w:t>
            </w:r>
            <w:r w:rsidRPr="00E07CB1">
              <w:rPr>
                <w:color w:val="FF0000"/>
                <w:sz w:val="24"/>
                <w:szCs w:val="24"/>
              </w:rPr>
              <w:t>desc</w:t>
            </w:r>
            <w:r w:rsidRPr="00E07CB1">
              <w:rPr>
                <w:sz w:val="24"/>
                <w:szCs w:val="24"/>
              </w:rPr>
              <w:t xml:space="preserve">="Bay" </w:t>
            </w:r>
            <w:r w:rsidRPr="00E07CB1">
              <w:rPr>
                <w:color w:val="FF0000"/>
                <w:sz w:val="24"/>
                <w:szCs w:val="24"/>
              </w:rPr>
              <w:t>sxy:x</w:t>
            </w:r>
            <w:r w:rsidRPr="00E07CB1">
              <w:rPr>
                <w:sz w:val="24"/>
                <w:szCs w:val="24"/>
              </w:rPr>
              <w:t xml:space="preserve">="63" </w:t>
            </w:r>
            <w:r w:rsidRPr="00E07CB1">
              <w:rPr>
                <w:color w:val="FF0000"/>
                <w:sz w:val="24"/>
                <w:szCs w:val="24"/>
              </w:rPr>
              <w:t>sxy:y</w:t>
            </w:r>
            <w:r w:rsidRPr="00E07CB1">
              <w:rPr>
                <w:sz w:val="24"/>
                <w:szCs w:val="24"/>
              </w:rPr>
              <w:t xml:space="preserve">="36" </w:t>
            </w:r>
            <w:r w:rsidRPr="00E07CB1">
              <w:rPr>
                <w:color w:val="FF0000"/>
                <w:sz w:val="24"/>
                <w:szCs w:val="24"/>
              </w:rPr>
              <w:t>sxy:dir</w:t>
            </w:r>
            <w:r w:rsidRPr="00E07CB1">
              <w:rPr>
                <w:sz w:val="24"/>
                <w:szCs w:val="24"/>
              </w:rPr>
              <w:t>="vertical"</w:t>
            </w:r>
            <w:r w:rsidRPr="00E07CB1">
              <w:rPr>
                <w:rFonts w:ascii="Symbol" w:hAnsi="Symbol"/>
                <w:sz w:val="24"/>
                <w:szCs w:val="24"/>
              </w:rPr>
              <w:t></w:t>
            </w:r>
          </w:p>
          <w:p w:rsidR="00474E8E" w:rsidRPr="00E07CB1" w:rsidRDefault="00474E8E" w:rsidP="00474E8E">
            <w:pPr>
              <w:pStyle w:val="BodyText"/>
              <w:spacing w:line="195" w:lineRule="exact"/>
              <w:ind w:left="2992"/>
              <w:rPr>
                <w:rFonts w:ascii="Symbol" w:hAnsi="Symbol"/>
                <w:sz w:val="24"/>
                <w:szCs w:val="24"/>
              </w:rPr>
            </w:pPr>
            <w:r w:rsidRPr="00E07CB1">
              <w:rPr>
                <w:rFonts w:ascii="Symbol" w:hAnsi="Symbol"/>
                <w:spacing w:val="6"/>
                <w:sz w:val="24"/>
                <w:szCs w:val="24"/>
              </w:rPr>
              <w:t></w:t>
            </w:r>
            <w:r w:rsidRPr="00E07CB1">
              <w:rPr>
                <w:color w:val="800000"/>
                <w:spacing w:val="6"/>
                <w:sz w:val="24"/>
                <w:szCs w:val="24"/>
              </w:rPr>
              <w:t xml:space="preserve">ConnectivityNode </w:t>
            </w:r>
            <w:r w:rsidRPr="00E07CB1">
              <w:rPr>
                <w:color w:val="FF0000"/>
                <w:spacing w:val="6"/>
                <w:sz w:val="24"/>
                <w:szCs w:val="24"/>
              </w:rPr>
              <w:t>name</w:t>
            </w:r>
            <w:r w:rsidRPr="00E07CB1">
              <w:rPr>
                <w:spacing w:val="6"/>
                <w:sz w:val="24"/>
                <w:szCs w:val="24"/>
              </w:rPr>
              <w:t xml:space="preserve">="N3"  </w:t>
            </w:r>
            <w:r w:rsidRPr="00E07CB1">
              <w:rPr>
                <w:color w:val="FF0000"/>
                <w:spacing w:val="6"/>
                <w:sz w:val="24"/>
                <w:szCs w:val="24"/>
              </w:rPr>
              <w:t>pathName</w:t>
            </w:r>
            <w:r w:rsidRPr="00E07CB1">
              <w:rPr>
                <w:spacing w:val="6"/>
                <w:sz w:val="24"/>
                <w:szCs w:val="24"/>
              </w:rPr>
              <w:t xml:space="preserve">="AA1/D1/QBB/N3"  </w:t>
            </w:r>
            <w:r w:rsidRPr="00E07CB1">
              <w:rPr>
                <w:color w:val="FF0000"/>
                <w:spacing w:val="6"/>
                <w:sz w:val="24"/>
                <w:szCs w:val="24"/>
              </w:rPr>
              <w:t>sxy:x</w:t>
            </w:r>
            <w:r w:rsidRPr="00E07CB1">
              <w:rPr>
                <w:spacing w:val="6"/>
                <w:sz w:val="24"/>
                <w:szCs w:val="24"/>
              </w:rPr>
              <w:t>="48"</w:t>
            </w:r>
            <w:r w:rsidRPr="00E07CB1">
              <w:rPr>
                <w:spacing w:val="8"/>
                <w:sz w:val="24"/>
                <w:szCs w:val="24"/>
              </w:rPr>
              <w:t xml:space="preserve"> </w:t>
            </w:r>
            <w:r w:rsidRPr="00E07CB1">
              <w:rPr>
                <w:color w:val="FF0000"/>
                <w:spacing w:val="6"/>
                <w:sz w:val="24"/>
                <w:szCs w:val="24"/>
              </w:rPr>
              <w:t>sxy:y</w:t>
            </w:r>
            <w:r w:rsidRPr="00E07CB1">
              <w:rPr>
                <w:spacing w:val="6"/>
                <w:sz w:val="24"/>
                <w:szCs w:val="24"/>
              </w:rPr>
              <w:t>="12"/</w:t>
            </w:r>
            <w:r w:rsidRPr="00E07CB1">
              <w:rPr>
                <w:rFonts w:ascii="Symbol" w:hAnsi="Symbol"/>
                <w:spacing w:val="6"/>
                <w:sz w:val="24"/>
                <w:szCs w:val="24"/>
              </w:rPr>
              <w:t></w:t>
            </w:r>
          </w:p>
          <w:p w:rsidR="00474E8E" w:rsidRPr="00E07CB1" w:rsidRDefault="00474E8E" w:rsidP="00474E8E">
            <w:pPr>
              <w:pStyle w:val="BodyText"/>
              <w:spacing w:before="1"/>
              <w:ind w:left="2992"/>
              <w:rPr>
                <w:rFonts w:ascii="Symbol" w:hAnsi="Symbol"/>
                <w:sz w:val="24"/>
                <w:szCs w:val="24"/>
              </w:rPr>
            </w:pPr>
            <w:r w:rsidRPr="00E07CB1">
              <w:rPr>
                <w:rFonts w:ascii="Symbol" w:hAnsi="Symbol"/>
                <w:spacing w:val="6"/>
                <w:sz w:val="24"/>
                <w:szCs w:val="24"/>
              </w:rPr>
              <w:t></w:t>
            </w:r>
            <w:r w:rsidRPr="00E07CB1">
              <w:rPr>
                <w:color w:val="800000"/>
                <w:spacing w:val="6"/>
                <w:sz w:val="24"/>
                <w:szCs w:val="24"/>
              </w:rPr>
              <w:t xml:space="preserve">ConnectivityNode </w:t>
            </w:r>
            <w:r w:rsidRPr="00E07CB1">
              <w:rPr>
                <w:color w:val="FF0000"/>
                <w:spacing w:val="6"/>
                <w:sz w:val="24"/>
                <w:szCs w:val="24"/>
              </w:rPr>
              <w:t>name</w:t>
            </w:r>
            <w:r w:rsidRPr="00E07CB1">
              <w:rPr>
                <w:spacing w:val="6"/>
                <w:sz w:val="24"/>
                <w:szCs w:val="24"/>
              </w:rPr>
              <w:t xml:space="preserve">="N2"  </w:t>
            </w:r>
            <w:r w:rsidRPr="00E07CB1">
              <w:rPr>
                <w:color w:val="FF0000"/>
                <w:spacing w:val="6"/>
                <w:sz w:val="24"/>
                <w:szCs w:val="24"/>
              </w:rPr>
              <w:t>pathName</w:t>
            </w:r>
            <w:r w:rsidRPr="00E07CB1">
              <w:rPr>
                <w:spacing w:val="6"/>
                <w:sz w:val="24"/>
                <w:szCs w:val="24"/>
              </w:rPr>
              <w:t xml:space="preserve">="AA1/D1/QBB/N2"  </w:t>
            </w:r>
            <w:r w:rsidRPr="00E07CB1">
              <w:rPr>
                <w:color w:val="FF0000"/>
                <w:spacing w:val="6"/>
                <w:sz w:val="24"/>
                <w:szCs w:val="24"/>
              </w:rPr>
              <w:t>sxy:x</w:t>
            </w:r>
            <w:r w:rsidRPr="00E07CB1">
              <w:rPr>
                <w:spacing w:val="6"/>
                <w:sz w:val="24"/>
                <w:szCs w:val="24"/>
              </w:rPr>
              <w:t>="47"</w:t>
            </w:r>
            <w:r w:rsidRPr="00E07CB1">
              <w:rPr>
                <w:spacing w:val="7"/>
                <w:sz w:val="24"/>
                <w:szCs w:val="24"/>
              </w:rPr>
              <w:t xml:space="preserve"> </w:t>
            </w:r>
            <w:r w:rsidRPr="00E07CB1">
              <w:rPr>
                <w:color w:val="FF0000"/>
                <w:spacing w:val="6"/>
                <w:sz w:val="24"/>
                <w:szCs w:val="24"/>
              </w:rPr>
              <w:t>sxy:y</w:t>
            </w:r>
            <w:r w:rsidRPr="00E07CB1">
              <w:rPr>
                <w:spacing w:val="6"/>
                <w:sz w:val="24"/>
                <w:szCs w:val="24"/>
              </w:rPr>
              <w:t>="17"/</w:t>
            </w:r>
            <w:r w:rsidRPr="00E07CB1">
              <w:rPr>
                <w:rFonts w:ascii="Symbol" w:hAnsi="Symbol"/>
                <w:spacing w:val="6"/>
                <w:sz w:val="24"/>
                <w:szCs w:val="24"/>
              </w:rPr>
              <w:t></w:t>
            </w:r>
          </w:p>
          <w:p w:rsidR="00474E8E" w:rsidRPr="00E07CB1" w:rsidRDefault="00474E8E" w:rsidP="00474E8E">
            <w:pPr>
              <w:pStyle w:val="BodyText"/>
              <w:spacing w:before="1" w:line="195" w:lineRule="exact"/>
              <w:ind w:left="2992"/>
              <w:rPr>
                <w:rFonts w:ascii="Symbol" w:hAnsi="Symbol"/>
                <w:sz w:val="24"/>
                <w:szCs w:val="24"/>
              </w:rPr>
            </w:pPr>
            <w:r w:rsidRPr="00E07CB1">
              <w:rPr>
                <w:rFonts w:ascii="Symbol" w:hAnsi="Symbol"/>
                <w:spacing w:val="6"/>
                <w:sz w:val="24"/>
                <w:szCs w:val="24"/>
              </w:rPr>
              <w:t></w:t>
            </w:r>
            <w:r w:rsidRPr="00E07CB1">
              <w:rPr>
                <w:color w:val="800000"/>
                <w:spacing w:val="6"/>
                <w:sz w:val="24"/>
                <w:szCs w:val="24"/>
              </w:rPr>
              <w:t xml:space="preserve">ConnectivityNode </w:t>
            </w:r>
            <w:r w:rsidRPr="00E07CB1">
              <w:rPr>
                <w:color w:val="FF0000"/>
                <w:spacing w:val="6"/>
                <w:sz w:val="24"/>
                <w:szCs w:val="24"/>
              </w:rPr>
              <w:t>name</w:t>
            </w:r>
            <w:r w:rsidRPr="00E07CB1">
              <w:rPr>
                <w:spacing w:val="6"/>
                <w:sz w:val="24"/>
                <w:szCs w:val="24"/>
              </w:rPr>
              <w:t xml:space="preserve">="N4"  </w:t>
            </w:r>
            <w:r w:rsidRPr="00E07CB1">
              <w:rPr>
                <w:color w:val="FF0000"/>
                <w:spacing w:val="6"/>
                <w:sz w:val="24"/>
                <w:szCs w:val="24"/>
              </w:rPr>
              <w:t>pathName</w:t>
            </w:r>
            <w:r w:rsidRPr="00E07CB1">
              <w:rPr>
                <w:spacing w:val="6"/>
                <w:sz w:val="24"/>
                <w:szCs w:val="24"/>
              </w:rPr>
              <w:t xml:space="preserve">="AA1/D1/QBB/N4"  </w:t>
            </w:r>
            <w:r w:rsidRPr="00E07CB1">
              <w:rPr>
                <w:color w:val="FF0000"/>
                <w:spacing w:val="6"/>
                <w:sz w:val="24"/>
                <w:szCs w:val="24"/>
              </w:rPr>
              <w:t>sxy:x</w:t>
            </w:r>
            <w:r w:rsidRPr="00E07CB1">
              <w:rPr>
                <w:spacing w:val="6"/>
                <w:sz w:val="24"/>
                <w:szCs w:val="24"/>
              </w:rPr>
              <w:t>="25"</w:t>
            </w:r>
            <w:r w:rsidRPr="00E07CB1">
              <w:rPr>
                <w:spacing w:val="7"/>
                <w:sz w:val="24"/>
                <w:szCs w:val="24"/>
              </w:rPr>
              <w:t xml:space="preserve"> </w:t>
            </w:r>
            <w:r w:rsidRPr="00E07CB1">
              <w:rPr>
                <w:color w:val="FF0000"/>
                <w:spacing w:val="6"/>
                <w:sz w:val="24"/>
                <w:szCs w:val="24"/>
              </w:rPr>
              <w:t>sxy:y</w:t>
            </w:r>
            <w:r w:rsidRPr="00E07CB1">
              <w:rPr>
                <w:spacing w:val="6"/>
                <w:sz w:val="24"/>
                <w:szCs w:val="24"/>
              </w:rPr>
              <w:t>="18"/</w:t>
            </w:r>
            <w:r w:rsidRPr="00E07CB1">
              <w:rPr>
                <w:rFonts w:ascii="Symbol" w:hAnsi="Symbol"/>
                <w:spacing w:val="6"/>
                <w:sz w:val="24"/>
                <w:szCs w:val="24"/>
              </w:rPr>
              <w:t></w:t>
            </w:r>
          </w:p>
          <w:p w:rsidR="00474E8E" w:rsidRPr="00E07CB1" w:rsidRDefault="00474E8E" w:rsidP="00474E8E">
            <w:pPr>
              <w:pStyle w:val="BodyText"/>
              <w:spacing w:line="195" w:lineRule="exact"/>
              <w:ind w:left="2992"/>
              <w:rPr>
                <w:rFonts w:ascii="Symbol" w:hAnsi="Symbol"/>
                <w:sz w:val="24"/>
                <w:szCs w:val="24"/>
              </w:rPr>
            </w:pPr>
            <w:r w:rsidRPr="00E07CB1">
              <w:rPr>
                <w:rFonts w:ascii="Symbol" w:hAnsi="Symbol"/>
                <w:spacing w:val="6"/>
                <w:sz w:val="24"/>
                <w:szCs w:val="24"/>
              </w:rPr>
              <w:t></w:t>
            </w:r>
            <w:r w:rsidRPr="00E07CB1">
              <w:rPr>
                <w:color w:val="800000"/>
                <w:spacing w:val="6"/>
                <w:sz w:val="24"/>
                <w:szCs w:val="24"/>
              </w:rPr>
              <w:t xml:space="preserve">ConnectivityNode </w:t>
            </w:r>
            <w:r w:rsidRPr="00E07CB1">
              <w:rPr>
                <w:color w:val="FF0000"/>
                <w:spacing w:val="6"/>
                <w:sz w:val="24"/>
                <w:szCs w:val="24"/>
              </w:rPr>
              <w:t>name</w:t>
            </w:r>
            <w:r w:rsidRPr="00E07CB1">
              <w:rPr>
                <w:spacing w:val="6"/>
                <w:sz w:val="24"/>
                <w:szCs w:val="24"/>
              </w:rPr>
              <w:t xml:space="preserve">="N1"  </w:t>
            </w:r>
            <w:r w:rsidRPr="00E07CB1">
              <w:rPr>
                <w:color w:val="FF0000"/>
                <w:spacing w:val="6"/>
                <w:sz w:val="24"/>
                <w:szCs w:val="24"/>
              </w:rPr>
              <w:t>pathName</w:t>
            </w:r>
            <w:r w:rsidRPr="00E07CB1">
              <w:rPr>
                <w:spacing w:val="6"/>
                <w:sz w:val="24"/>
                <w:szCs w:val="24"/>
              </w:rPr>
              <w:t xml:space="preserve">="AA1/D1/QBB/N1"  </w:t>
            </w:r>
            <w:r w:rsidRPr="00E07CB1">
              <w:rPr>
                <w:color w:val="FF0000"/>
                <w:spacing w:val="6"/>
                <w:sz w:val="24"/>
                <w:szCs w:val="24"/>
              </w:rPr>
              <w:t>sxy:x</w:t>
            </w:r>
            <w:r w:rsidRPr="00E07CB1">
              <w:rPr>
                <w:spacing w:val="6"/>
                <w:sz w:val="24"/>
                <w:szCs w:val="24"/>
              </w:rPr>
              <w:t>="22"</w:t>
            </w:r>
            <w:r w:rsidRPr="00E07CB1">
              <w:rPr>
                <w:spacing w:val="7"/>
                <w:sz w:val="24"/>
                <w:szCs w:val="24"/>
              </w:rPr>
              <w:t xml:space="preserve"> </w:t>
            </w:r>
            <w:r w:rsidRPr="00E07CB1">
              <w:rPr>
                <w:color w:val="FF0000"/>
                <w:spacing w:val="6"/>
                <w:sz w:val="24"/>
                <w:szCs w:val="24"/>
              </w:rPr>
              <w:t>sxy:y</w:t>
            </w:r>
            <w:r w:rsidRPr="00E07CB1">
              <w:rPr>
                <w:spacing w:val="6"/>
                <w:sz w:val="24"/>
                <w:szCs w:val="24"/>
              </w:rPr>
              <w:t>="20"/</w:t>
            </w:r>
            <w:r w:rsidRPr="00E07CB1">
              <w:rPr>
                <w:rFonts w:ascii="Symbol" w:hAnsi="Symbol"/>
                <w:spacing w:val="6"/>
                <w:sz w:val="24"/>
                <w:szCs w:val="24"/>
              </w:rPr>
              <w:t></w:t>
            </w:r>
          </w:p>
          <w:p w:rsidR="00474E8E" w:rsidRPr="00E07CB1" w:rsidRDefault="00474E8E" w:rsidP="00474E8E">
            <w:pPr>
              <w:pStyle w:val="BodyText"/>
              <w:spacing w:before="1"/>
              <w:ind w:left="2272"/>
              <w:rPr>
                <w:rFonts w:ascii="Symbol" w:hAnsi="Symbol"/>
                <w:sz w:val="24"/>
                <w:szCs w:val="24"/>
              </w:rPr>
            </w:pPr>
            <w:r w:rsidRPr="00E07CB1">
              <w:rPr>
                <w:rFonts w:ascii="Symbol" w:hAnsi="Symbol"/>
                <w:sz w:val="24"/>
                <w:szCs w:val="24"/>
              </w:rPr>
              <w:t></w:t>
            </w:r>
            <w:r w:rsidRPr="00E07CB1">
              <w:rPr>
                <w:sz w:val="24"/>
                <w:szCs w:val="24"/>
              </w:rPr>
              <w:t>/</w:t>
            </w:r>
            <w:r w:rsidRPr="00E07CB1">
              <w:rPr>
                <w:color w:val="800000"/>
                <w:sz w:val="24"/>
                <w:szCs w:val="24"/>
              </w:rPr>
              <w:t>Bay</w:t>
            </w:r>
            <w:r w:rsidRPr="00E07CB1">
              <w:rPr>
                <w:rFonts w:ascii="Symbol" w:hAnsi="Symbol"/>
                <w:sz w:val="24"/>
                <w:szCs w:val="24"/>
              </w:rPr>
              <w:t></w:t>
            </w:r>
          </w:p>
          <w:p w:rsidR="00474E8E" w:rsidRPr="00E07CB1" w:rsidRDefault="00474E8E" w:rsidP="00474E8E">
            <w:pPr>
              <w:pStyle w:val="BodyText"/>
              <w:spacing w:before="101"/>
              <w:ind w:left="1552"/>
              <w:rPr>
                <w:rFonts w:ascii="Symbol" w:hAnsi="Symbol"/>
                <w:sz w:val="24"/>
                <w:szCs w:val="24"/>
              </w:rPr>
            </w:pPr>
            <w:r w:rsidRPr="00E07CB1">
              <w:rPr>
                <w:rFonts w:ascii="Symbol" w:hAnsi="Symbol"/>
                <w:sz w:val="24"/>
                <w:szCs w:val="24"/>
              </w:rPr>
              <w:t></w:t>
            </w:r>
            <w:r w:rsidRPr="00E07CB1">
              <w:rPr>
                <w:sz w:val="24"/>
                <w:szCs w:val="24"/>
              </w:rPr>
              <w:t>/VoltageLevel</w:t>
            </w:r>
            <w:r w:rsidRPr="00E07CB1">
              <w:rPr>
                <w:rFonts w:ascii="Symbol" w:hAnsi="Symbol"/>
                <w:sz w:val="24"/>
                <w:szCs w:val="24"/>
              </w:rPr>
              <w:t></w:t>
            </w:r>
          </w:p>
          <w:p w:rsidR="00474E8E" w:rsidRPr="00E07CB1" w:rsidRDefault="00474E8E" w:rsidP="00474E8E">
            <w:pPr>
              <w:pStyle w:val="BodyText"/>
              <w:spacing w:before="1" w:line="195" w:lineRule="exact"/>
              <w:ind w:left="832"/>
              <w:rPr>
                <w:rFonts w:ascii="Symbol" w:hAnsi="Symbol"/>
                <w:sz w:val="24"/>
                <w:szCs w:val="24"/>
              </w:rPr>
            </w:pPr>
            <w:r w:rsidRPr="00E07CB1">
              <w:rPr>
                <w:rFonts w:ascii="Symbol" w:hAnsi="Symbol"/>
                <w:sz w:val="24"/>
                <w:szCs w:val="24"/>
              </w:rPr>
              <w:t></w:t>
            </w:r>
            <w:r w:rsidRPr="00E07CB1">
              <w:rPr>
                <w:sz w:val="24"/>
                <w:szCs w:val="24"/>
              </w:rPr>
              <w:t>/Substation</w:t>
            </w:r>
            <w:r w:rsidRPr="00E07CB1">
              <w:rPr>
                <w:rFonts w:ascii="Symbol" w:hAnsi="Symbol"/>
                <w:sz w:val="24"/>
                <w:szCs w:val="24"/>
              </w:rPr>
              <w:t></w:t>
            </w:r>
          </w:p>
          <w:p w:rsidR="00474E8E" w:rsidRPr="00E07CB1" w:rsidRDefault="00474E8E" w:rsidP="00474E8E">
            <w:pPr>
              <w:pStyle w:val="BodyText"/>
              <w:spacing w:line="195" w:lineRule="exact"/>
              <w:ind w:left="832"/>
              <w:rPr>
                <w:rFonts w:ascii="Symbol" w:hAnsi="Symbol"/>
                <w:sz w:val="24"/>
                <w:szCs w:val="24"/>
              </w:rPr>
            </w:pPr>
            <w:r w:rsidRPr="00E07CB1">
              <w:rPr>
                <w:rFonts w:ascii="Symbol" w:hAnsi="Symbol"/>
                <w:sz w:val="24"/>
                <w:szCs w:val="24"/>
              </w:rPr>
              <w:t></w:t>
            </w:r>
            <w:r w:rsidRPr="00E07CB1">
              <w:rPr>
                <w:sz w:val="24"/>
                <w:szCs w:val="24"/>
              </w:rPr>
              <w:t>Communication</w:t>
            </w:r>
            <w:r w:rsidRPr="00E07CB1">
              <w:rPr>
                <w:rFonts w:ascii="Symbol" w:hAnsi="Symbol"/>
                <w:sz w:val="24"/>
                <w:szCs w:val="24"/>
              </w:rPr>
              <w:t></w:t>
            </w:r>
          </w:p>
          <w:p w:rsidR="00474E8E" w:rsidRPr="00E07CB1" w:rsidRDefault="00474E8E" w:rsidP="00474E8E">
            <w:pPr>
              <w:pStyle w:val="BodyText"/>
              <w:spacing w:before="1"/>
              <w:ind w:left="1552"/>
              <w:rPr>
                <w:rFonts w:ascii="Symbol" w:hAnsi="Symbol"/>
                <w:sz w:val="24"/>
                <w:szCs w:val="24"/>
              </w:rPr>
            </w:pPr>
            <w:r w:rsidRPr="00E07CB1">
              <w:rPr>
                <w:rFonts w:ascii="Symbol" w:hAnsi="Symbol"/>
                <w:sz w:val="24"/>
                <w:szCs w:val="24"/>
              </w:rPr>
              <w:t></w:t>
            </w:r>
            <w:r w:rsidRPr="00E07CB1">
              <w:rPr>
                <w:color w:val="800000"/>
                <w:sz w:val="24"/>
                <w:szCs w:val="24"/>
              </w:rPr>
              <w:t xml:space="preserve">SubNetwork </w:t>
            </w:r>
            <w:r w:rsidRPr="00E07CB1">
              <w:rPr>
                <w:color w:val="FF0000"/>
                <w:sz w:val="24"/>
                <w:szCs w:val="24"/>
              </w:rPr>
              <w:t>name</w:t>
            </w:r>
            <w:r w:rsidRPr="00E07CB1">
              <w:rPr>
                <w:sz w:val="24"/>
                <w:szCs w:val="24"/>
              </w:rPr>
              <w:t xml:space="preserve">="AA1WA1" </w:t>
            </w:r>
            <w:r w:rsidRPr="00E07CB1">
              <w:rPr>
                <w:color w:val="FF0000"/>
                <w:sz w:val="24"/>
                <w:szCs w:val="24"/>
              </w:rPr>
              <w:t>desc</w:t>
            </w:r>
            <w:r w:rsidRPr="00E07CB1">
              <w:rPr>
                <w:sz w:val="24"/>
                <w:szCs w:val="24"/>
              </w:rPr>
              <w:t xml:space="preserve">="C37.118 UDP network" </w:t>
            </w:r>
            <w:r w:rsidRPr="00E07CB1">
              <w:rPr>
                <w:color w:val="FF0000"/>
                <w:sz w:val="24"/>
                <w:szCs w:val="24"/>
              </w:rPr>
              <w:t>type</w:t>
            </w:r>
            <w:r w:rsidRPr="00E07CB1">
              <w:rPr>
                <w:sz w:val="24"/>
                <w:szCs w:val="24"/>
              </w:rPr>
              <w:t>="C37.118-UDP"</w:t>
            </w:r>
            <w:r w:rsidRPr="00E07CB1">
              <w:rPr>
                <w:rFonts w:ascii="Symbol" w:hAnsi="Symbol"/>
                <w:sz w:val="24"/>
                <w:szCs w:val="24"/>
              </w:rPr>
              <w:t></w:t>
            </w:r>
          </w:p>
          <w:p w:rsidR="00474E8E" w:rsidRPr="00E07CB1" w:rsidRDefault="00474E8E" w:rsidP="00474E8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ConnectedAP </w:t>
            </w:r>
            <w:r w:rsidRPr="00E07CB1">
              <w:rPr>
                <w:color w:val="FF0000"/>
                <w:sz w:val="24"/>
                <w:szCs w:val="24"/>
              </w:rPr>
              <w:t>iedName</w:t>
            </w:r>
            <w:r w:rsidRPr="00E07CB1">
              <w:rPr>
                <w:sz w:val="24"/>
                <w:szCs w:val="24"/>
              </w:rPr>
              <w:t xml:space="preserve">="AA1KA1" </w:t>
            </w:r>
            <w:r w:rsidRPr="00E07CB1">
              <w:rPr>
                <w:color w:val="FF0000"/>
                <w:sz w:val="24"/>
                <w:szCs w:val="24"/>
              </w:rPr>
              <w:t>apName</w:t>
            </w:r>
            <w:r w:rsidRPr="00E07CB1">
              <w:rPr>
                <w:sz w:val="24"/>
                <w:szCs w:val="24"/>
              </w:rPr>
              <w:t xml:space="preserve">="S1" </w:t>
            </w:r>
            <w:r w:rsidRPr="00E07CB1">
              <w:rPr>
                <w:color w:val="FF0000"/>
                <w:sz w:val="24"/>
                <w:szCs w:val="24"/>
              </w:rPr>
              <w:t>desc</w:t>
            </w:r>
            <w:r w:rsidRPr="00E07CB1">
              <w:rPr>
                <w:sz w:val="24"/>
                <w:szCs w:val="24"/>
              </w:rPr>
              <w:t xml:space="preserve">="the client receiving the messages </w:t>
            </w:r>
            <w:r w:rsidRPr="00E07CB1">
              <w:rPr>
                <w:rFonts w:ascii="Symbol" w:hAnsi="Symbol"/>
                <w:sz w:val="24"/>
                <w:szCs w:val="24"/>
              </w:rPr>
              <w:t></w:t>
            </w:r>
          </w:p>
          <w:p w:rsidR="00474E8E" w:rsidRPr="00E07CB1" w:rsidRDefault="00474E8E" w:rsidP="00474E8E">
            <w:pPr>
              <w:pStyle w:val="BodyText"/>
              <w:spacing w:line="195" w:lineRule="exact"/>
              <w:ind w:left="2992"/>
              <w:rPr>
                <w:rFonts w:ascii="Symbol" w:hAnsi="Symbol"/>
                <w:sz w:val="24"/>
                <w:szCs w:val="24"/>
              </w:rPr>
            </w:pPr>
            <w:r w:rsidRPr="00E07CB1">
              <w:rPr>
                <w:rFonts w:ascii="Symbol" w:hAnsi="Symbol"/>
                <w:sz w:val="24"/>
                <w:szCs w:val="24"/>
              </w:rPr>
              <w:t></w:t>
            </w:r>
            <w:r w:rsidRPr="00E07CB1">
              <w:rPr>
                <w:color w:val="800000"/>
                <w:sz w:val="24"/>
                <w:szCs w:val="24"/>
              </w:rPr>
              <w:t>Address</w:t>
            </w:r>
            <w:r w:rsidRPr="00E07CB1">
              <w:rPr>
                <w:rFonts w:ascii="Symbol" w:hAnsi="Symbol"/>
                <w:sz w:val="24"/>
                <w:szCs w:val="24"/>
              </w:rPr>
              <w:t></w:t>
            </w:r>
          </w:p>
          <w:p w:rsidR="00474E8E" w:rsidRPr="00E07CB1" w:rsidRDefault="00474E8E" w:rsidP="00474E8E">
            <w:pPr>
              <w:pStyle w:val="BodyText"/>
              <w:spacing w:before="1"/>
              <w:ind w:left="3712"/>
              <w:rPr>
                <w:rFonts w:ascii="Symbol" w:hAnsi="Symbol"/>
                <w:sz w:val="24"/>
                <w:szCs w:val="24"/>
              </w:rPr>
            </w:pPr>
            <w:r w:rsidRPr="00E07CB1">
              <w:rPr>
                <w:rFonts w:ascii="Symbol" w:hAnsi="Symbol"/>
                <w:sz w:val="24"/>
                <w:szCs w:val="24"/>
              </w:rPr>
              <w:t></w:t>
            </w:r>
            <w:r w:rsidRPr="00E07CB1">
              <w:rPr>
                <w:color w:val="800000"/>
                <w:sz w:val="24"/>
                <w:szCs w:val="24"/>
              </w:rPr>
              <w:t xml:space="preserve">P </w:t>
            </w:r>
            <w:r w:rsidRPr="00E07CB1">
              <w:rPr>
                <w:color w:val="FF0000"/>
                <w:sz w:val="24"/>
                <w:szCs w:val="24"/>
              </w:rPr>
              <w:t>type</w:t>
            </w:r>
            <w:r w:rsidRPr="00E07CB1">
              <w:rPr>
                <w:sz w:val="24"/>
                <w:szCs w:val="24"/>
              </w:rPr>
              <w:t>="IP"</w:t>
            </w:r>
            <w:r w:rsidRPr="00E07CB1">
              <w:rPr>
                <w:rFonts w:ascii="Symbol" w:hAnsi="Symbol"/>
                <w:sz w:val="24"/>
                <w:szCs w:val="24"/>
              </w:rPr>
              <w:t></w:t>
            </w:r>
            <w:r w:rsidRPr="00E07CB1">
              <w:rPr>
                <w:sz w:val="24"/>
                <w:szCs w:val="24"/>
              </w:rPr>
              <w:t>172.16.0.100</w:t>
            </w:r>
            <w:r w:rsidRPr="00E07CB1">
              <w:rPr>
                <w:rFonts w:ascii="Symbol" w:hAnsi="Symbol"/>
                <w:sz w:val="24"/>
                <w:szCs w:val="24"/>
              </w:rPr>
              <w:t></w:t>
            </w:r>
            <w:r w:rsidRPr="00E07CB1">
              <w:rPr>
                <w:sz w:val="24"/>
                <w:szCs w:val="24"/>
              </w:rPr>
              <w:t>/</w:t>
            </w:r>
            <w:r w:rsidRPr="00E07CB1">
              <w:rPr>
                <w:color w:val="800000"/>
                <w:sz w:val="24"/>
                <w:szCs w:val="24"/>
              </w:rPr>
              <w:t>P</w:t>
            </w:r>
            <w:r w:rsidRPr="00E07CB1">
              <w:rPr>
                <w:rFonts w:ascii="Symbol" w:hAnsi="Symbol"/>
                <w:sz w:val="24"/>
                <w:szCs w:val="24"/>
              </w:rPr>
              <w:t></w:t>
            </w:r>
          </w:p>
          <w:p w:rsidR="00474E8E" w:rsidRPr="00E07CB1" w:rsidRDefault="00474E8E" w:rsidP="00474E8E">
            <w:pPr>
              <w:pStyle w:val="BodyText"/>
              <w:spacing w:line="195" w:lineRule="exact"/>
              <w:ind w:left="3712"/>
              <w:rPr>
                <w:rFonts w:ascii="Symbol" w:hAnsi="Symbol"/>
                <w:sz w:val="24"/>
                <w:szCs w:val="24"/>
              </w:rPr>
            </w:pPr>
            <w:r w:rsidRPr="00E07CB1">
              <w:rPr>
                <w:rFonts w:ascii="Symbol" w:hAnsi="Symbol"/>
                <w:sz w:val="24"/>
                <w:szCs w:val="24"/>
              </w:rPr>
              <w:t></w:t>
            </w:r>
            <w:r w:rsidRPr="00E07CB1">
              <w:rPr>
                <w:color w:val="800000"/>
                <w:sz w:val="24"/>
                <w:szCs w:val="24"/>
              </w:rPr>
              <w:t xml:space="preserve">P </w:t>
            </w:r>
            <w:r w:rsidRPr="00E07CB1">
              <w:rPr>
                <w:color w:val="FF0000"/>
                <w:sz w:val="24"/>
                <w:szCs w:val="24"/>
              </w:rPr>
              <w:t>type</w:t>
            </w:r>
            <w:r w:rsidRPr="00E07CB1">
              <w:rPr>
                <w:sz w:val="24"/>
                <w:szCs w:val="24"/>
              </w:rPr>
              <w:t>="IP-SUBNET"</w:t>
            </w:r>
            <w:r w:rsidRPr="00E07CB1">
              <w:rPr>
                <w:rFonts w:ascii="Symbol" w:hAnsi="Symbol"/>
                <w:sz w:val="24"/>
                <w:szCs w:val="24"/>
              </w:rPr>
              <w:t></w:t>
            </w:r>
            <w:r w:rsidRPr="00E07CB1">
              <w:rPr>
                <w:sz w:val="24"/>
                <w:szCs w:val="24"/>
              </w:rPr>
              <w:t>255.255.0.0</w:t>
            </w:r>
            <w:r w:rsidRPr="00E07CB1">
              <w:rPr>
                <w:rFonts w:ascii="Symbol" w:hAnsi="Symbol"/>
                <w:sz w:val="24"/>
                <w:szCs w:val="24"/>
              </w:rPr>
              <w:t></w:t>
            </w:r>
            <w:r w:rsidRPr="00E07CB1">
              <w:rPr>
                <w:sz w:val="24"/>
                <w:szCs w:val="24"/>
              </w:rPr>
              <w:t>/</w:t>
            </w:r>
            <w:r w:rsidRPr="00E07CB1">
              <w:rPr>
                <w:color w:val="800000"/>
                <w:sz w:val="24"/>
                <w:szCs w:val="24"/>
              </w:rPr>
              <w:t>P</w:t>
            </w:r>
            <w:r w:rsidRPr="00E07CB1">
              <w:rPr>
                <w:rFonts w:ascii="Symbol" w:hAnsi="Symbol"/>
                <w:sz w:val="24"/>
                <w:szCs w:val="24"/>
              </w:rPr>
              <w:t></w:t>
            </w:r>
          </w:p>
          <w:p w:rsidR="00474E8E" w:rsidRPr="00E07CB1" w:rsidRDefault="00474E8E" w:rsidP="00474E8E">
            <w:pPr>
              <w:pStyle w:val="BodyText"/>
              <w:spacing w:line="195" w:lineRule="exact"/>
              <w:ind w:left="3712"/>
              <w:rPr>
                <w:rFonts w:ascii="Symbol" w:hAnsi="Symbol"/>
                <w:sz w:val="24"/>
                <w:szCs w:val="24"/>
              </w:rPr>
            </w:pPr>
            <w:r w:rsidRPr="00E07CB1">
              <w:rPr>
                <w:rFonts w:ascii="Symbol" w:hAnsi="Symbol"/>
                <w:sz w:val="24"/>
                <w:szCs w:val="24"/>
              </w:rPr>
              <w:t></w:t>
            </w:r>
            <w:r w:rsidRPr="00E07CB1">
              <w:rPr>
                <w:color w:val="800000"/>
                <w:sz w:val="24"/>
                <w:szCs w:val="24"/>
              </w:rPr>
              <w:t xml:space="preserve">P </w:t>
            </w:r>
            <w:r w:rsidRPr="00E07CB1">
              <w:rPr>
                <w:color w:val="FF0000"/>
                <w:sz w:val="24"/>
                <w:szCs w:val="24"/>
              </w:rPr>
              <w:t>type</w:t>
            </w:r>
            <w:r w:rsidRPr="00E07CB1">
              <w:rPr>
                <w:sz w:val="24"/>
                <w:szCs w:val="24"/>
              </w:rPr>
              <w:t>="C37-118-IP-Port"</w:t>
            </w:r>
            <w:r w:rsidRPr="00E07CB1">
              <w:rPr>
                <w:rFonts w:ascii="Symbol" w:hAnsi="Symbol"/>
                <w:sz w:val="24"/>
                <w:szCs w:val="24"/>
              </w:rPr>
              <w:t></w:t>
            </w:r>
            <w:r w:rsidRPr="00E07CB1">
              <w:rPr>
                <w:sz w:val="24"/>
                <w:szCs w:val="24"/>
              </w:rPr>
              <w:t>110</w:t>
            </w:r>
            <w:r w:rsidRPr="00E07CB1">
              <w:rPr>
                <w:rFonts w:ascii="Symbol" w:hAnsi="Symbol"/>
                <w:sz w:val="24"/>
                <w:szCs w:val="24"/>
              </w:rPr>
              <w:t></w:t>
            </w:r>
            <w:r w:rsidRPr="00E07CB1">
              <w:rPr>
                <w:sz w:val="24"/>
                <w:szCs w:val="24"/>
              </w:rPr>
              <w:t>/</w:t>
            </w:r>
            <w:r w:rsidRPr="00E07CB1">
              <w:rPr>
                <w:color w:val="800000"/>
                <w:sz w:val="24"/>
                <w:szCs w:val="24"/>
              </w:rPr>
              <w:t>P</w:t>
            </w:r>
            <w:r w:rsidRPr="00E07CB1">
              <w:rPr>
                <w:rFonts w:ascii="Symbol" w:hAnsi="Symbol"/>
                <w:sz w:val="24"/>
                <w:szCs w:val="24"/>
              </w:rPr>
              <w:t></w:t>
            </w:r>
          </w:p>
          <w:p w:rsidR="00474E8E" w:rsidRPr="00E07CB1" w:rsidRDefault="00474E8E" w:rsidP="00474E8E">
            <w:pPr>
              <w:pStyle w:val="BodyText"/>
              <w:spacing w:before="1"/>
              <w:ind w:left="2992"/>
              <w:rPr>
                <w:rFonts w:ascii="Symbol" w:hAnsi="Symbol"/>
                <w:sz w:val="24"/>
                <w:szCs w:val="24"/>
              </w:rPr>
            </w:pPr>
            <w:r w:rsidRPr="00E07CB1">
              <w:rPr>
                <w:rFonts w:ascii="Symbol" w:hAnsi="Symbol"/>
                <w:sz w:val="24"/>
                <w:szCs w:val="24"/>
              </w:rPr>
              <w:t></w:t>
            </w:r>
            <w:r w:rsidRPr="00E07CB1">
              <w:rPr>
                <w:sz w:val="24"/>
                <w:szCs w:val="24"/>
              </w:rPr>
              <w:t>/</w:t>
            </w:r>
            <w:r w:rsidRPr="00E07CB1">
              <w:rPr>
                <w:color w:val="800000"/>
                <w:sz w:val="24"/>
                <w:szCs w:val="24"/>
              </w:rPr>
              <w:t>Address</w:t>
            </w:r>
            <w:r w:rsidRPr="00E07CB1">
              <w:rPr>
                <w:rFonts w:ascii="Symbol" w:hAnsi="Symbol"/>
                <w:sz w:val="24"/>
                <w:szCs w:val="24"/>
              </w:rPr>
              <w:t></w:t>
            </w:r>
          </w:p>
          <w:p w:rsidR="00474E8E" w:rsidRPr="00E07CB1" w:rsidRDefault="00474E8E" w:rsidP="00474E8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sz w:val="24"/>
                <w:szCs w:val="24"/>
              </w:rPr>
              <w:t>/ConnectedAP</w:t>
            </w:r>
            <w:r w:rsidRPr="00E07CB1">
              <w:rPr>
                <w:rFonts w:ascii="Symbol" w:hAnsi="Symbol"/>
                <w:sz w:val="24"/>
                <w:szCs w:val="24"/>
              </w:rPr>
              <w:t></w:t>
            </w:r>
          </w:p>
          <w:p w:rsidR="00474E8E" w:rsidRPr="00E07CB1" w:rsidRDefault="00474E8E" w:rsidP="00474E8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ConnectedAP </w:t>
            </w:r>
            <w:r w:rsidRPr="00E07CB1">
              <w:rPr>
                <w:color w:val="FF0000"/>
                <w:sz w:val="24"/>
                <w:szCs w:val="24"/>
              </w:rPr>
              <w:t>iedName</w:t>
            </w:r>
            <w:r w:rsidRPr="00E07CB1">
              <w:rPr>
                <w:sz w:val="24"/>
                <w:szCs w:val="24"/>
              </w:rPr>
              <w:t xml:space="preserve">="AA1FP1" </w:t>
            </w:r>
            <w:r w:rsidRPr="00E07CB1">
              <w:rPr>
                <w:color w:val="FF0000"/>
                <w:sz w:val="24"/>
                <w:szCs w:val="24"/>
              </w:rPr>
              <w:t>apName</w:t>
            </w:r>
            <w:r w:rsidRPr="00E07CB1">
              <w:rPr>
                <w:sz w:val="24"/>
                <w:szCs w:val="24"/>
              </w:rPr>
              <w:t>="S1"</w:t>
            </w:r>
            <w:r w:rsidRPr="00E07CB1">
              <w:rPr>
                <w:rFonts w:ascii="Symbol" w:hAnsi="Symbol"/>
                <w:sz w:val="24"/>
                <w:szCs w:val="24"/>
              </w:rPr>
              <w:t></w:t>
            </w:r>
          </w:p>
          <w:p w:rsidR="00474E8E" w:rsidRPr="00E07CB1" w:rsidRDefault="00474E8E" w:rsidP="00474E8E">
            <w:pPr>
              <w:pStyle w:val="BodyText"/>
              <w:spacing w:before="1"/>
              <w:ind w:left="2992"/>
              <w:rPr>
                <w:rFonts w:ascii="Symbol" w:hAnsi="Symbol"/>
                <w:sz w:val="24"/>
                <w:szCs w:val="24"/>
              </w:rPr>
            </w:pPr>
            <w:r w:rsidRPr="00E07CB1">
              <w:rPr>
                <w:rFonts w:ascii="Symbol" w:hAnsi="Symbol"/>
                <w:sz w:val="24"/>
                <w:szCs w:val="24"/>
              </w:rPr>
              <w:t></w:t>
            </w:r>
            <w:r w:rsidRPr="00E07CB1">
              <w:rPr>
                <w:color w:val="800000"/>
                <w:sz w:val="24"/>
                <w:szCs w:val="24"/>
              </w:rPr>
              <w:t>Address</w:t>
            </w:r>
            <w:r w:rsidRPr="00E07CB1">
              <w:rPr>
                <w:rFonts w:ascii="Symbol" w:hAnsi="Symbol"/>
                <w:sz w:val="24"/>
                <w:szCs w:val="24"/>
              </w:rPr>
              <w:t></w:t>
            </w:r>
          </w:p>
          <w:p w:rsidR="00474E8E" w:rsidRPr="00E07CB1" w:rsidRDefault="00474E8E" w:rsidP="00474E8E">
            <w:pPr>
              <w:pStyle w:val="BodyText"/>
              <w:spacing w:before="1" w:line="195" w:lineRule="exact"/>
              <w:ind w:left="3712"/>
              <w:rPr>
                <w:rFonts w:ascii="Symbol" w:hAnsi="Symbol"/>
                <w:sz w:val="24"/>
                <w:szCs w:val="24"/>
              </w:rPr>
            </w:pPr>
            <w:r w:rsidRPr="00E07CB1">
              <w:rPr>
                <w:rFonts w:ascii="Symbol" w:hAnsi="Symbol"/>
                <w:sz w:val="24"/>
                <w:szCs w:val="24"/>
              </w:rPr>
              <w:t></w:t>
            </w:r>
            <w:r w:rsidRPr="00E07CB1">
              <w:rPr>
                <w:color w:val="800000"/>
                <w:sz w:val="24"/>
                <w:szCs w:val="24"/>
              </w:rPr>
              <w:t xml:space="preserve">P </w:t>
            </w:r>
            <w:r w:rsidRPr="00E07CB1">
              <w:rPr>
                <w:color w:val="FF0000"/>
                <w:sz w:val="24"/>
                <w:szCs w:val="24"/>
              </w:rPr>
              <w:t>type</w:t>
            </w:r>
            <w:r w:rsidRPr="00E07CB1">
              <w:rPr>
                <w:sz w:val="24"/>
                <w:szCs w:val="24"/>
              </w:rPr>
              <w:t>="IP"</w:t>
            </w:r>
            <w:r w:rsidRPr="00E07CB1">
              <w:rPr>
                <w:rFonts w:ascii="Symbol" w:hAnsi="Symbol"/>
                <w:sz w:val="24"/>
                <w:szCs w:val="24"/>
              </w:rPr>
              <w:t></w:t>
            </w:r>
            <w:r w:rsidRPr="00E07CB1">
              <w:rPr>
                <w:sz w:val="24"/>
                <w:szCs w:val="24"/>
              </w:rPr>
              <w:t>172.16.1.3</w:t>
            </w:r>
            <w:r w:rsidRPr="00E07CB1">
              <w:rPr>
                <w:rFonts w:ascii="Symbol" w:hAnsi="Symbol"/>
                <w:sz w:val="24"/>
                <w:szCs w:val="24"/>
              </w:rPr>
              <w:t></w:t>
            </w:r>
            <w:r w:rsidRPr="00E07CB1">
              <w:rPr>
                <w:sz w:val="24"/>
                <w:szCs w:val="24"/>
              </w:rPr>
              <w:t>/</w:t>
            </w:r>
            <w:r w:rsidRPr="00E07CB1">
              <w:rPr>
                <w:color w:val="800000"/>
                <w:sz w:val="24"/>
                <w:szCs w:val="24"/>
              </w:rPr>
              <w:t>P</w:t>
            </w:r>
            <w:r w:rsidRPr="00E07CB1">
              <w:rPr>
                <w:rFonts w:ascii="Symbol" w:hAnsi="Symbol"/>
                <w:sz w:val="24"/>
                <w:szCs w:val="24"/>
              </w:rPr>
              <w:t></w:t>
            </w:r>
          </w:p>
          <w:p w:rsidR="00474E8E" w:rsidRPr="00E07CB1" w:rsidRDefault="00474E8E" w:rsidP="00474E8E">
            <w:pPr>
              <w:pStyle w:val="BodyText"/>
              <w:spacing w:line="195" w:lineRule="exact"/>
              <w:ind w:left="3712"/>
              <w:rPr>
                <w:rFonts w:ascii="Symbol" w:hAnsi="Symbol"/>
                <w:sz w:val="24"/>
                <w:szCs w:val="24"/>
              </w:rPr>
            </w:pPr>
            <w:r w:rsidRPr="00E07CB1">
              <w:rPr>
                <w:rFonts w:ascii="Symbol" w:hAnsi="Symbol"/>
                <w:sz w:val="24"/>
                <w:szCs w:val="24"/>
              </w:rPr>
              <w:t></w:t>
            </w:r>
            <w:r w:rsidRPr="00E07CB1">
              <w:rPr>
                <w:color w:val="800000"/>
                <w:sz w:val="24"/>
                <w:szCs w:val="24"/>
              </w:rPr>
              <w:t xml:space="preserve">P </w:t>
            </w:r>
            <w:r w:rsidRPr="00E07CB1">
              <w:rPr>
                <w:color w:val="FF0000"/>
                <w:sz w:val="24"/>
                <w:szCs w:val="24"/>
              </w:rPr>
              <w:t>type</w:t>
            </w:r>
            <w:r w:rsidRPr="00E07CB1">
              <w:rPr>
                <w:sz w:val="24"/>
                <w:szCs w:val="24"/>
              </w:rPr>
              <w:t>="IP-SUBNET"</w:t>
            </w:r>
            <w:r w:rsidRPr="00E07CB1">
              <w:rPr>
                <w:rFonts w:ascii="Symbol" w:hAnsi="Symbol"/>
                <w:sz w:val="24"/>
                <w:szCs w:val="24"/>
              </w:rPr>
              <w:t></w:t>
            </w:r>
            <w:r w:rsidRPr="00E07CB1">
              <w:rPr>
                <w:sz w:val="24"/>
                <w:szCs w:val="24"/>
              </w:rPr>
              <w:t>255.255.0.0</w:t>
            </w:r>
            <w:r w:rsidRPr="00E07CB1">
              <w:rPr>
                <w:rFonts w:ascii="Symbol" w:hAnsi="Symbol"/>
                <w:sz w:val="24"/>
                <w:szCs w:val="24"/>
              </w:rPr>
              <w:t></w:t>
            </w:r>
            <w:r w:rsidRPr="00E07CB1">
              <w:rPr>
                <w:sz w:val="24"/>
                <w:szCs w:val="24"/>
              </w:rPr>
              <w:t>/</w:t>
            </w:r>
            <w:r w:rsidRPr="00E07CB1">
              <w:rPr>
                <w:color w:val="800000"/>
                <w:sz w:val="24"/>
                <w:szCs w:val="24"/>
              </w:rPr>
              <w:t>P</w:t>
            </w:r>
            <w:r w:rsidRPr="00E07CB1">
              <w:rPr>
                <w:rFonts w:ascii="Symbol" w:hAnsi="Symbol"/>
                <w:sz w:val="24"/>
                <w:szCs w:val="24"/>
              </w:rPr>
              <w:t></w:t>
            </w:r>
          </w:p>
          <w:p w:rsidR="00474E8E" w:rsidRPr="00E07CB1" w:rsidRDefault="00474E8E" w:rsidP="00474E8E">
            <w:pPr>
              <w:pStyle w:val="BodyText"/>
              <w:ind w:left="2992"/>
              <w:rPr>
                <w:rFonts w:ascii="Symbol" w:hAnsi="Symbol"/>
                <w:sz w:val="24"/>
                <w:szCs w:val="24"/>
              </w:rPr>
            </w:pPr>
            <w:r w:rsidRPr="00E07CB1">
              <w:rPr>
                <w:rFonts w:ascii="Symbol" w:hAnsi="Symbol"/>
                <w:sz w:val="24"/>
                <w:szCs w:val="24"/>
              </w:rPr>
              <w:t></w:t>
            </w:r>
            <w:r w:rsidRPr="00E07CB1">
              <w:rPr>
                <w:sz w:val="24"/>
                <w:szCs w:val="24"/>
              </w:rPr>
              <w:t>/</w:t>
            </w:r>
            <w:r w:rsidRPr="00E07CB1">
              <w:rPr>
                <w:color w:val="800000"/>
                <w:sz w:val="24"/>
                <w:szCs w:val="24"/>
              </w:rPr>
              <w:t>Address</w:t>
            </w:r>
            <w:r w:rsidRPr="00E07CB1">
              <w:rPr>
                <w:rFonts w:ascii="Symbol" w:hAnsi="Symbol"/>
                <w:sz w:val="24"/>
                <w:szCs w:val="24"/>
              </w:rPr>
              <w:t></w:t>
            </w:r>
          </w:p>
          <w:p w:rsidR="00474E8E" w:rsidRPr="00E07CB1" w:rsidRDefault="00474E8E" w:rsidP="00474E8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sz w:val="24"/>
                <w:szCs w:val="24"/>
              </w:rPr>
              <w:t>/ConnectedAP</w:t>
            </w:r>
            <w:r w:rsidRPr="00E07CB1">
              <w:rPr>
                <w:rFonts w:ascii="Symbol" w:hAnsi="Symbol"/>
                <w:sz w:val="24"/>
                <w:szCs w:val="24"/>
              </w:rPr>
              <w:t></w:t>
            </w:r>
          </w:p>
          <w:p w:rsidR="00474E8E" w:rsidRPr="00E07CB1" w:rsidRDefault="00474E8E" w:rsidP="00474E8E">
            <w:pPr>
              <w:pStyle w:val="BodyText"/>
              <w:spacing w:line="195" w:lineRule="exact"/>
              <w:ind w:left="1552"/>
              <w:rPr>
                <w:rFonts w:ascii="Symbol" w:hAnsi="Symbol"/>
                <w:sz w:val="24"/>
                <w:szCs w:val="24"/>
              </w:rPr>
            </w:pPr>
            <w:r w:rsidRPr="00E07CB1">
              <w:rPr>
                <w:rFonts w:ascii="Symbol" w:hAnsi="Symbol"/>
                <w:sz w:val="24"/>
                <w:szCs w:val="24"/>
              </w:rPr>
              <w:t></w:t>
            </w:r>
            <w:r w:rsidRPr="00E07CB1">
              <w:rPr>
                <w:sz w:val="24"/>
                <w:szCs w:val="24"/>
              </w:rPr>
              <w:t>/SubNetwork</w:t>
            </w:r>
            <w:r w:rsidRPr="00E07CB1">
              <w:rPr>
                <w:rFonts w:ascii="Symbol" w:hAnsi="Symbol"/>
                <w:sz w:val="24"/>
                <w:szCs w:val="24"/>
              </w:rPr>
              <w:t></w:t>
            </w:r>
          </w:p>
          <w:p w:rsidR="00474E8E" w:rsidRPr="00E07CB1" w:rsidRDefault="00474E8E" w:rsidP="00474E8E">
            <w:pPr>
              <w:pStyle w:val="BodyText"/>
              <w:spacing w:before="1"/>
              <w:ind w:left="832"/>
              <w:rPr>
                <w:rFonts w:ascii="Symbol" w:hAnsi="Symbol"/>
                <w:sz w:val="24"/>
                <w:szCs w:val="24"/>
              </w:rPr>
            </w:pPr>
            <w:r w:rsidRPr="00E07CB1">
              <w:rPr>
                <w:rFonts w:ascii="Symbol" w:hAnsi="Symbol"/>
                <w:sz w:val="24"/>
                <w:szCs w:val="24"/>
              </w:rPr>
              <w:t></w:t>
            </w:r>
            <w:r w:rsidRPr="00E07CB1">
              <w:rPr>
                <w:sz w:val="24"/>
                <w:szCs w:val="24"/>
              </w:rPr>
              <w:t>/Communication</w:t>
            </w:r>
            <w:r w:rsidRPr="00E07CB1">
              <w:rPr>
                <w:rFonts w:ascii="Symbol" w:hAnsi="Symbol"/>
                <w:sz w:val="24"/>
                <w:szCs w:val="24"/>
              </w:rPr>
              <w:t></w:t>
            </w:r>
          </w:p>
          <w:p w:rsidR="00474E8E" w:rsidRPr="00E07CB1" w:rsidRDefault="00474E8E" w:rsidP="00474E8E">
            <w:pPr>
              <w:pStyle w:val="BodyText"/>
              <w:spacing w:before="1" w:line="195" w:lineRule="exact"/>
              <w:ind w:left="832"/>
              <w:rPr>
                <w:rFonts w:ascii="Symbol" w:hAnsi="Symbol"/>
                <w:sz w:val="24"/>
                <w:szCs w:val="24"/>
              </w:rPr>
            </w:pPr>
            <w:r w:rsidRPr="00E07CB1">
              <w:rPr>
                <w:rFonts w:ascii="Symbol" w:hAnsi="Symbol"/>
                <w:sz w:val="24"/>
                <w:szCs w:val="24"/>
              </w:rPr>
              <w:t></w:t>
            </w:r>
            <w:r w:rsidRPr="00E07CB1">
              <w:rPr>
                <w:color w:val="800000"/>
                <w:sz w:val="24"/>
                <w:szCs w:val="24"/>
              </w:rPr>
              <w:t xml:space="preserve">IED </w:t>
            </w:r>
            <w:r w:rsidRPr="00E07CB1">
              <w:rPr>
                <w:color w:val="FF0000"/>
                <w:sz w:val="24"/>
                <w:szCs w:val="24"/>
              </w:rPr>
              <w:t>name</w:t>
            </w:r>
            <w:r w:rsidRPr="00E07CB1">
              <w:rPr>
                <w:sz w:val="24"/>
                <w:szCs w:val="24"/>
              </w:rPr>
              <w:t xml:space="preserve">="AA1KA1" </w:t>
            </w:r>
            <w:r w:rsidRPr="00E07CB1">
              <w:rPr>
                <w:color w:val="FF0000"/>
                <w:sz w:val="24"/>
                <w:szCs w:val="24"/>
              </w:rPr>
              <w:t>desc</w:t>
            </w:r>
            <w:r w:rsidRPr="00E07CB1">
              <w:rPr>
                <w:sz w:val="24"/>
                <w:szCs w:val="24"/>
              </w:rPr>
              <w:t xml:space="preserve">="Client receiving Synchrophasor data" </w:t>
            </w:r>
            <w:r w:rsidRPr="00E07CB1">
              <w:rPr>
                <w:color w:val="FF0000"/>
                <w:sz w:val="24"/>
                <w:szCs w:val="24"/>
              </w:rPr>
              <w:t>type</w:t>
            </w:r>
            <w:r w:rsidRPr="00E07CB1">
              <w:rPr>
                <w:sz w:val="24"/>
                <w:szCs w:val="24"/>
              </w:rPr>
              <w:t xml:space="preserve">="OPCServer" </w:t>
            </w:r>
            <w:r w:rsidRPr="00E07CB1">
              <w:rPr>
                <w:color w:val="FF0000"/>
                <w:sz w:val="24"/>
                <w:szCs w:val="24"/>
              </w:rPr>
              <w:t>manufacturer</w:t>
            </w:r>
            <w:r w:rsidRPr="00E07CB1">
              <w:rPr>
                <w:sz w:val="24"/>
                <w:szCs w:val="24"/>
              </w:rPr>
              <w:t xml:space="preserve">="ME" </w:t>
            </w:r>
            <w:r w:rsidRPr="00E07CB1">
              <w:rPr>
                <w:color w:val="FF0000"/>
                <w:sz w:val="24"/>
                <w:szCs w:val="24"/>
              </w:rPr>
              <w:t>configVersion</w:t>
            </w:r>
            <w:r w:rsidRPr="00E07CB1">
              <w:rPr>
                <w:sz w:val="24"/>
                <w:szCs w:val="24"/>
              </w:rPr>
              <w:t xml:space="preserve">="1.0" </w:t>
            </w:r>
            <w:r w:rsidRPr="00E07CB1">
              <w:rPr>
                <w:rFonts w:ascii="Symbol" w:hAnsi="Symbol"/>
                <w:sz w:val="24"/>
                <w:szCs w:val="24"/>
              </w:rPr>
              <w:t></w:t>
            </w:r>
          </w:p>
          <w:p w:rsidR="00474E8E" w:rsidRPr="00E07CB1" w:rsidRDefault="00474E8E" w:rsidP="00474E8E">
            <w:pPr>
              <w:pStyle w:val="BodyText"/>
              <w:spacing w:line="195" w:lineRule="exact"/>
              <w:ind w:left="1552"/>
              <w:rPr>
                <w:rFonts w:ascii="Symbol" w:hAnsi="Symbol"/>
                <w:sz w:val="24"/>
                <w:szCs w:val="24"/>
              </w:rPr>
            </w:pPr>
            <w:r w:rsidRPr="00E07CB1">
              <w:rPr>
                <w:rFonts w:ascii="Symbol" w:hAnsi="Symbol"/>
                <w:sz w:val="24"/>
                <w:szCs w:val="24"/>
              </w:rPr>
              <w:t></w:t>
            </w:r>
            <w:r w:rsidRPr="00E07CB1">
              <w:rPr>
                <w:sz w:val="24"/>
                <w:szCs w:val="24"/>
              </w:rPr>
              <w:t xml:space="preserve">AccessPoint </w:t>
            </w:r>
            <w:r w:rsidRPr="00E07CB1">
              <w:rPr>
                <w:color w:val="FF0000"/>
                <w:sz w:val="24"/>
                <w:szCs w:val="24"/>
              </w:rPr>
              <w:t>name</w:t>
            </w:r>
            <w:r w:rsidRPr="00E07CB1">
              <w:rPr>
                <w:sz w:val="24"/>
                <w:szCs w:val="24"/>
              </w:rPr>
              <w:t>="S1"</w:t>
            </w:r>
            <w:r w:rsidRPr="00E07CB1">
              <w:rPr>
                <w:rFonts w:ascii="Symbol" w:hAnsi="Symbol"/>
                <w:sz w:val="24"/>
                <w:szCs w:val="24"/>
              </w:rPr>
              <w:t></w:t>
            </w:r>
          </w:p>
          <w:p w:rsidR="00474E8E" w:rsidRPr="00E07CB1" w:rsidRDefault="00474E8E" w:rsidP="00474E8E">
            <w:pPr>
              <w:pStyle w:val="BodyText"/>
              <w:ind w:left="2272"/>
              <w:rPr>
                <w:rFonts w:ascii="Symbol" w:hAnsi="Symbol"/>
                <w:sz w:val="24"/>
                <w:szCs w:val="24"/>
              </w:rPr>
            </w:pPr>
            <w:r w:rsidRPr="00E07CB1">
              <w:rPr>
                <w:rFonts w:ascii="Symbol" w:hAnsi="Symbol"/>
                <w:sz w:val="24"/>
                <w:szCs w:val="24"/>
              </w:rPr>
              <w:t></w:t>
            </w:r>
            <w:r w:rsidRPr="00E07CB1">
              <w:rPr>
                <w:color w:val="800000"/>
                <w:sz w:val="24"/>
                <w:szCs w:val="24"/>
              </w:rPr>
              <w:t xml:space="preserve">LN </w:t>
            </w:r>
            <w:r w:rsidRPr="00E07CB1">
              <w:rPr>
                <w:color w:val="FF0000"/>
                <w:sz w:val="24"/>
                <w:szCs w:val="24"/>
              </w:rPr>
              <w:t>inst</w:t>
            </w:r>
            <w:r w:rsidRPr="00E07CB1">
              <w:rPr>
                <w:sz w:val="24"/>
                <w:szCs w:val="24"/>
              </w:rPr>
              <w:t xml:space="preserve">="1" </w:t>
            </w:r>
            <w:r w:rsidRPr="00E07CB1">
              <w:rPr>
                <w:color w:val="FF0000"/>
                <w:sz w:val="24"/>
                <w:szCs w:val="24"/>
              </w:rPr>
              <w:t>lnClass</w:t>
            </w:r>
            <w:r w:rsidRPr="00E07CB1">
              <w:rPr>
                <w:sz w:val="24"/>
                <w:szCs w:val="24"/>
              </w:rPr>
              <w:t xml:space="preserve">="IHMI" </w:t>
            </w:r>
            <w:r w:rsidRPr="00E07CB1">
              <w:rPr>
                <w:color w:val="FF0000"/>
                <w:sz w:val="24"/>
                <w:szCs w:val="24"/>
              </w:rPr>
              <w:t>lnType</w:t>
            </w:r>
            <w:r w:rsidRPr="00E07CB1">
              <w:rPr>
                <w:sz w:val="24"/>
                <w:szCs w:val="24"/>
              </w:rPr>
              <w:t>="IHMI_OPCServer_IEC61850"/</w:t>
            </w:r>
            <w:r w:rsidRPr="00E07CB1">
              <w:rPr>
                <w:rFonts w:ascii="Symbol" w:hAnsi="Symbol"/>
                <w:sz w:val="24"/>
                <w:szCs w:val="24"/>
              </w:rPr>
              <w:t></w:t>
            </w:r>
          </w:p>
          <w:p w:rsidR="00474E8E" w:rsidRPr="00E07CB1" w:rsidRDefault="00474E8E" w:rsidP="00474E8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sz w:val="24"/>
                <w:szCs w:val="24"/>
              </w:rPr>
              <w:t>!-- shall receive the phasor data from the PMU --</w:t>
            </w:r>
            <w:r w:rsidRPr="00E07CB1">
              <w:rPr>
                <w:rFonts w:ascii="Symbol" w:hAnsi="Symbol"/>
                <w:sz w:val="24"/>
                <w:szCs w:val="24"/>
              </w:rPr>
              <w:t></w:t>
            </w:r>
          </w:p>
          <w:p w:rsidR="00474E8E" w:rsidRPr="00E07CB1" w:rsidRDefault="00474E8E" w:rsidP="00474E8E">
            <w:pPr>
              <w:pStyle w:val="BodyText"/>
              <w:spacing w:line="195" w:lineRule="exact"/>
              <w:ind w:left="1552"/>
              <w:rPr>
                <w:rFonts w:ascii="Symbol" w:hAnsi="Symbol"/>
                <w:sz w:val="24"/>
                <w:szCs w:val="24"/>
              </w:rPr>
            </w:pPr>
            <w:r w:rsidRPr="00E07CB1">
              <w:rPr>
                <w:rFonts w:ascii="Symbol" w:hAnsi="Symbol"/>
                <w:sz w:val="24"/>
                <w:szCs w:val="24"/>
              </w:rPr>
              <w:t></w:t>
            </w:r>
            <w:r w:rsidRPr="00E07CB1">
              <w:rPr>
                <w:sz w:val="24"/>
                <w:szCs w:val="24"/>
              </w:rPr>
              <w:t>/AccessPoint</w:t>
            </w:r>
            <w:r w:rsidRPr="00E07CB1">
              <w:rPr>
                <w:rFonts w:ascii="Symbol" w:hAnsi="Symbol"/>
                <w:sz w:val="24"/>
                <w:szCs w:val="24"/>
              </w:rPr>
              <w:t></w:t>
            </w:r>
          </w:p>
          <w:p w:rsidR="00474E8E" w:rsidRPr="00E07CB1" w:rsidRDefault="00474E8E" w:rsidP="00474E8E">
            <w:pPr>
              <w:pStyle w:val="BodyText"/>
              <w:spacing w:before="1"/>
              <w:ind w:left="832"/>
              <w:rPr>
                <w:rFonts w:ascii="Symbol" w:hAnsi="Symbol"/>
                <w:sz w:val="24"/>
                <w:szCs w:val="24"/>
              </w:rPr>
            </w:pPr>
            <w:r w:rsidRPr="00E07CB1">
              <w:rPr>
                <w:rFonts w:ascii="Symbol" w:hAnsi="Symbol"/>
                <w:sz w:val="24"/>
                <w:szCs w:val="24"/>
              </w:rPr>
              <w:t></w:t>
            </w:r>
            <w:r w:rsidRPr="00E07CB1">
              <w:rPr>
                <w:sz w:val="24"/>
                <w:szCs w:val="24"/>
              </w:rPr>
              <w:t>/</w:t>
            </w:r>
            <w:r w:rsidRPr="00E07CB1">
              <w:rPr>
                <w:color w:val="800000"/>
                <w:sz w:val="24"/>
                <w:szCs w:val="24"/>
              </w:rPr>
              <w:t>IED</w:t>
            </w:r>
            <w:r w:rsidRPr="00E07CB1">
              <w:rPr>
                <w:rFonts w:ascii="Symbol" w:hAnsi="Symbol"/>
                <w:sz w:val="24"/>
                <w:szCs w:val="24"/>
              </w:rPr>
              <w:t></w:t>
            </w:r>
          </w:p>
          <w:p w:rsidR="00474E8E" w:rsidRPr="00E07CB1" w:rsidRDefault="00474E8E" w:rsidP="00474E8E">
            <w:pPr>
              <w:pStyle w:val="BodyText"/>
              <w:spacing w:before="1" w:line="195" w:lineRule="exact"/>
              <w:ind w:left="832"/>
              <w:rPr>
                <w:rFonts w:ascii="Symbol" w:hAnsi="Symbol"/>
                <w:sz w:val="24"/>
                <w:szCs w:val="24"/>
              </w:rPr>
            </w:pPr>
            <w:r w:rsidRPr="00E07CB1">
              <w:rPr>
                <w:rFonts w:ascii="Symbol" w:hAnsi="Symbol"/>
                <w:sz w:val="24"/>
                <w:szCs w:val="24"/>
              </w:rPr>
              <w:t></w:t>
            </w:r>
            <w:r w:rsidRPr="00E07CB1">
              <w:rPr>
                <w:color w:val="800000"/>
                <w:sz w:val="24"/>
                <w:szCs w:val="24"/>
              </w:rPr>
              <w:t xml:space="preserve">IED </w:t>
            </w:r>
            <w:r w:rsidRPr="00E07CB1">
              <w:rPr>
                <w:sz w:val="24"/>
                <w:szCs w:val="24"/>
              </w:rPr>
              <w:t>name="AA1FP1" type="PMU" manufacturer="Whatever" configVersion="1.0"</w:t>
            </w:r>
            <w:r w:rsidRPr="00E07CB1">
              <w:rPr>
                <w:rFonts w:ascii="Symbol" w:hAnsi="Symbol"/>
                <w:sz w:val="24"/>
                <w:szCs w:val="24"/>
              </w:rPr>
              <w:t></w:t>
            </w:r>
          </w:p>
          <w:p w:rsidR="00474E8E" w:rsidRPr="00E07CB1" w:rsidRDefault="00474E8E" w:rsidP="00474E8E">
            <w:pPr>
              <w:pStyle w:val="BodyText"/>
              <w:spacing w:line="195" w:lineRule="exact"/>
              <w:ind w:left="1552"/>
              <w:rPr>
                <w:rFonts w:ascii="Symbol" w:hAnsi="Symbol"/>
                <w:sz w:val="24"/>
                <w:szCs w:val="24"/>
              </w:rPr>
            </w:pPr>
            <w:r w:rsidRPr="00E07CB1">
              <w:rPr>
                <w:rFonts w:ascii="Symbol" w:hAnsi="Symbol"/>
                <w:sz w:val="24"/>
                <w:szCs w:val="24"/>
              </w:rPr>
              <w:t></w:t>
            </w:r>
            <w:r w:rsidRPr="00E07CB1">
              <w:rPr>
                <w:sz w:val="24"/>
                <w:szCs w:val="24"/>
              </w:rPr>
              <w:t>Services</w:t>
            </w:r>
            <w:r w:rsidRPr="00E07CB1">
              <w:rPr>
                <w:rFonts w:ascii="Symbol" w:hAnsi="Symbol"/>
                <w:sz w:val="24"/>
                <w:szCs w:val="24"/>
              </w:rPr>
              <w:t></w:t>
            </w:r>
          </w:p>
          <w:p w:rsidR="00474E8E" w:rsidRPr="00E07CB1" w:rsidRDefault="00474E8E" w:rsidP="00474E8E">
            <w:pPr>
              <w:pStyle w:val="BodyText"/>
              <w:spacing w:before="1"/>
              <w:ind w:left="2272"/>
              <w:rPr>
                <w:rFonts w:ascii="Symbol" w:hAnsi="Symbol"/>
                <w:sz w:val="24"/>
                <w:szCs w:val="24"/>
              </w:rPr>
            </w:pPr>
            <w:r w:rsidRPr="00E07CB1">
              <w:rPr>
                <w:rFonts w:ascii="Symbol" w:hAnsi="Symbol"/>
                <w:sz w:val="24"/>
                <w:szCs w:val="24"/>
              </w:rPr>
              <w:t></w:t>
            </w:r>
            <w:r w:rsidRPr="00E07CB1">
              <w:rPr>
                <w:sz w:val="24"/>
                <w:szCs w:val="24"/>
              </w:rPr>
              <w:t>DynAssociation/</w:t>
            </w:r>
            <w:r w:rsidRPr="00E07CB1">
              <w:rPr>
                <w:rFonts w:ascii="Symbol" w:hAnsi="Symbol"/>
                <w:sz w:val="24"/>
                <w:szCs w:val="24"/>
              </w:rPr>
              <w:t></w:t>
            </w:r>
          </w:p>
          <w:p w:rsidR="00474E8E" w:rsidRPr="00E07CB1" w:rsidRDefault="00474E8E" w:rsidP="00474E8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ConfDataSet </w:t>
            </w:r>
            <w:r w:rsidRPr="00E07CB1">
              <w:rPr>
                <w:color w:val="FF0000"/>
                <w:sz w:val="24"/>
                <w:szCs w:val="24"/>
              </w:rPr>
              <w:t>max</w:t>
            </w:r>
            <w:r w:rsidRPr="00E07CB1">
              <w:rPr>
                <w:sz w:val="24"/>
                <w:szCs w:val="24"/>
              </w:rPr>
              <w:t xml:space="preserve">="50" </w:t>
            </w:r>
            <w:r w:rsidRPr="00E07CB1">
              <w:rPr>
                <w:color w:val="FF0000"/>
                <w:sz w:val="24"/>
                <w:szCs w:val="24"/>
              </w:rPr>
              <w:t>maxAttributes</w:t>
            </w:r>
            <w:r w:rsidRPr="00E07CB1">
              <w:rPr>
                <w:sz w:val="24"/>
                <w:szCs w:val="24"/>
              </w:rPr>
              <w:t>="240"/</w:t>
            </w:r>
            <w:r w:rsidRPr="00E07CB1">
              <w:rPr>
                <w:rFonts w:ascii="Symbol" w:hAnsi="Symbol"/>
                <w:sz w:val="24"/>
                <w:szCs w:val="24"/>
              </w:rPr>
              <w:t></w:t>
            </w:r>
          </w:p>
          <w:p w:rsidR="00474E8E" w:rsidRPr="00E07CB1" w:rsidRDefault="00474E8E" w:rsidP="00474E8E">
            <w:pPr>
              <w:pStyle w:val="BodyText"/>
              <w:spacing w:line="195" w:lineRule="exact"/>
              <w:ind w:left="2272"/>
              <w:rPr>
                <w:rFonts w:ascii="Symbol" w:hAnsi="Symbol"/>
                <w:sz w:val="24"/>
                <w:szCs w:val="24"/>
              </w:rPr>
            </w:pPr>
            <w:r w:rsidRPr="00E07CB1">
              <w:rPr>
                <w:rFonts w:ascii="Symbol" w:hAnsi="Symbol"/>
                <w:sz w:val="24"/>
                <w:szCs w:val="24"/>
              </w:rPr>
              <w:t></w:t>
            </w:r>
            <w:r w:rsidRPr="00E07CB1">
              <w:rPr>
                <w:sz w:val="24"/>
                <w:szCs w:val="24"/>
              </w:rPr>
              <w:t>ReadWrite/</w:t>
            </w:r>
            <w:r w:rsidRPr="00E07CB1">
              <w:rPr>
                <w:rFonts w:ascii="Symbol" w:hAnsi="Symbol"/>
                <w:sz w:val="24"/>
                <w:szCs w:val="24"/>
              </w:rPr>
              <w:t></w:t>
            </w:r>
          </w:p>
          <w:p w:rsidR="00474E8E" w:rsidRPr="00E07CB1" w:rsidRDefault="00474E8E" w:rsidP="00474E8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SMVSettings </w:t>
            </w:r>
            <w:r w:rsidRPr="00E07CB1">
              <w:rPr>
                <w:color w:val="FF0000"/>
                <w:sz w:val="24"/>
                <w:szCs w:val="24"/>
              </w:rPr>
              <w:t>datSet</w:t>
            </w:r>
            <w:r w:rsidRPr="00E07CB1">
              <w:rPr>
                <w:sz w:val="24"/>
                <w:szCs w:val="24"/>
              </w:rPr>
              <w:t>="Conf"</w:t>
            </w:r>
            <w:r w:rsidRPr="00E07CB1">
              <w:rPr>
                <w:rFonts w:ascii="Symbol" w:hAnsi="Symbol"/>
                <w:sz w:val="24"/>
                <w:szCs w:val="24"/>
              </w:rPr>
              <w:t></w:t>
            </w:r>
          </w:p>
          <w:p w:rsidR="00474E8E" w:rsidRPr="00E07CB1" w:rsidRDefault="00474E8E" w:rsidP="00474E8E">
            <w:pPr>
              <w:pStyle w:val="BodyText"/>
              <w:spacing w:before="1" w:line="195" w:lineRule="exact"/>
              <w:ind w:left="2992"/>
              <w:rPr>
                <w:rFonts w:ascii="Symbol" w:hAnsi="Symbol"/>
                <w:sz w:val="24"/>
                <w:szCs w:val="24"/>
              </w:rPr>
            </w:pPr>
            <w:r w:rsidRPr="00E07CB1">
              <w:rPr>
                <w:rFonts w:ascii="Symbol" w:hAnsi="Symbol"/>
                <w:sz w:val="24"/>
                <w:szCs w:val="24"/>
              </w:rPr>
              <w:t></w:t>
            </w:r>
            <w:r w:rsidRPr="00E07CB1">
              <w:rPr>
                <w:sz w:val="24"/>
                <w:szCs w:val="24"/>
              </w:rPr>
              <w:t>SmpRate</w:t>
            </w:r>
            <w:r w:rsidRPr="00E07CB1">
              <w:rPr>
                <w:rFonts w:ascii="Symbol" w:hAnsi="Symbol"/>
                <w:sz w:val="24"/>
                <w:szCs w:val="24"/>
              </w:rPr>
              <w:t></w:t>
            </w:r>
            <w:r w:rsidRPr="00E07CB1">
              <w:rPr>
                <w:sz w:val="24"/>
                <w:szCs w:val="24"/>
              </w:rPr>
              <w:t>2</w:t>
            </w:r>
            <w:r w:rsidRPr="00E07CB1">
              <w:rPr>
                <w:rFonts w:ascii="Symbol" w:hAnsi="Symbol"/>
                <w:sz w:val="24"/>
                <w:szCs w:val="24"/>
              </w:rPr>
              <w:t></w:t>
            </w:r>
            <w:r w:rsidRPr="00E07CB1">
              <w:rPr>
                <w:sz w:val="24"/>
                <w:szCs w:val="24"/>
              </w:rPr>
              <w:t>/SmpRate</w:t>
            </w:r>
            <w:r w:rsidRPr="00E07CB1">
              <w:rPr>
                <w:rFonts w:ascii="Symbol" w:hAnsi="Symbol"/>
                <w:sz w:val="24"/>
                <w:szCs w:val="24"/>
              </w:rPr>
              <w:t></w:t>
            </w:r>
          </w:p>
          <w:p w:rsidR="00474E8E" w:rsidRPr="00E07CB1" w:rsidRDefault="00474E8E" w:rsidP="00474E8E">
            <w:pPr>
              <w:pStyle w:val="BodyText"/>
              <w:spacing w:line="195" w:lineRule="exact"/>
              <w:ind w:left="2272"/>
              <w:rPr>
                <w:rFonts w:ascii="Symbol" w:hAnsi="Symbol"/>
                <w:sz w:val="24"/>
                <w:szCs w:val="24"/>
              </w:rPr>
            </w:pPr>
            <w:r w:rsidRPr="00E07CB1">
              <w:rPr>
                <w:rFonts w:ascii="Symbol" w:hAnsi="Symbol"/>
                <w:sz w:val="24"/>
                <w:szCs w:val="24"/>
              </w:rPr>
              <w:t></w:t>
            </w:r>
            <w:r w:rsidRPr="00E07CB1">
              <w:rPr>
                <w:sz w:val="24"/>
                <w:szCs w:val="24"/>
              </w:rPr>
              <w:t>/SMVSettings</w:t>
            </w:r>
            <w:r w:rsidRPr="00E07CB1">
              <w:rPr>
                <w:rFonts w:ascii="Symbol" w:hAnsi="Symbol"/>
                <w:sz w:val="24"/>
                <w:szCs w:val="24"/>
              </w:rPr>
              <w:t></w:t>
            </w:r>
          </w:p>
          <w:p w:rsidR="00474E8E" w:rsidRPr="00E07CB1" w:rsidRDefault="00474E8E" w:rsidP="00474E8E">
            <w:pPr>
              <w:pStyle w:val="BodyText"/>
              <w:spacing w:before="1"/>
              <w:ind w:left="1552"/>
              <w:rPr>
                <w:rFonts w:ascii="Symbol" w:hAnsi="Symbol"/>
                <w:sz w:val="24"/>
                <w:szCs w:val="24"/>
              </w:rPr>
            </w:pPr>
            <w:r w:rsidRPr="00E07CB1">
              <w:rPr>
                <w:rFonts w:ascii="Symbol" w:hAnsi="Symbol"/>
                <w:sz w:val="24"/>
                <w:szCs w:val="24"/>
              </w:rPr>
              <w:t></w:t>
            </w:r>
            <w:r w:rsidRPr="00E07CB1">
              <w:rPr>
                <w:sz w:val="24"/>
                <w:szCs w:val="24"/>
              </w:rPr>
              <w:t>/Services</w:t>
            </w:r>
            <w:r w:rsidRPr="00E07CB1">
              <w:rPr>
                <w:rFonts w:ascii="Symbol" w:hAnsi="Symbol"/>
                <w:sz w:val="24"/>
                <w:szCs w:val="24"/>
              </w:rPr>
              <w:t></w:t>
            </w:r>
          </w:p>
          <w:p w:rsidR="00474E8E" w:rsidRPr="00E07CB1" w:rsidRDefault="00474E8E" w:rsidP="00474E8E">
            <w:pPr>
              <w:pStyle w:val="BodyText"/>
              <w:spacing w:before="1"/>
              <w:ind w:left="1552"/>
              <w:rPr>
                <w:sz w:val="24"/>
                <w:szCs w:val="24"/>
              </w:rPr>
            </w:pPr>
            <w:r w:rsidRPr="00E07CB1">
              <w:rPr>
                <w:sz w:val="24"/>
                <w:szCs w:val="24"/>
              </w:rPr>
              <w:t>&lt;AccessPoint name="S1"&gt;</w:t>
            </w:r>
          </w:p>
          <w:p w:rsidR="00474E8E" w:rsidRPr="00E07CB1" w:rsidRDefault="00474E8E" w:rsidP="00474E8E">
            <w:pPr>
              <w:pStyle w:val="BodyText"/>
              <w:spacing w:before="1"/>
              <w:ind w:left="1552"/>
              <w:rPr>
                <w:sz w:val="24"/>
                <w:szCs w:val="24"/>
              </w:rPr>
            </w:pPr>
            <w:r w:rsidRPr="00E07CB1">
              <w:rPr>
                <w:sz w:val="24"/>
                <w:szCs w:val="24"/>
              </w:rPr>
              <w:t>&lt;Server&gt;</w:t>
            </w:r>
          </w:p>
          <w:p w:rsidR="00474E8E" w:rsidRPr="00E07CB1" w:rsidRDefault="00474E8E" w:rsidP="00474E8E">
            <w:pPr>
              <w:pStyle w:val="BodyText"/>
              <w:ind w:left="2992"/>
              <w:rPr>
                <w:rFonts w:ascii="Symbol" w:hAnsi="Symbol"/>
                <w:sz w:val="24"/>
                <w:szCs w:val="24"/>
              </w:rPr>
            </w:pPr>
            <w:r w:rsidRPr="00E07CB1">
              <w:rPr>
                <w:rFonts w:ascii="Symbol" w:hAnsi="Symbol"/>
                <w:sz w:val="24"/>
                <w:szCs w:val="24"/>
              </w:rPr>
              <w:t></w:t>
            </w:r>
            <w:r w:rsidRPr="00E07CB1">
              <w:rPr>
                <w:color w:val="800000"/>
                <w:sz w:val="24"/>
                <w:szCs w:val="24"/>
              </w:rPr>
              <w:t xml:space="preserve">Authentication </w:t>
            </w:r>
            <w:r w:rsidRPr="00E07CB1">
              <w:rPr>
                <w:color w:val="FF0000"/>
                <w:sz w:val="24"/>
                <w:szCs w:val="24"/>
              </w:rPr>
              <w:t>none</w:t>
            </w:r>
            <w:r w:rsidRPr="00E07CB1">
              <w:rPr>
                <w:sz w:val="24"/>
                <w:szCs w:val="24"/>
              </w:rPr>
              <w:t>="true"/</w:t>
            </w:r>
            <w:r w:rsidRPr="00E07CB1">
              <w:rPr>
                <w:rFonts w:ascii="Symbol" w:hAnsi="Symbol"/>
                <w:sz w:val="24"/>
                <w:szCs w:val="24"/>
              </w:rPr>
              <w:t></w:t>
            </w:r>
          </w:p>
          <w:p w:rsidR="00474E8E" w:rsidRPr="00E07CB1" w:rsidRDefault="00474E8E" w:rsidP="00474E8E">
            <w:pPr>
              <w:pStyle w:val="BodyText"/>
              <w:spacing w:before="1" w:line="195" w:lineRule="exact"/>
              <w:ind w:left="2992"/>
              <w:rPr>
                <w:rFonts w:ascii="Symbol" w:hAnsi="Symbol"/>
                <w:sz w:val="24"/>
                <w:szCs w:val="24"/>
              </w:rPr>
            </w:pPr>
            <w:r w:rsidRPr="00E07CB1">
              <w:rPr>
                <w:rFonts w:ascii="Symbol" w:hAnsi="Symbol"/>
                <w:sz w:val="24"/>
                <w:szCs w:val="24"/>
              </w:rPr>
              <w:t></w:t>
            </w:r>
            <w:r w:rsidRPr="00E07CB1">
              <w:rPr>
                <w:color w:val="800000"/>
                <w:sz w:val="24"/>
                <w:szCs w:val="24"/>
              </w:rPr>
              <w:t xml:space="preserve">LDevice </w:t>
            </w:r>
            <w:r w:rsidRPr="00E07CB1">
              <w:rPr>
                <w:color w:val="FF0000"/>
                <w:sz w:val="24"/>
                <w:szCs w:val="24"/>
              </w:rPr>
              <w:t>inst</w:t>
            </w:r>
            <w:r w:rsidRPr="00E07CB1">
              <w:rPr>
                <w:sz w:val="24"/>
                <w:szCs w:val="24"/>
              </w:rPr>
              <w:t>="PMU"</w:t>
            </w:r>
            <w:r w:rsidRPr="00E07CB1">
              <w:rPr>
                <w:rFonts w:ascii="Symbol" w:hAnsi="Symbol"/>
                <w:sz w:val="24"/>
                <w:szCs w:val="24"/>
              </w:rPr>
              <w:t></w:t>
            </w:r>
          </w:p>
          <w:p w:rsidR="00474E8E" w:rsidRPr="00E07CB1" w:rsidRDefault="00474E8E" w:rsidP="00474E8E">
            <w:pPr>
              <w:pStyle w:val="BodyText"/>
              <w:spacing w:line="195" w:lineRule="exact"/>
              <w:ind w:left="3712"/>
              <w:rPr>
                <w:rFonts w:ascii="Symbol" w:hAnsi="Symbol"/>
                <w:sz w:val="24"/>
                <w:szCs w:val="24"/>
              </w:rPr>
            </w:pPr>
            <w:r w:rsidRPr="00E07CB1">
              <w:rPr>
                <w:rFonts w:ascii="Symbol" w:hAnsi="Symbol"/>
                <w:sz w:val="24"/>
                <w:szCs w:val="24"/>
              </w:rPr>
              <w:t></w:t>
            </w:r>
            <w:r w:rsidRPr="00E07CB1">
              <w:rPr>
                <w:color w:val="800000"/>
                <w:sz w:val="24"/>
                <w:szCs w:val="24"/>
              </w:rPr>
              <w:t xml:space="preserve">LN0 </w:t>
            </w:r>
            <w:r w:rsidRPr="00E07CB1">
              <w:rPr>
                <w:color w:val="FF0000"/>
                <w:sz w:val="24"/>
                <w:szCs w:val="24"/>
              </w:rPr>
              <w:t>inst</w:t>
            </w:r>
            <w:r w:rsidRPr="00E07CB1">
              <w:rPr>
                <w:sz w:val="24"/>
                <w:szCs w:val="24"/>
              </w:rPr>
              <w:t xml:space="preserve">="" </w:t>
            </w:r>
            <w:r w:rsidRPr="00E07CB1">
              <w:rPr>
                <w:color w:val="FF0000"/>
                <w:sz w:val="24"/>
                <w:szCs w:val="24"/>
              </w:rPr>
              <w:t>lnClass</w:t>
            </w:r>
            <w:r w:rsidRPr="00E07CB1">
              <w:rPr>
                <w:sz w:val="24"/>
                <w:szCs w:val="24"/>
              </w:rPr>
              <w:t xml:space="preserve">="LLN0" </w:t>
            </w:r>
            <w:r w:rsidRPr="00E07CB1">
              <w:rPr>
                <w:color w:val="FF0000"/>
                <w:sz w:val="24"/>
                <w:szCs w:val="24"/>
              </w:rPr>
              <w:t>lnType</w:t>
            </w:r>
            <w:r w:rsidRPr="00E07CB1">
              <w:rPr>
                <w:sz w:val="24"/>
                <w:szCs w:val="24"/>
              </w:rPr>
              <w:t>="LLN0_RELx_IEC61850"</w:t>
            </w:r>
            <w:r w:rsidRPr="00E07CB1">
              <w:rPr>
                <w:rFonts w:ascii="Symbol" w:hAnsi="Symbol"/>
                <w:sz w:val="24"/>
                <w:szCs w:val="24"/>
              </w:rPr>
              <w:t></w:t>
            </w:r>
          </w:p>
          <w:p w:rsidR="00474E8E" w:rsidRPr="00E07CB1" w:rsidRDefault="00474E8E" w:rsidP="00474E8E">
            <w:pPr>
              <w:pStyle w:val="BodyText"/>
              <w:spacing w:before="1"/>
              <w:ind w:left="112" w:right="338" w:firstLine="4320"/>
              <w:rPr>
                <w:rFonts w:ascii="Symbol" w:hAnsi="Symbol"/>
                <w:sz w:val="24"/>
                <w:szCs w:val="24"/>
              </w:rPr>
            </w:pPr>
            <w:r w:rsidRPr="00E07CB1">
              <w:rPr>
                <w:rFonts w:ascii="Symbol" w:hAnsi="Symbol"/>
                <w:spacing w:val="5"/>
                <w:sz w:val="24"/>
                <w:szCs w:val="24"/>
              </w:rPr>
              <w:t></w:t>
            </w:r>
            <w:r w:rsidRPr="00E07CB1">
              <w:rPr>
                <w:spacing w:val="5"/>
                <w:sz w:val="24"/>
                <w:szCs w:val="24"/>
              </w:rPr>
              <w:t xml:space="preserve">!-- </w:t>
            </w:r>
            <w:r w:rsidRPr="00E07CB1">
              <w:rPr>
                <w:spacing w:val="4"/>
                <w:sz w:val="24"/>
                <w:szCs w:val="24"/>
              </w:rPr>
              <w:t xml:space="preserve">SMV </w:t>
            </w:r>
            <w:r w:rsidRPr="00E07CB1">
              <w:rPr>
                <w:spacing w:val="5"/>
                <w:sz w:val="24"/>
                <w:szCs w:val="24"/>
              </w:rPr>
              <w:t xml:space="preserve">data </w:t>
            </w:r>
            <w:r w:rsidRPr="00E07CB1">
              <w:rPr>
                <w:spacing w:val="4"/>
                <w:sz w:val="24"/>
                <w:szCs w:val="24"/>
              </w:rPr>
              <w:t xml:space="preserve">set and </w:t>
            </w:r>
            <w:r w:rsidRPr="00E07CB1">
              <w:rPr>
                <w:spacing w:val="6"/>
                <w:sz w:val="24"/>
                <w:szCs w:val="24"/>
              </w:rPr>
              <w:t xml:space="preserve">control </w:t>
            </w:r>
            <w:r w:rsidRPr="00E07CB1">
              <w:rPr>
                <w:spacing w:val="5"/>
                <w:sz w:val="24"/>
                <w:szCs w:val="24"/>
              </w:rPr>
              <w:t xml:space="preserve">block </w:t>
            </w:r>
            <w:r w:rsidRPr="00E07CB1">
              <w:rPr>
                <w:spacing w:val="6"/>
                <w:sz w:val="24"/>
                <w:szCs w:val="24"/>
              </w:rPr>
              <w:t xml:space="preserve">definitions </w:t>
            </w:r>
            <w:r w:rsidRPr="00E07CB1">
              <w:rPr>
                <w:spacing w:val="4"/>
                <w:sz w:val="24"/>
                <w:szCs w:val="24"/>
              </w:rPr>
              <w:t xml:space="preserve">are </w:t>
            </w:r>
            <w:r w:rsidRPr="00E07CB1">
              <w:rPr>
                <w:spacing w:val="6"/>
                <w:sz w:val="24"/>
                <w:szCs w:val="24"/>
              </w:rPr>
              <w:t xml:space="preserve">optional. </w:t>
            </w:r>
            <w:r w:rsidRPr="00E07CB1">
              <w:rPr>
                <w:spacing w:val="4"/>
                <w:sz w:val="24"/>
                <w:szCs w:val="24"/>
              </w:rPr>
              <w:t xml:space="preserve">They </w:t>
            </w:r>
            <w:r w:rsidRPr="00E07CB1">
              <w:rPr>
                <w:spacing w:val="5"/>
                <w:sz w:val="24"/>
                <w:szCs w:val="24"/>
              </w:rPr>
              <w:t xml:space="preserve">might </w:t>
            </w:r>
            <w:r w:rsidRPr="00E07CB1">
              <w:rPr>
                <w:spacing w:val="3"/>
                <w:sz w:val="24"/>
                <w:szCs w:val="24"/>
              </w:rPr>
              <w:t xml:space="preserve">be  </w:t>
            </w:r>
            <w:r w:rsidRPr="00E07CB1">
              <w:rPr>
                <w:spacing w:val="5"/>
                <w:sz w:val="24"/>
                <w:szCs w:val="24"/>
              </w:rPr>
              <w:t xml:space="preserve">used </w:t>
            </w:r>
            <w:r w:rsidRPr="00E07CB1">
              <w:rPr>
                <w:spacing w:val="4"/>
                <w:sz w:val="24"/>
                <w:szCs w:val="24"/>
              </w:rPr>
              <w:t xml:space="preserve">to </w:t>
            </w:r>
            <w:r w:rsidRPr="00E07CB1">
              <w:rPr>
                <w:spacing w:val="5"/>
                <w:sz w:val="24"/>
                <w:szCs w:val="24"/>
              </w:rPr>
              <w:t xml:space="preserve">define </w:t>
            </w:r>
            <w:r w:rsidRPr="00E07CB1">
              <w:rPr>
                <w:spacing w:val="4"/>
                <w:sz w:val="24"/>
                <w:szCs w:val="24"/>
              </w:rPr>
              <w:t xml:space="preserve">the </w:t>
            </w:r>
            <w:r w:rsidRPr="00E07CB1">
              <w:rPr>
                <w:spacing w:val="6"/>
                <w:sz w:val="24"/>
                <w:szCs w:val="24"/>
              </w:rPr>
              <w:t xml:space="preserve">logical </w:t>
            </w:r>
            <w:r w:rsidRPr="00E07CB1">
              <w:rPr>
                <w:spacing w:val="5"/>
                <w:sz w:val="24"/>
                <w:szCs w:val="24"/>
              </w:rPr>
              <w:t xml:space="preserve">data flow (i.e. </w:t>
            </w:r>
            <w:r w:rsidRPr="00E07CB1">
              <w:rPr>
                <w:spacing w:val="4"/>
                <w:sz w:val="24"/>
                <w:szCs w:val="24"/>
              </w:rPr>
              <w:t xml:space="preserve">to </w:t>
            </w:r>
            <w:r w:rsidRPr="00E07CB1">
              <w:rPr>
                <w:spacing w:val="5"/>
                <w:sz w:val="24"/>
                <w:szCs w:val="24"/>
              </w:rPr>
              <w:t xml:space="preserve">the     </w:t>
            </w:r>
            <w:r w:rsidRPr="00E07CB1">
              <w:rPr>
                <w:spacing w:val="6"/>
                <w:sz w:val="24"/>
                <w:szCs w:val="24"/>
              </w:rPr>
              <w:t>clients)</w:t>
            </w:r>
            <w:r w:rsidRPr="00E07CB1">
              <w:rPr>
                <w:spacing w:val="15"/>
                <w:sz w:val="24"/>
                <w:szCs w:val="24"/>
              </w:rPr>
              <w:t xml:space="preserve"> </w:t>
            </w:r>
            <w:r w:rsidRPr="00E07CB1">
              <w:rPr>
                <w:spacing w:val="3"/>
                <w:sz w:val="24"/>
                <w:szCs w:val="24"/>
              </w:rPr>
              <w:t>in</w:t>
            </w:r>
            <w:r w:rsidRPr="00E07CB1">
              <w:rPr>
                <w:spacing w:val="16"/>
                <w:sz w:val="24"/>
                <w:szCs w:val="24"/>
              </w:rPr>
              <w:t xml:space="preserve"> </w:t>
            </w:r>
            <w:r w:rsidRPr="00E07CB1">
              <w:rPr>
                <w:spacing w:val="5"/>
                <w:sz w:val="24"/>
                <w:szCs w:val="24"/>
              </w:rPr>
              <w:t>case</w:t>
            </w:r>
            <w:r w:rsidRPr="00E07CB1">
              <w:rPr>
                <w:spacing w:val="16"/>
                <w:sz w:val="24"/>
                <w:szCs w:val="24"/>
              </w:rPr>
              <w:t xml:space="preserve"> </w:t>
            </w:r>
            <w:r w:rsidRPr="00E07CB1">
              <w:rPr>
                <w:spacing w:val="5"/>
                <w:sz w:val="24"/>
                <w:szCs w:val="24"/>
              </w:rPr>
              <w:t>this</w:t>
            </w:r>
            <w:r w:rsidRPr="00E07CB1">
              <w:rPr>
                <w:spacing w:val="18"/>
                <w:sz w:val="24"/>
                <w:szCs w:val="24"/>
              </w:rPr>
              <w:t xml:space="preserve"> </w:t>
            </w:r>
            <w:r w:rsidRPr="00E07CB1">
              <w:rPr>
                <w:spacing w:val="3"/>
                <w:sz w:val="24"/>
                <w:szCs w:val="24"/>
              </w:rPr>
              <w:t>is</w:t>
            </w:r>
            <w:r w:rsidRPr="00E07CB1">
              <w:rPr>
                <w:spacing w:val="17"/>
                <w:sz w:val="24"/>
                <w:szCs w:val="24"/>
              </w:rPr>
              <w:t xml:space="preserve"> </w:t>
            </w:r>
            <w:r w:rsidRPr="00E07CB1">
              <w:rPr>
                <w:spacing w:val="4"/>
                <w:sz w:val="24"/>
                <w:szCs w:val="24"/>
              </w:rPr>
              <w:t>not</w:t>
            </w:r>
            <w:r w:rsidRPr="00E07CB1">
              <w:rPr>
                <w:spacing w:val="18"/>
                <w:sz w:val="24"/>
                <w:szCs w:val="24"/>
              </w:rPr>
              <w:t xml:space="preserve"> </w:t>
            </w:r>
            <w:r w:rsidRPr="00E07CB1">
              <w:rPr>
                <w:spacing w:val="6"/>
                <w:sz w:val="24"/>
                <w:szCs w:val="24"/>
              </w:rPr>
              <w:t>defined</w:t>
            </w:r>
            <w:r w:rsidRPr="00E07CB1">
              <w:rPr>
                <w:spacing w:val="16"/>
                <w:sz w:val="24"/>
                <w:szCs w:val="24"/>
              </w:rPr>
              <w:t xml:space="preserve"> </w:t>
            </w:r>
            <w:r w:rsidRPr="00E07CB1">
              <w:rPr>
                <w:spacing w:val="3"/>
                <w:sz w:val="24"/>
                <w:szCs w:val="24"/>
              </w:rPr>
              <w:t>at</w:t>
            </w:r>
            <w:r w:rsidRPr="00E07CB1">
              <w:rPr>
                <w:spacing w:val="18"/>
                <w:sz w:val="24"/>
                <w:szCs w:val="24"/>
              </w:rPr>
              <w:t xml:space="preserve"> </w:t>
            </w:r>
            <w:r w:rsidRPr="00E07CB1">
              <w:rPr>
                <w:spacing w:val="4"/>
                <w:sz w:val="24"/>
                <w:szCs w:val="24"/>
              </w:rPr>
              <w:t>the</w:t>
            </w:r>
            <w:r w:rsidRPr="00E07CB1">
              <w:rPr>
                <w:spacing w:val="16"/>
                <w:sz w:val="24"/>
                <w:szCs w:val="24"/>
              </w:rPr>
              <w:t xml:space="preserve"> </w:t>
            </w:r>
            <w:r w:rsidRPr="00E07CB1">
              <w:rPr>
                <w:spacing w:val="6"/>
                <w:sz w:val="24"/>
                <w:szCs w:val="24"/>
              </w:rPr>
              <w:t>clients</w:t>
            </w:r>
            <w:r w:rsidRPr="00E07CB1">
              <w:rPr>
                <w:spacing w:val="17"/>
                <w:sz w:val="24"/>
                <w:szCs w:val="24"/>
              </w:rPr>
              <w:t xml:space="preserve"> </w:t>
            </w:r>
            <w:r w:rsidRPr="00E07CB1">
              <w:rPr>
                <w:spacing w:val="6"/>
                <w:sz w:val="24"/>
                <w:szCs w:val="24"/>
              </w:rPr>
              <w:t>itself</w:t>
            </w:r>
            <w:r w:rsidRPr="00E07CB1">
              <w:rPr>
                <w:spacing w:val="18"/>
                <w:sz w:val="24"/>
                <w:szCs w:val="24"/>
              </w:rPr>
              <w:t xml:space="preserve"> </w:t>
            </w:r>
            <w:r w:rsidRPr="00E07CB1">
              <w:rPr>
                <w:spacing w:val="3"/>
                <w:sz w:val="24"/>
                <w:szCs w:val="24"/>
              </w:rPr>
              <w:t>as</w:t>
            </w:r>
            <w:r w:rsidRPr="00E07CB1">
              <w:rPr>
                <w:spacing w:val="18"/>
                <w:sz w:val="24"/>
                <w:szCs w:val="24"/>
              </w:rPr>
              <w:t xml:space="preserve"> </w:t>
            </w:r>
            <w:r w:rsidRPr="00E07CB1">
              <w:rPr>
                <w:spacing w:val="6"/>
                <w:sz w:val="24"/>
                <w:szCs w:val="24"/>
              </w:rPr>
              <w:lastRenderedPageBreak/>
              <w:t>incoming</w:t>
            </w:r>
            <w:r w:rsidRPr="00E07CB1">
              <w:rPr>
                <w:spacing w:val="16"/>
                <w:sz w:val="24"/>
                <w:szCs w:val="24"/>
              </w:rPr>
              <w:t xml:space="preserve"> </w:t>
            </w:r>
            <w:r w:rsidRPr="00E07CB1">
              <w:rPr>
                <w:spacing w:val="5"/>
                <w:sz w:val="24"/>
                <w:szCs w:val="24"/>
              </w:rPr>
              <w:t>data.</w:t>
            </w:r>
            <w:r w:rsidRPr="00E07CB1">
              <w:rPr>
                <w:spacing w:val="18"/>
                <w:sz w:val="24"/>
                <w:szCs w:val="24"/>
              </w:rPr>
              <w:t xml:space="preserve"> </w:t>
            </w:r>
            <w:r w:rsidRPr="00E07CB1">
              <w:rPr>
                <w:spacing w:val="5"/>
                <w:sz w:val="24"/>
                <w:szCs w:val="24"/>
              </w:rPr>
              <w:t>The</w:t>
            </w:r>
            <w:r w:rsidRPr="00E07CB1">
              <w:rPr>
                <w:spacing w:val="15"/>
                <w:sz w:val="24"/>
                <w:szCs w:val="24"/>
              </w:rPr>
              <w:t xml:space="preserve"> </w:t>
            </w:r>
            <w:r w:rsidRPr="00E07CB1">
              <w:rPr>
                <w:spacing w:val="5"/>
                <w:sz w:val="24"/>
                <w:szCs w:val="24"/>
              </w:rPr>
              <w:t>link</w:t>
            </w:r>
            <w:r w:rsidRPr="00E07CB1">
              <w:rPr>
                <w:spacing w:val="18"/>
                <w:sz w:val="24"/>
                <w:szCs w:val="24"/>
              </w:rPr>
              <w:t xml:space="preserve"> </w:t>
            </w:r>
            <w:r w:rsidRPr="00E07CB1">
              <w:rPr>
                <w:spacing w:val="4"/>
                <w:sz w:val="24"/>
                <w:szCs w:val="24"/>
              </w:rPr>
              <w:t>to</w:t>
            </w:r>
            <w:r w:rsidRPr="00E07CB1">
              <w:rPr>
                <w:spacing w:val="16"/>
                <w:sz w:val="24"/>
                <w:szCs w:val="24"/>
              </w:rPr>
              <w:t xml:space="preserve"> </w:t>
            </w:r>
            <w:r w:rsidRPr="00E07CB1">
              <w:rPr>
                <w:spacing w:val="4"/>
                <w:sz w:val="24"/>
                <w:szCs w:val="24"/>
              </w:rPr>
              <w:t>the</w:t>
            </w:r>
            <w:r w:rsidRPr="00E07CB1">
              <w:rPr>
                <w:spacing w:val="19"/>
                <w:sz w:val="24"/>
                <w:szCs w:val="24"/>
              </w:rPr>
              <w:t xml:space="preserve"> </w:t>
            </w:r>
            <w:r w:rsidRPr="00E07CB1">
              <w:rPr>
                <w:spacing w:val="6"/>
                <w:sz w:val="24"/>
                <w:szCs w:val="24"/>
              </w:rPr>
              <w:t>C37.118</w:t>
            </w:r>
            <w:r w:rsidRPr="00E07CB1">
              <w:rPr>
                <w:spacing w:val="16"/>
                <w:sz w:val="24"/>
                <w:szCs w:val="24"/>
              </w:rPr>
              <w:t xml:space="preserve"> </w:t>
            </w:r>
            <w:r w:rsidRPr="00E07CB1">
              <w:rPr>
                <w:spacing w:val="6"/>
                <w:sz w:val="24"/>
                <w:szCs w:val="24"/>
              </w:rPr>
              <w:t>message</w:t>
            </w:r>
            <w:r w:rsidRPr="00E07CB1">
              <w:rPr>
                <w:spacing w:val="15"/>
                <w:sz w:val="24"/>
                <w:szCs w:val="24"/>
              </w:rPr>
              <w:t xml:space="preserve"> </w:t>
            </w:r>
            <w:r w:rsidRPr="00E07CB1">
              <w:rPr>
                <w:spacing w:val="4"/>
                <w:sz w:val="24"/>
                <w:szCs w:val="24"/>
              </w:rPr>
              <w:t>is</w:t>
            </w:r>
            <w:r w:rsidRPr="00E07CB1">
              <w:rPr>
                <w:spacing w:val="18"/>
                <w:sz w:val="24"/>
                <w:szCs w:val="24"/>
              </w:rPr>
              <w:t xml:space="preserve"> </w:t>
            </w:r>
            <w:r w:rsidRPr="00E07CB1">
              <w:rPr>
                <w:spacing w:val="5"/>
                <w:sz w:val="24"/>
                <w:szCs w:val="24"/>
              </w:rPr>
              <w:t>done</w:t>
            </w:r>
            <w:r w:rsidRPr="00E07CB1">
              <w:rPr>
                <w:spacing w:val="16"/>
                <w:sz w:val="24"/>
                <w:szCs w:val="24"/>
              </w:rPr>
              <w:t xml:space="preserve"> </w:t>
            </w:r>
            <w:r w:rsidRPr="00E07CB1">
              <w:rPr>
                <w:spacing w:val="4"/>
                <w:sz w:val="24"/>
                <w:szCs w:val="24"/>
              </w:rPr>
              <w:t>by</w:t>
            </w:r>
            <w:r w:rsidRPr="00E07CB1">
              <w:rPr>
                <w:spacing w:val="16"/>
                <w:sz w:val="24"/>
                <w:szCs w:val="24"/>
              </w:rPr>
              <w:t xml:space="preserve"> </w:t>
            </w:r>
            <w:r w:rsidRPr="00E07CB1">
              <w:rPr>
                <w:spacing w:val="5"/>
                <w:sz w:val="24"/>
                <w:szCs w:val="24"/>
              </w:rPr>
              <w:t>means</w:t>
            </w:r>
            <w:r w:rsidRPr="00E07CB1">
              <w:rPr>
                <w:spacing w:val="18"/>
                <w:sz w:val="24"/>
                <w:szCs w:val="24"/>
              </w:rPr>
              <w:t xml:space="preserve"> </w:t>
            </w:r>
            <w:r w:rsidRPr="00E07CB1">
              <w:rPr>
                <w:spacing w:val="3"/>
                <w:sz w:val="24"/>
                <w:szCs w:val="24"/>
              </w:rPr>
              <w:t>of</w:t>
            </w:r>
            <w:r w:rsidRPr="00E07CB1">
              <w:rPr>
                <w:spacing w:val="17"/>
                <w:sz w:val="24"/>
                <w:szCs w:val="24"/>
              </w:rPr>
              <w:t xml:space="preserve"> </w:t>
            </w:r>
            <w:r w:rsidRPr="00E07CB1">
              <w:rPr>
                <w:spacing w:val="4"/>
                <w:sz w:val="24"/>
                <w:szCs w:val="24"/>
              </w:rPr>
              <w:t>the</w:t>
            </w:r>
            <w:r w:rsidRPr="00E07CB1">
              <w:rPr>
                <w:spacing w:val="16"/>
                <w:sz w:val="24"/>
                <w:szCs w:val="24"/>
              </w:rPr>
              <w:t xml:space="preserve"> </w:t>
            </w:r>
            <w:r w:rsidRPr="00E07CB1">
              <w:rPr>
                <w:spacing w:val="5"/>
                <w:sz w:val="24"/>
                <w:szCs w:val="24"/>
              </w:rPr>
              <w:t>sAddr</w:t>
            </w:r>
            <w:r w:rsidRPr="00E07CB1">
              <w:rPr>
                <w:spacing w:val="19"/>
                <w:sz w:val="24"/>
                <w:szCs w:val="24"/>
              </w:rPr>
              <w:t xml:space="preserve"> </w:t>
            </w:r>
            <w:r w:rsidRPr="00E07CB1">
              <w:rPr>
                <w:spacing w:val="6"/>
                <w:sz w:val="24"/>
                <w:szCs w:val="24"/>
              </w:rPr>
              <w:t>definitions</w:t>
            </w:r>
            <w:r w:rsidRPr="00E07CB1">
              <w:rPr>
                <w:spacing w:val="18"/>
                <w:sz w:val="24"/>
                <w:szCs w:val="24"/>
              </w:rPr>
              <w:t xml:space="preserve"> </w:t>
            </w:r>
            <w:r w:rsidRPr="00E07CB1">
              <w:rPr>
                <w:spacing w:val="3"/>
                <w:sz w:val="24"/>
                <w:szCs w:val="24"/>
              </w:rPr>
              <w:t>at</w:t>
            </w:r>
            <w:r w:rsidRPr="00E07CB1">
              <w:rPr>
                <w:spacing w:val="18"/>
                <w:sz w:val="24"/>
                <w:szCs w:val="24"/>
              </w:rPr>
              <w:t xml:space="preserve"> </w:t>
            </w:r>
            <w:r w:rsidRPr="00E07CB1">
              <w:rPr>
                <w:spacing w:val="4"/>
                <w:sz w:val="24"/>
                <w:szCs w:val="24"/>
              </w:rPr>
              <w:t>the</w:t>
            </w:r>
            <w:r w:rsidRPr="00E07CB1">
              <w:rPr>
                <w:spacing w:val="18"/>
                <w:sz w:val="24"/>
                <w:szCs w:val="24"/>
              </w:rPr>
              <w:t xml:space="preserve"> </w:t>
            </w:r>
            <w:r w:rsidRPr="00E07CB1">
              <w:rPr>
                <w:spacing w:val="5"/>
                <w:sz w:val="24"/>
                <w:szCs w:val="24"/>
              </w:rPr>
              <w:t>data</w:t>
            </w:r>
            <w:r w:rsidRPr="00E07CB1">
              <w:rPr>
                <w:spacing w:val="16"/>
                <w:sz w:val="24"/>
                <w:szCs w:val="24"/>
              </w:rPr>
              <w:t xml:space="preserve"> </w:t>
            </w:r>
            <w:r w:rsidRPr="00E07CB1">
              <w:rPr>
                <w:spacing w:val="6"/>
                <w:sz w:val="24"/>
                <w:szCs w:val="24"/>
              </w:rPr>
              <w:t>objects</w:t>
            </w:r>
            <w:r w:rsidRPr="00E07CB1">
              <w:rPr>
                <w:spacing w:val="21"/>
                <w:sz w:val="24"/>
                <w:szCs w:val="24"/>
              </w:rPr>
              <w:t xml:space="preserve"> </w:t>
            </w:r>
            <w:r w:rsidRPr="00E07CB1">
              <w:rPr>
                <w:spacing w:val="4"/>
                <w:sz w:val="24"/>
                <w:szCs w:val="24"/>
              </w:rPr>
              <w:t>--</w:t>
            </w:r>
            <w:r w:rsidRPr="00E07CB1">
              <w:rPr>
                <w:rFonts w:ascii="Symbol" w:hAnsi="Symbol"/>
                <w:spacing w:val="4"/>
                <w:sz w:val="24"/>
                <w:szCs w:val="24"/>
              </w:rPr>
              <w:t></w:t>
            </w:r>
          </w:p>
          <w:p w:rsidR="00474E8E" w:rsidRPr="00E07CB1" w:rsidRDefault="00474E8E" w:rsidP="00474E8E">
            <w:pPr>
              <w:pStyle w:val="BodyText"/>
              <w:spacing w:line="195" w:lineRule="exact"/>
              <w:ind w:left="4432"/>
              <w:rPr>
                <w:rFonts w:ascii="Symbol" w:hAnsi="Symbol"/>
                <w:sz w:val="24"/>
                <w:szCs w:val="24"/>
              </w:rPr>
            </w:pPr>
            <w:r w:rsidRPr="00E07CB1">
              <w:rPr>
                <w:rFonts w:ascii="Symbol" w:hAnsi="Symbol"/>
                <w:sz w:val="24"/>
                <w:szCs w:val="24"/>
              </w:rPr>
              <w:t></w:t>
            </w:r>
            <w:r w:rsidRPr="00E07CB1">
              <w:rPr>
                <w:color w:val="800000"/>
                <w:sz w:val="24"/>
                <w:szCs w:val="24"/>
              </w:rPr>
              <w:t xml:space="preserve">DataSet </w:t>
            </w:r>
            <w:r w:rsidRPr="00E07CB1">
              <w:rPr>
                <w:color w:val="FF0000"/>
                <w:sz w:val="24"/>
                <w:szCs w:val="24"/>
              </w:rPr>
              <w:t>name</w:t>
            </w:r>
            <w:r w:rsidRPr="00E07CB1">
              <w:rPr>
                <w:sz w:val="24"/>
                <w:szCs w:val="24"/>
              </w:rPr>
              <w:t>="PMUdata"</w:t>
            </w:r>
            <w:r w:rsidRPr="00E07CB1">
              <w:rPr>
                <w:rFonts w:ascii="Symbol" w:hAnsi="Symbol"/>
                <w:sz w:val="24"/>
                <w:szCs w:val="24"/>
              </w:rPr>
              <w:t></w:t>
            </w:r>
          </w:p>
          <w:p w:rsidR="00474E8E" w:rsidRPr="00E07CB1" w:rsidRDefault="00474E8E" w:rsidP="00474E8E">
            <w:pPr>
              <w:pStyle w:val="BodyText"/>
              <w:spacing w:before="1"/>
              <w:ind w:left="5152"/>
              <w:rPr>
                <w:rFonts w:ascii="Symbol" w:hAnsi="Symbol"/>
                <w:sz w:val="24"/>
                <w:szCs w:val="24"/>
              </w:rPr>
            </w:pPr>
            <w:r w:rsidRPr="00E07CB1">
              <w:rPr>
                <w:rFonts w:ascii="Symbol" w:hAnsi="Symbol"/>
                <w:spacing w:val="5"/>
                <w:sz w:val="24"/>
                <w:szCs w:val="24"/>
              </w:rPr>
              <w:t></w:t>
            </w:r>
            <w:r w:rsidRPr="00E07CB1">
              <w:rPr>
                <w:color w:val="800000"/>
                <w:spacing w:val="5"/>
                <w:sz w:val="24"/>
                <w:szCs w:val="24"/>
              </w:rPr>
              <w:t xml:space="preserve">FCDA </w:t>
            </w:r>
            <w:r w:rsidRPr="00E07CB1">
              <w:rPr>
                <w:color w:val="FF0000"/>
                <w:spacing w:val="6"/>
                <w:sz w:val="24"/>
                <w:szCs w:val="24"/>
              </w:rPr>
              <w:t>ldInst</w:t>
            </w:r>
            <w:r w:rsidRPr="00E07CB1">
              <w:rPr>
                <w:spacing w:val="6"/>
                <w:sz w:val="24"/>
                <w:szCs w:val="24"/>
              </w:rPr>
              <w:t xml:space="preserve">="PMU"  </w:t>
            </w:r>
            <w:r w:rsidRPr="00E07CB1">
              <w:rPr>
                <w:color w:val="FF0000"/>
                <w:spacing w:val="6"/>
                <w:sz w:val="24"/>
                <w:szCs w:val="24"/>
              </w:rPr>
              <w:t>prefix</w:t>
            </w:r>
            <w:r w:rsidRPr="00E07CB1">
              <w:rPr>
                <w:spacing w:val="6"/>
                <w:sz w:val="24"/>
                <w:szCs w:val="24"/>
              </w:rPr>
              <w:t xml:space="preserve">="" </w:t>
            </w:r>
            <w:r w:rsidRPr="00E07CB1">
              <w:rPr>
                <w:color w:val="FF0000"/>
                <w:spacing w:val="6"/>
                <w:sz w:val="24"/>
                <w:szCs w:val="24"/>
              </w:rPr>
              <w:t>lnClass</w:t>
            </w:r>
            <w:r w:rsidRPr="00E07CB1">
              <w:rPr>
                <w:spacing w:val="6"/>
                <w:sz w:val="24"/>
                <w:szCs w:val="24"/>
              </w:rPr>
              <w:t xml:space="preserve">="MMXU" </w:t>
            </w:r>
            <w:r w:rsidRPr="00E07CB1">
              <w:rPr>
                <w:color w:val="FF0000"/>
                <w:spacing w:val="6"/>
                <w:sz w:val="24"/>
                <w:szCs w:val="24"/>
              </w:rPr>
              <w:t>lnInst</w:t>
            </w:r>
            <w:r w:rsidRPr="00E07CB1">
              <w:rPr>
                <w:spacing w:val="6"/>
                <w:sz w:val="24"/>
                <w:szCs w:val="24"/>
              </w:rPr>
              <w:t xml:space="preserve">="1" </w:t>
            </w:r>
            <w:r w:rsidRPr="00E07CB1">
              <w:rPr>
                <w:color w:val="FF0000"/>
                <w:spacing w:val="6"/>
                <w:sz w:val="24"/>
                <w:szCs w:val="24"/>
              </w:rPr>
              <w:t>doName</w:t>
            </w:r>
            <w:r w:rsidRPr="00E07CB1">
              <w:rPr>
                <w:spacing w:val="6"/>
                <w:sz w:val="24"/>
                <w:szCs w:val="24"/>
              </w:rPr>
              <w:t xml:space="preserve">="A.phsA" </w:t>
            </w:r>
            <w:r w:rsidRPr="00E07CB1">
              <w:rPr>
                <w:spacing w:val="24"/>
                <w:sz w:val="24"/>
                <w:szCs w:val="24"/>
              </w:rPr>
              <w:t xml:space="preserve"> </w:t>
            </w:r>
            <w:r w:rsidRPr="00E07CB1">
              <w:rPr>
                <w:color w:val="FF0000"/>
                <w:spacing w:val="6"/>
                <w:sz w:val="24"/>
                <w:szCs w:val="24"/>
              </w:rPr>
              <w:t>fc</w:t>
            </w:r>
            <w:r w:rsidRPr="00E07CB1">
              <w:rPr>
                <w:spacing w:val="6"/>
                <w:sz w:val="24"/>
                <w:szCs w:val="24"/>
              </w:rPr>
              <w:t>="MX"/</w:t>
            </w:r>
            <w:r w:rsidRPr="00E07CB1">
              <w:rPr>
                <w:rFonts w:ascii="Symbol" w:hAnsi="Symbol"/>
                <w:spacing w:val="6"/>
                <w:sz w:val="24"/>
                <w:szCs w:val="24"/>
              </w:rPr>
              <w:t></w:t>
            </w:r>
          </w:p>
          <w:p w:rsidR="00474E8E" w:rsidRPr="00E07CB1" w:rsidRDefault="00474E8E" w:rsidP="00474E8E">
            <w:pPr>
              <w:pStyle w:val="BodyText"/>
              <w:spacing w:line="195" w:lineRule="exact"/>
              <w:ind w:left="5152"/>
              <w:rPr>
                <w:rFonts w:ascii="Symbol" w:hAnsi="Symbol"/>
                <w:sz w:val="24"/>
                <w:szCs w:val="24"/>
              </w:rPr>
            </w:pPr>
            <w:r w:rsidRPr="00E07CB1">
              <w:rPr>
                <w:rFonts w:ascii="Symbol" w:hAnsi="Symbol"/>
                <w:spacing w:val="5"/>
                <w:sz w:val="24"/>
                <w:szCs w:val="24"/>
              </w:rPr>
              <w:t></w:t>
            </w:r>
            <w:r w:rsidRPr="00E07CB1">
              <w:rPr>
                <w:color w:val="800000"/>
                <w:spacing w:val="5"/>
                <w:sz w:val="24"/>
                <w:szCs w:val="24"/>
              </w:rPr>
              <w:t xml:space="preserve">FCDA </w:t>
            </w:r>
            <w:r w:rsidRPr="00E07CB1">
              <w:rPr>
                <w:color w:val="FF0000"/>
                <w:spacing w:val="6"/>
                <w:sz w:val="24"/>
                <w:szCs w:val="24"/>
              </w:rPr>
              <w:t>ldInst</w:t>
            </w:r>
            <w:r w:rsidRPr="00E07CB1">
              <w:rPr>
                <w:spacing w:val="6"/>
                <w:sz w:val="24"/>
                <w:szCs w:val="24"/>
              </w:rPr>
              <w:t xml:space="preserve">="PMU"  </w:t>
            </w:r>
            <w:r w:rsidRPr="00E07CB1">
              <w:rPr>
                <w:color w:val="FF0000"/>
                <w:spacing w:val="6"/>
                <w:sz w:val="24"/>
                <w:szCs w:val="24"/>
              </w:rPr>
              <w:t>prefix</w:t>
            </w:r>
            <w:r w:rsidRPr="00E07CB1">
              <w:rPr>
                <w:spacing w:val="6"/>
                <w:sz w:val="24"/>
                <w:szCs w:val="24"/>
              </w:rPr>
              <w:t xml:space="preserve">="" </w:t>
            </w:r>
            <w:r w:rsidRPr="00E07CB1">
              <w:rPr>
                <w:color w:val="FF0000"/>
                <w:spacing w:val="6"/>
                <w:sz w:val="24"/>
                <w:szCs w:val="24"/>
              </w:rPr>
              <w:t>lnClass</w:t>
            </w:r>
            <w:r w:rsidRPr="00E07CB1">
              <w:rPr>
                <w:spacing w:val="6"/>
                <w:sz w:val="24"/>
                <w:szCs w:val="24"/>
              </w:rPr>
              <w:t xml:space="preserve">="MMXU" </w:t>
            </w:r>
            <w:r w:rsidRPr="00E07CB1">
              <w:rPr>
                <w:color w:val="FF0000"/>
                <w:spacing w:val="6"/>
                <w:sz w:val="24"/>
                <w:szCs w:val="24"/>
              </w:rPr>
              <w:t>lnInst</w:t>
            </w:r>
            <w:r w:rsidRPr="00E07CB1">
              <w:rPr>
                <w:spacing w:val="6"/>
                <w:sz w:val="24"/>
                <w:szCs w:val="24"/>
              </w:rPr>
              <w:t xml:space="preserve">="1" </w:t>
            </w:r>
            <w:r w:rsidRPr="00E07CB1">
              <w:rPr>
                <w:color w:val="FF0000"/>
                <w:spacing w:val="6"/>
                <w:sz w:val="24"/>
                <w:szCs w:val="24"/>
              </w:rPr>
              <w:t>doName</w:t>
            </w:r>
            <w:r w:rsidRPr="00E07CB1">
              <w:rPr>
                <w:spacing w:val="6"/>
                <w:sz w:val="24"/>
                <w:szCs w:val="24"/>
              </w:rPr>
              <w:t xml:space="preserve">="A.phsB" </w:t>
            </w:r>
            <w:r w:rsidRPr="00E07CB1">
              <w:rPr>
                <w:spacing w:val="24"/>
                <w:sz w:val="24"/>
                <w:szCs w:val="24"/>
              </w:rPr>
              <w:t xml:space="preserve"> </w:t>
            </w:r>
            <w:r w:rsidRPr="00E07CB1">
              <w:rPr>
                <w:color w:val="FF0000"/>
                <w:spacing w:val="6"/>
                <w:sz w:val="24"/>
                <w:szCs w:val="24"/>
              </w:rPr>
              <w:t>fc</w:t>
            </w:r>
            <w:r w:rsidRPr="00E07CB1">
              <w:rPr>
                <w:spacing w:val="6"/>
                <w:sz w:val="24"/>
                <w:szCs w:val="24"/>
              </w:rPr>
              <w:t>="MX"/</w:t>
            </w:r>
            <w:r w:rsidRPr="00E07CB1">
              <w:rPr>
                <w:rFonts w:ascii="Symbol" w:hAnsi="Symbol"/>
                <w:spacing w:val="6"/>
                <w:sz w:val="24"/>
                <w:szCs w:val="24"/>
              </w:rPr>
              <w:t></w:t>
            </w:r>
          </w:p>
          <w:p w:rsidR="00474E8E" w:rsidRPr="00E07CB1" w:rsidRDefault="00474E8E" w:rsidP="00474E8E">
            <w:pPr>
              <w:pStyle w:val="BodyText"/>
              <w:spacing w:line="195" w:lineRule="exact"/>
              <w:ind w:left="5152"/>
              <w:rPr>
                <w:rFonts w:ascii="Symbol" w:hAnsi="Symbol"/>
                <w:sz w:val="24"/>
                <w:szCs w:val="24"/>
              </w:rPr>
            </w:pPr>
            <w:r w:rsidRPr="00E07CB1">
              <w:rPr>
                <w:rFonts w:ascii="Symbol" w:hAnsi="Symbol"/>
                <w:spacing w:val="5"/>
                <w:sz w:val="24"/>
                <w:szCs w:val="24"/>
              </w:rPr>
              <w:t></w:t>
            </w:r>
            <w:r w:rsidRPr="00E07CB1">
              <w:rPr>
                <w:color w:val="800000"/>
                <w:spacing w:val="5"/>
                <w:sz w:val="24"/>
                <w:szCs w:val="24"/>
              </w:rPr>
              <w:t xml:space="preserve">FCDA </w:t>
            </w:r>
            <w:r w:rsidRPr="00E07CB1">
              <w:rPr>
                <w:color w:val="FF0000"/>
                <w:spacing w:val="6"/>
                <w:sz w:val="24"/>
                <w:szCs w:val="24"/>
              </w:rPr>
              <w:t>ldInst</w:t>
            </w:r>
            <w:r w:rsidRPr="00E07CB1">
              <w:rPr>
                <w:spacing w:val="6"/>
                <w:sz w:val="24"/>
                <w:szCs w:val="24"/>
              </w:rPr>
              <w:t xml:space="preserve">="PMU"  </w:t>
            </w:r>
            <w:r w:rsidRPr="00E07CB1">
              <w:rPr>
                <w:color w:val="FF0000"/>
                <w:spacing w:val="6"/>
                <w:sz w:val="24"/>
                <w:szCs w:val="24"/>
              </w:rPr>
              <w:t>prefix</w:t>
            </w:r>
            <w:r w:rsidRPr="00E07CB1">
              <w:rPr>
                <w:spacing w:val="6"/>
                <w:sz w:val="24"/>
                <w:szCs w:val="24"/>
              </w:rPr>
              <w:t xml:space="preserve">="" </w:t>
            </w:r>
            <w:r w:rsidRPr="00E07CB1">
              <w:rPr>
                <w:color w:val="FF0000"/>
                <w:spacing w:val="6"/>
                <w:sz w:val="24"/>
                <w:szCs w:val="24"/>
              </w:rPr>
              <w:t>lnClass</w:t>
            </w:r>
            <w:r w:rsidRPr="00E07CB1">
              <w:rPr>
                <w:spacing w:val="6"/>
                <w:sz w:val="24"/>
                <w:szCs w:val="24"/>
              </w:rPr>
              <w:t xml:space="preserve">="MMXU" </w:t>
            </w:r>
            <w:r w:rsidRPr="00E07CB1">
              <w:rPr>
                <w:color w:val="FF0000"/>
                <w:spacing w:val="6"/>
                <w:sz w:val="24"/>
                <w:szCs w:val="24"/>
              </w:rPr>
              <w:t>lnInst</w:t>
            </w:r>
            <w:r w:rsidRPr="00E07CB1">
              <w:rPr>
                <w:spacing w:val="6"/>
                <w:sz w:val="24"/>
                <w:szCs w:val="24"/>
              </w:rPr>
              <w:t xml:space="preserve">="1" </w:t>
            </w:r>
            <w:r w:rsidRPr="00E07CB1">
              <w:rPr>
                <w:color w:val="FF0000"/>
                <w:spacing w:val="6"/>
                <w:sz w:val="24"/>
                <w:szCs w:val="24"/>
              </w:rPr>
              <w:t>doName</w:t>
            </w:r>
            <w:r w:rsidRPr="00E07CB1">
              <w:rPr>
                <w:spacing w:val="6"/>
                <w:sz w:val="24"/>
                <w:szCs w:val="24"/>
              </w:rPr>
              <w:t xml:space="preserve">="A.phsC" </w:t>
            </w:r>
            <w:r w:rsidRPr="00E07CB1">
              <w:rPr>
                <w:spacing w:val="24"/>
                <w:sz w:val="24"/>
                <w:szCs w:val="24"/>
              </w:rPr>
              <w:t xml:space="preserve"> </w:t>
            </w:r>
            <w:r w:rsidRPr="00E07CB1">
              <w:rPr>
                <w:color w:val="FF0000"/>
                <w:spacing w:val="6"/>
                <w:sz w:val="24"/>
                <w:szCs w:val="24"/>
              </w:rPr>
              <w:t>fc</w:t>
            </w:r>
            <w:r w:rsidRPr="00E07CB1">
              <w:rPr>
                <w:spacing w:val="6"/>
                <w:sz w:val="24"/>
                <w:szCs w:val="24"/>
              </w:rPr>
              <w:t>="MX"/</w:t>
            </w:r>
            <w:r w:rsidRPr="00E07CB1">
              <w:rPr>
                <w:rFonts w:ascii="Symbol" w:hAnsi="Symbol"/>
                <w:spacing w:val="6"/>
                <w:sz w:val="24"/>
                <w:szCs w:val="24"/>
              </w:rPr>
              <w:t></w:t>
            </w:r>
          </w:p>
          <w:p w:rsidR="00474E8E" w:rsidRPr="00E07CB1" w:rsidRDefault="00474E8E" w:rsidP="00474E8E">
            <w:pPr>
              <w:pStyle w:val="BodyText"/>
              <w:spacing w:before="1"/>
              <w:ind w:left="5152"/>
              <w:rPr>
                <w:rFonts w:ascii="Symbol" w:hAnsi="Symbol"/>
                <w:sz w:val="24"/>
                <w:szCs w:val="24"/>
              </w:rPr>
            </w:pPr>
            <w:r w:rsidRPr="00E07CB1">
              <w:rPr>
                <w:rFonts w:ascii="Symbol" w:hAnsi="Symbol"/>
                <w:sz w:val="24"/>
                <w:szCs w:val="24"/>
              </w:rPr>
              <w:t></w:t>
            </w:r>
            <w:r w:rsidRPr="00E07CB1">
              <w:rPr>
                <w:color w:val="800000"/>
                <w:sz w:val="24"/>
                <w:szCs w:val="24"/>
              </w:rPr>
              <w:t xml:space="preserve">FCDA </w:t>
            </w:r>
            <w:r w:rsidRPr="00E07CB1">
              <w:rPr>
                <w:color w:val="FF0000"/>
                <w:sz w:val="24"/>
                <w:szCs w:val="24"/>
              </w:rPr>
              <w:t>ldInst</w:t>
            </w:r>
            <w:r w:rsidRPr="00E07CB1">
              <w:rPr>
                <w:sz w:val="24"/>
                <w:szCs w:val="24"/>
              </w:rPr>
              <w:t xml:space="preserve">="PMU" </w:t>
            </w:r>
            <w:r w:rsidRPr="00E07CB1">
              <w:rPr>
                <w:color w:val="FF0000"/>
                <w:sz w:val="24"/>
                <w:szCs w:val="24"/>
              </w:rPr>
              <w:t>prefix</w:t>
            </w:r>
            <w:r w:rsidRPr="00E07CB1">
              <w:rPr>
                <w:sz w:val="24"/>
                <w:szCs w:val="24"/>
              </w:rPr>
              <w:t xml:space="preserve">="" </w:t>
            </w:r>
            <w:r w:rsidRPr="00E07CB1">
              <w:rPr>
                <w:color w:val="FF0000"/>
                <w:sz w:val="24"/>
                <w:szCs w:val="24"/>
              </w:rPr>
              <w:t>lnClass</w:t>
            </w:r>
            <w:r w:rsidRPr="00E07CB1">
              <w:rPr>
                <w:sz w:val="24"/>
                <w:szCs w:val="24"/>
              </w:rPr>
              <w:t xml:space="preserve">="MMXU" </w:t>
            </w:r>
            <w:r w:rsidRPr="00E07CB1">
              <w:rPr>
                <w:color w:val="FF0000"/>
                <w:sz w:val="24"/>
                <w:szCs w:val="24"/>
              </w:rPr>
              <w:t>lnInst</w:t>
            </w:r>
            <w:r w:rsidRPr="00E07CB1">
              <w:rPr>
                <w:sz w:val="24"/>
                <w:szCs w:val="24"/>
              </w:rPr>
              <w:t xml:space="preserve">="1" </w:t>
            </w:r>
            <w:r w:rsidRPr="00E07CB1">
              <w:rPr>
                <w:color w:val="FF0000"/>
                <w:sz w:val="24"/>
                <w:szCs w:val="24"/>
              </w:rPr>
              <w:t>doName</w:t>
            </w:r>
            <w:r w:rsidRPr="00E07CB1">
              <w:rPr>
                <w:sz w:val="24"/>
                <w:szCs w:val="24"/>
              </w:rPr>
              <w:t xml:space="preserve">="Health" </w:t>
            </w:r>
            <w:r w:rsidRPr="00E07CB1">
              <w:rPr>
                <w:color w:val="FF0000"/>
                <w:sz w:val="24"/>
                <w:szCs w:val="24"/>
              </w:rPr>
              <w:t>fc</w:t>
            </w:r>
            <w:r w:rsidRPr="00E07CB1">
              <w:rPr>
                <w:sz w:val="24"/>
                <w:szCs w:val="24"/>
              </w:rPr>
              <w:t>="ST"/</w:t>
            </w:r>
            <w:r w:rsidRPr="00E07CB1">
              <w:rPr>
                <w:rFonts w:ascii="Symbol" w:hAnsi="Symbol"/>
                <w:sz w:val="24"/>
                <w:szCs w:val="24"/>
              </w:rPr>
              <w:t></w:t>
            </w:r>
          </w:p>
          <w:p w:rsidR="00474E8E" w:rsidRPr="00E07CB1" w:rsidRDefault="00474E8E" w:rsidP="00474E8E">
            <w:pPr>
              <w:pStyle w:val="BodyText"/>
              <w:spacing w:before="101"/>
              <w:ind w:left="832"/>
              <w:rPr>
                <w:rFonts w:ascii="Symbol" w:hAnsi="Symbol"/>
                <w:sz w:val="24"/>
                <w:szCs w:val="24"/>
              </w:rPr>
            </w:pPr>
            <w:r w:rsidRPr="00E07CB1">
              <w:rPr>
                <w:rFonts w:ascii="Symbol" w:hAnsi="Symbol"/>
                <w:sz w:val="24"/>
                <w:szCs w:val="24"/>
              </w:rPr>
              <w:t></w:t>
            </w:r>
            <w:r w:rsidRPr="00E07CB1">
              <w:rPr>
                <w:color w:val="800000"/>
                <w:sz w:val="24"/>
                <w:szCs w:val="24"/>
              </w:rPr>
              <w:t xml:space="preserve">FCDA </w:t>
            </w:r>
            <w:r w:rsidRPr="00E07CB1">
              <w:rPr>
                <w:color w:val="FF0000"/>
                <w:sz w:val="24"/>
                <w:szCs w:val="24"/>
              </w:rPr>
              <w:t>ldInst</w:t>
            </w:r>
            <w:r w:rsidRPr="00E07CB1">
              <w:rPr>
                <w:sz w:val="24"/>
                <w:szCs w:val="24"/>
              </w:rPr>
              <w:t xml:space="preserve">="PMU" </w:t>
            </w:r>
            <w:r w:rsidRPr="00E07CB1">
              <w:rPr>
                <w:color w:val="FF0000"/>
                <w:sz w:val="24"/>
                <w:szCs w:val="24"/>
              </w:rPr>
              <w:t>prefix</w:t>
            </w:r>
            <w:r w:rsidRPr="00E07CB1">
              <w:rPr>
                <w:sz w:val="24"/>
                <w:szCs w:val="24"/>
              </w:rPr>
              <w:t xml:space="preserve">="" </w:t>
            </w:r>
            <w:r w:rsidRPr="00E07CB1">
              <w:rPr>
                <w:color w:val="FF0000"/>
                <w:sz w:val="24"/>
                <w:szCs w:val="24"/>
              </w:rPr>
              <w:t>lnClass</w:t>
            </w:r>
            <w:r w:rsidRPr="00E07CB1">
              <w:rPr>
                <w:sz w:val="24"/>
                <w:szCs w:val="24"/>
              </w:rPr>
              <w:t xml:space="preserve">="LPHD" </w:t>
            </w:r>
            <w:r w:rsidRPr="00E07CB1">
              <w:rPr>
                <w:color w:val="FF0000"/>
                <w:sz w:val="24"/>
                <w:szCs w:val="24"/>
              </w:rPr>
              <w:t>lnInst</w:t>
            </w:r>
            <w:r w:rsidRPr="00E07CB1">
              <w:rPr>
                <w:sz w:val="24"/>
                <w:szCs w:val="24"/>
              </w:rPr>
              <w:t xml:space="preserve">="1" </w:t>
            </w:r>
            <w:r w:rsidRPr="00E07CB1">
              <w:rPr>
                <w:color w:val="FF0000"/>
                <w:sz w:val="24"/>
                <w:szCs w:val="24"/>
              </w:rPr>
              <w:t>doName</w:t>
            </w:r>
            <w:r w:rsidRPr="00E07CB1">
              <w:rPr>
                <w:sz w:val="24"/>
                <w:szCs w:val="24"/>
              </w:rPr>
              <w:t xml:space="preserve">="PhyHealth" </w:t>
            </w:r>
            <w:r w:rsidRPr="00E07CB1">
              <w:rPr>
                <w:color w:val="FF0000"/>
                <w:sz w:val="24"/>
                <w:szCs w:val="24"/>
              </w:rPr>
              <w:t>fc</w:t>
            </w:r>
            <w:r w:rsidRPr="00E07CB1">
              <w:rPr>
                <w:sz w:val="24"/>
                <w:szCs w:val="24"/>
              </w:rPr>
              <w:t>="ST"/</w:t>
            </w:r>
            <w:r w:rsidRPr="00E07CB1">
              <w:rPr>
                <w:rFonts w:ascii="Symbol" w:hAnsi="Symbol"/>
                <w:sz w:val="24"/>
                <w:szCs w:val="24"/>
              </w:rPr>
              <w:t></w:t>
            </w:r>
          </w:p>
          <w:p w:rsidR="00474E8E" w:rsidRPr="00E07CB1" w:rsidRDefault="00474E8E" w:rsidP="00474E8E">
            <w:pPr>
              <w:pStyle w:val="BodyText"/>
              <w:spacing w:before="1" w:line="195" w:lineRule="exact"/>
              <w:ind w:left="111"/>
              <w:rPr>
                <w:rFonts w:ascii="Symbol" w:hAnsi="Symbol"/>
                <w:sz w:val="24"/>
                <w:szCs w:val="24"/>
              </w:rPr>
            </w:pPr>
            <w:r w:rsidRPr="00E07CB1">
              <w:rPr>
                <w:rFonts w:ascii="Symbol" w:hAnsi="Symbol"/>
                <w:sz w:val="24"/>
                <w:szCs w:val="24"/>
              </w:rPr>
              <w:t></w:t>
            </w:r>
            <w:r w:rsidRPr="00E07CB1">
              <w:rPr>
                <w:sz w:val="24"/>
                <w:szCs w:val="24"/>
              </w:rPr>
              <w:t>/</w:t>
            </w:r>
            <w:r w:rsidRPr="00E07CB1">
              <w:rPr>
                <w:color w:val="800000"/>
                <w:sz w:val="24"/>
                <w:szCs w:val="24"/>
              </w:rPr>
              <w:t>DataSet</w:t>
            </w:r>
            <w:r w:rsidRPr="00E07CB1">
              <w:rPr>
                <w:rFonts w:ascii="Symbol" w:hAnsi="Symbol"/>
                <w:sz w:val="24"/>
                <w:szCs w:val="24"/>
              </w:rPr>
              <w:t></w:t>
            </w:r>
          </w:p>
          <w:p w:rsidR="00474E8E" w:rsidRPr="00E07CB1" w:rsidRDefault="00474E8E" w:rsidP="00474E8E">
            <w:pPr>
              <w:pStyle w:val="BodyText"/>
              <w:spacing w:line="195" w:lineRule="exact"/>
              <w:ind w:left="111"/>
              <w:rPr>
                <w:sz w:val="24"/>
                <w:szCs w:val="24"/>
              </w:rPr>
            </w:pPr>
            <w:r w:rsidRPr="00E07CB1">
              <w:rPr>
                <w:rFonts w:ascii="Symbol" w:hAnsi="Symbol"/>
                <w:sz w:val="24"/>
                <w:szCs w:val="24"/>
              </w:rPr>
              <w:t></w:t>
            </w:r>
            <w:r w:rsidRPr="00E07CB1">
              <w:rPr>
                <w:color w:val="800000"/>
                <w:sz w:val="24"/>
                <w:szCs w:val="24"/>
              </w:rPr>
              <w:t xml:space="preserve">SampledValueControl </w:t>
            </w:r>
            <w:r w:rsidRPr="00E07CB1">
              <w:rPr>
                <w:color w:val="FF0000"/>
                <w:sz w:val="24"/>
                <w:szCs w:val="24"/>
              </w:rPr>
              <w:t>name</w:t>
            </w:r>
            <w:r w:rsidRPr="00E07CB1">
              <w:rPr>
                <w:sz w:val="24"/>
                <w:szCs w:val="24"/>
              </w:rPr>
              <w:t xml:space="preserve">="SyPh_SVCB1" </w:t>
            </w:r>
            <w:r w:rsidRPr="00E07CB1">
              <w:rPr>
                <w:color w:val="FF0000"/>
                <w:sz w:val="24"/>
                <w:szCs w:val="24"/>
              </w:rPr>
              <w:t>desc</w:t>
            </w:r>
            <w:r w:rsidRPr="00E07CB1">
              <w:rPr>
                <w:sz w:val="24"/>
                <w:szCs w:val="24"/>
              </w:rPr>
              <w:t xml:space="preserve">="Phasor SVCB" </w:t>
            </w:r>
            <w:r w:rsidRPr="00E07CB1">
              <w:rPr>
                <w:color w:val="FF0000"/>
                <w:sz w:val="24"/>
                <w:szCs w:val="24"/>
              </w:rPr>
              <w:t>datSet</w:t>
            </w:r>
            <w:r w:rsidRPr="00E07CB1">
              <w:rPr>
                <w:sz w:val="24"/>
                <w:szCs w:val="24"/>
              </w:rPr>
              <w:t xml:space="preserve">="PMUdata" </w:t>
            </w:r>
            <w:r w:rsidRPr="00E07CB1">
              <w:rPr>
                <w:color w:val="FF0000"/>
                <w:sz w:val="24"/>
                <w:szCs w:val="24"/>
              </w:rPr>
              <w:t>confRev</w:t>
            </w:r>
            <w:r w:rsidRPr="00E07CB1">
              <w:rPr>
                <w:sz w:val="24"/>
                <w:szCs w:val="24"/>
              </w:rPr>
              <w:t xml:space="preserve">="1" </w:t>
            </w:r>
            <w:r w:rsidRPr="00E07CB1">
              <w:rPr>
                <w:color w:val="FF0000"/>
                <w:sz w:val="24"/>
                <w:szCs w:val="24"/>
              </w:rPr>
              <w:t>smvID</w:t>
            </w:r>
            <w:r w:rsidRPr="00E07CB1">
              <w:rPr>
                <w:sz w:val="24"/>
                <w:szCs w:val="24"/>
              </w:rPr>
              <w:t>="MyPhasors AA1"</w:t>
            </w:r>
          </w:p>
          <w:p w:rsidR="00474E8E" w:rsidRPr="00E07CB1" w:rsidRDefault="00474E8E" w:rsidP="00474E8E">
            <w:pPr>
              <w:pStyle w:val="BodyText"/>
              <w:spacing w:before="2"/>
              <w:rPr>
                <w:sz w:val="24"/>
                <w:szCs w:val="24"/>
              </w:rPr>
            </w:pPr>
          </w:p>
          <w:p w:rsidR="00474E8E" w:rsidRPr="00E07CB1" w:rsidRDefault="00474E8E" w:rsidP="00474E8E">
            <w:pPr>
              <w:pStyle w:val="BodyText"/>
              <w:spacing w:line="195" w:lineRule="exact"/>
              <w:ind w:left="832"/>
              <w:rPr>
                <w:rFonts w:ascii="Symbol" w:hAnsi="Symbol"/>
                <w:sz w:val="24"/>
                <w:szCs w:val="24"/>
              </w:rPr>
            </w:pPr>
            <w:r w:rsidRPr="00E07CB1">
              <w:rPr>
                <w:rFonts w:ascii="Symbol" w:hAnsi="Symbol"/>
                <w:sz w:val="24"/>
                <w:szCs w:val="24"/>
              </w:rPr>
              <w:t></w:t>
            </w:r>
            <w:r w:rsidRPr="00E07CB1">
              <w:rPr>
                <w:color w:val="800000"/>
                <w:sz w:val="24"/>
                <w:szCs w:val="24"/>
              </w:rPr>
              <w:t>IEDName</w:t>
            </w:r>
            <w:r w:rsidRPr="00E07CB1">
              <w:rPr>
                <w:rFonts w:ascii="Symbol" w:hAnsi="Symbol"/>
                <w:sz w:val="24"/>
                <w:szCs w:val="24"/>
              </w:rPr>
              <w:t></w:t>
            </w:r>
            <w:r w:rsidRPr="00E07CB1">
              <w:rPr>
                <w:sz w:val="24"/>
                <w:szCs w:val="24"/>
              </w:rPr>
              <w:t>AA1OPC1</w:t>
            </w:r>
            <w:r w:rsidRPr="00E07CB1">
              <w:rPr>
                <w:rFonts w:ascii="Symbol" w:hAnsi="Symbol"/>
                <w:sz w:val="24"/>
                <w:szCs w:val="24"/>
              </w:rPr>
              <w:t></w:t>
            </w:r>
            <w:r w:rsidRPr="00E07CB1">
              <w:rPr>
                <w:sz w:val="24"/>
                <w:szCs w:val="24"/>
              </w:rPr>
              <w:t>/</w:t>
            </w:r>
            <w:r w:rsidRPr="00E07CB1">
              <w:rPr>
                <w:color w:val="800000"/>
                <w:sz w:val="24"/>
                <w:szCs w:val="24"/>
              </w:rPr>
              <w:t>IEDName</w:t>
            </w:r>
            <w:r w:rsidRPr="00E07CB1">
              <w:rPr>
                <w:rFonts w:ascii="Symbol" w:hAnsi="Symbol"/>
                <w:sz w:val="24"/>
                <w:szCs w:val="24"/>
              </w:rPr>
              <w:t></w:t>
            </w:r>
          </w:p>
          <w:p w:rsidR="00474E8E" w:rsidRPr="00E07CB1" w:rsidRDefault="00474E8E" w:rsidP="00474E8E">
            <w:pPr>
              <w:pStyle w:val="BodyText"/>
              <w:spacing w:line="195" w:lineRule="exact"/>
              <w:ind w:left="111"/>
              <w:rPr>
                <w:rFonts w:ascii="Symbol" w:hAnsi="Symbol"/>
                <w:sz w:val="24"/>
                <w:szCs w:val="24"/>
              </w:rPr>
            </w:pPr>
            <w:r w:rsidRPr="00E07CB1">
              <w:rPr>
                <w:rFonts w:ascii="Symbol" w:hAnsi="Symbol"/>
                <w:sz w:val="24"/>
                <w:szCs w:val="24"/>
              </w:rPr>
              <w:t></w:t>
            </w:r>
            <w:r w:rsidRPr="00E07CB1">
              <w:rPr>
                <w:sz w:val="24"/>
                <w:szCs w:val="24"/>
              </w:rPr>
              <w:t>/SampledValueControl</w:t>
            </w:r>
            <w:r w:rsidRPr="00E07CB1">
              <w:rPr>
                <w:rFonts w:ascii="Symbol" w:hAnsi="Symbol"/>
                <w:sz w:val="24"/>
                <w:szCs w:val="24"/>
              </w:rPr>
              <w:t></w:t>
            </w:r>
          </w:p>
          <w:p w:rsidR="00474E8E" w:rsidRPr="00E07CB1" w:rsidRDefault="00474E8E" w:rsidP="00474E8E">
            <w:pPr>
              <w:pStyle w:val="BodyText"/>
              <w:spacing w:before="1"/>
              <w:ind w:left="3712"/>
              <w:rPr>
                <w:rFonts w:ascii="Symbol" w:hAnsi="Symbol"/>
                <w:sz w:val="24"/>
                <w:szCs w:val="24"/>
              </w:rPr>
            </w:pPr>
            <w:r w:rsidRPr="00E07CB1">
              <w:rPr>
                <w:rFonts w:ascii="Symbol" w:hAnsi="Symbol"/>
                <w:sz w:val="24"/>
                <w:szCs w:val="24"/>
              </w:rPr>
              <w:t></w:t>
            </w:r>
            <w:r w:rsidRPr="00E07CB1">
              <w:rPr>
                <w:color w:val="800000"/>
                <w:sz w:val="24"/>
                <w:szCs w:val="24"/>
              </w:rPr>
              <w:t xml:space="preserve">LN </w:t>
            </w:r>
            <w:r w:rsidRPr="00E07CB1">
              <w:rPr>
                <w:color w:val="FF0000"/>
                <w:sz w:val="24"/>
                <w:szCs w:val="24"/>
              </w:rPr>
              <w:t>inst</w:t>
            </w:r>
            <w:r w:rsidRPr="00E07CB1">
              <w:rPr>
                <w:sz w:val="24"/>
                <w:szCs w:val="24"/>
              </w:rPr>
              <w:t xml:space="preserve">="1" </w:t>
            </w:r>
            <w:r w:rsidRPr="00E07CB1">
              <w:rPr>
                <w:color w:val="FF0000"/>
                <w:sz w:val="24"/>
                <w:szCs w:val="24"/>
              </w:rPr>
              <w:t>desc</w:t>
            </w:r>
            <w:r w:rsidRPr="00E07CB1">
              <w:rPr>
                <w:sz w:val="24"/>
                <w:szCs w:val="24"/>
              </w:rPr>
              <w:t xml:space="preserve">="Synchrophasor measurements" </w:t>
            </w:r>
            <w:r w:rsidRPr="00E07CB1">
              <w:rPr>
                <w:color w:val="FF0000"/>
                <w:sz w:val="24"/>
                <w:szCs w:val="24"/>
              </w:rPr>
              <w:t>lnClass</w:t>
            </w:r>
            <w:r w:rsidRPr="00E07CB1">
              <w:rPr>
                <w:sz w:val="24"/>
                <w:szCs w:val="24"/>
              </w:rPr>
              <w:t xml:space="preserve">="MMXU" </w:t>
            </w:r>
            <w:r w:rsidRPr="00E07CB1">
              <w:rPr>
                <w:color w:val="FF0000"/>
                <w:sz w:val="24"/>
                <w:szCs w:val="24"/>
              </w:rPr>
              <w:t>lnType</w:t>
            </w:r>
            <w:r w:rsidRPr="00E07CB1">
              <w:rPr>
                <w:sz w:val="24"/>
                <w:szCs w:val="24"/>
              </w:rPr>
              <w:t>="Syph_RELx_IEC61850"</w:t>
            </w:r>
            <w:r w:rsidRPr="00E07CB1">
              <w:rPr>
                <w:rFonts w:ascii="Symbol" w:hAnsi="Symbol"/>
                <w:sz w:val="24"/>
                <w:szCs w:val="24"/>
              </w:rPr>
              <w:t></w:t>
            </w:r>
          </w:p>
          <w:p w:rsidR="00474E8E" w:rsidRPr="00E07CB1" w:rsidRDefault="00474E8E" w:rsidP="00474E8E">
            <w:pPr>
              <w:pStyle w:val="BodyText"/>
              <w:spacing w:line="195" w:lineRule="exact"/>
              <w:ind w:left="4432"/>
              <w:rPr>
                <w:rFonts w:ascii="Symbol" w:hAnsi="Symbol"/>
                <w:sz w:val="24"/>
                <w:szCs w:val="24"/>
              </w:rPr>
            </w:pPr>
            <w:r w:rsidRPr="00E07CB1">
              <w:rPr>
                <w:rFonts w:ascii="Symbol" w:hAnsi="Symbol"/>
                <w:sz w:val="24"/>
                <w:szCs w:val="24"/>
              </w:rPr>
              <w:t></w:t>
            </w:r>
            <w:r w:rsidRPr="00E07CB1">
              <w:rPr>
                <w:color w:val="800000"/>
                <w:sz w:val="24"/>
                <w:szCs w:val="24"/>
              </w:rPr>
              <w:t xml:space="preserve">DOI </w:t>
            </w:r>
            <w:r w:rsidRPr="00E07CB1">
              <w:rPr>
                <w:color w:val="FF0000"/>
                <w:sz w:val="24"/>
                <w:szCs w:val="24"/>
              </w:rPr>
              <w:t>name</w:t>
            </w:r>
            <w:r w:rsidRPr="00E07CB1">
              <w:rPr>
                <w:sz w:val="24"/>
                <w:szCs w:val="24"/>
              </w:rPr>
              <w:t>="PhV"</w:t>
            </w:r>
            <w:r w:rsidRPr="00E07CB1">
              <w:rPr>
                <w:rFonts w:ascii="Symbol" w:hAnsi="Symbol"/>
                <w:sz w:val="24"/>
                <w:szCs w:val="24"/>
              </w:rPr>
              <w:t></w:t>
            </w:r>
          </w:p>
          <w:p w:rsidR="00474E8E" w:rsidRPr="00E07CB1" w:rsidRDefault="00474E8E" w:rsidP="00474E8E">
            <w:pPr>
              <w:pStyle w:val="BodyText"/>
              <w:spacing w:line="195" w:lineRule="exact"/>
              <w:ind w:left="1622" w:right="4062"/>
              <w:jc w:val="center"/>
              <w:rPr>
                <w:rFonts w:ascii="Symbol" w:hAnsi="Symbol"/>
                <w:sz w:val="24"/>
                <w:szCs w:val="24"/>
              </w:rPr>
            </w:pPr>
            <w:r w:rsidRPr="00E07CB1">
              <w:rPr>
                <w:rFonts w:ascii="Symbol" w:hAnsi="Symbol"/>
                <w:sz w:val="24"/>
                <w:szCs w:val="24"/>
              </w:rPr>
              <w:t></w:t>
            </w:r>
            <w:r w:rsidRPr="00E07CB1">
              <w:rPr>
                <w:color w:val="800000"/>
                <w:sz w:val="24"/>
                <w:szCs w:val="24"/>
              </w:rPr>
              <w:t xml:space="preserve">DAI </w:t>
            </w:r>
            <w:r w:rsidRPr="00E07CB1">
              <w:rPr>
                <w:color w:val="FF0000"/>
                <w:sz w:val="24"/>
                <w:szCs w:val="24"/>
              </w:rPr>
              <w:t>name</w:t>
            </w:r>
            <w:r w:rsidRPr="00E07CB1">
              <w:rPr>
                <w:sz w:val="24"/>
                <w:szCs w:val="24"/>
              </w:rPr>
              <w:t>="angRef"</w:t>
            </w:r>
            <w:r w:rsidRPr="00E07CB1">
              <w:rPr>
                <w:rFonts w:ascii="Symbol" w:hAnsi="Symbol"/>
                <w:sz w:val="24"/>
                <w:szCs w:val="24"/>
              </w:rPr>
              <w:t></w:t>
            </w:r>
          </w:p>
          <w:p w:rsidR="00474E8E" w:rsidRPr="00E07CB1" w:rsidRDefault="00474E8E" w:rsidP="00474E8E">
            <w:pPr>
              <w:pStyle w:val="BodyText"/>
              <w:spacing w:before="1"/>
              <w:ind w:left="1622" w:right="2257"/>
              <w:jc w:val="center"/>
              <w:rPr>
                <w:rFonts w:ascii="Symbol" w:hAnsi="Symbol"/>
                <w:sz w:val="24"/>
                <w:szCs w:val="24"/>
              </w:rPr>
            </w:pPr>
            <w:r w:rsidRPr="00E07CB1">
              <w:rPr>
                <w:rFonts w:ascii="Symbol" w:hAnsi="Symbol"/>
                <w:sz w:val="24"/>
                <w:szCs w:val="24"/>
              </w:rPr>
              <w:t></w:t>
            </w:r>
            <w:r w:rsidRPr="00E07CB1">
              <w:rPr>
                <w:color w:val="800000"/>
                <w:sz w:val="24"/>
                <w:szCs w:val="24"/>
              </w:rPr>
              <w:t>Val</w:t>
            </w:r>
            <w:r w:rsidRPr="00E07CB1">
              <w:rPr>
                <w:rFonts w:ascii="Symbol" w:hAnsi="Symbol"/>
                <w:sz w:val="24"/>
                <w:szCs w:val="24"/>
              </w:rPr>
              <w:t></w:t>
            </w:r>
            <w:r w:rsidRPr="00E07CB1">
              <w:rPr>
                <w:sz w:val="24"/>
                <w:szCs w:val="24"/>
              </w:rPr>
              <w:t>Synchrophasor</w:t>
            </w:r>
            <w:r w:rsidRPr="00E07CB1">
              <w:rPr>
                <w:rFonts w:ascii="Symbol" w:hAnsi="Symbol"/>
                <w:sz w:val="24"/>
                <w:szCs w:val="24"/>
              </w:rPr>
              <w:t></w:t>
            </w:r>
            <w:r w:rsidRPr="00E07CB1">
              <w:rPr>
                <w:sz w:val="24"/>
                <w:szCs w:val="24"/>
              </w:rPr>
              <w:t>/</w:t>
            </w:r>
            <w:r w:rsidRPr="00E07CB1">
              <w:rPr>
                <w:color w:val="800000"/>
                <w:sz w:val="24"/>
                <w:szCs w:val="24"/>
              </w:rPr>
              <w:t>Val</w:t>
            </w:r>
            <w:r w:rsidRPr="00E07CB1">
              <w:rPr>
                <w:rFonts w:ascii="Symbol" w:hAnsi="Symbol"/>
                <w:sz w:val="24"/>
                <w:szCs w:val="24"/>
              </w:rPr>
              <w:t></w:t>
            </w:r>
          </w:p>
          <w:p w:rsidR="00474E8E" w:rsidRPr="00E07CB1" w:rsidRDefault="00474E8E" w:rsidP="00474E8E">
            <w:pPr>
              <w:pStyle w:val="BodyText"/>
              <w:spacing w:before="1" w:line="195" w:lineRule="exact"/>
              <w:ind w:left="1622" w:right="5286"/>
              <w:jc w:val="center"/>
              <w:rPr>
                <w:rFonts w:ascii="Symbol" w:hAnsi="Symbol"/>
                <w:sz w:val="24"/>
                <w:szCs w:val="24"/>
              </w:rPr>
            </w:pPr>
            <w:r w:rsidRPr="00E07CB1">
              <w:rPr>
                <w:rFonts w:ascii="Symbol" w:hAnsi="Symbol"/>
                <w:sz w:val="24"/>
                <w:szCs w:val="24"/>
              </w:rPr>
              <w:t></w:t>
            </w:r>
            <w:r w:rsidRPr="00E07CB1">
              <w:rPr>
                <w:sz w:val="24"/>
                <w:szCs w:val="24"/>
              </w:rPr>
              <w:t>/</w:t>
            </w:r>
            <w:r w:rsidRPr="00E07CB1">
              <w:rPr>
                <w:color w:val="800000"/>
                <w:sz w:val="24"/>
                <w:szCs w:val="24"/>
              </w:rPr>
              <w:t>DAI</w:t>
            </w:r>
            <w:r w:rsidRPr="00E07CB1">
              <w:rPr>
                <w:rFonts w:ascii="Symbol" w:hAnsi="Symbol"/>
                <w:sz w:val="24"/>
                <w:szCs w:val="24"/>
              </w:rPr>
              <w:t></w:t>
            </w:r>
          </w:p>
          <w:p w:rsidR="00474E8E" w:rsidRPr="00E07CB1" w:rsidRDefault="00474E8E" w:rsidP="00474E8E">
            <w:pPr>
              <w:pStyle w:val="BodyText"/>
              <w:spacing w:line="195" w:lineRule="exact"/>
              <w:ind w:left="1622" w:right="422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="phsA"</w:t>
            </w:r>
            <w:r w:rsidRPr="00E07CB1">
              <w:rPr>
                <w:rFonts w:ascii="Symbol" w:hAnsi="Symbol"/>
                <w:sz w:val="24"/>
                <w:szCs w:val="24"/>
              </w:rPr>
              <w:t></w:t>
            </w:r>
          </w:p>
          <w:p w:rsidR="00474E8E" w:rsidRPr="00E07CB1" w:rsidRDefault="00474E8E" w:rsidP="00474E8E">
            <w:pPr>
              <w:pStyle w:val="BodyText"/>
              <w:spacing w:before="1"/>
              <w:ind w:left="1622" w:right="278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="cVal" </w:t>
            </w:r>
            <w:r w:rsidRPr="00E07CB1">
              <w:rPr>
                <w:rFonts w:ascii="Symbol" w:hAnsi="Symbol"/>
                <w:sz w:val="24"/>
                <w:szCs w:val="24"/>
              </w:rPr>
              <w:t></w:t>
            </w:r>
          </w:p>
          <w:p w:rsidR="00474E8E" w:rsidRPr="00E07CB1" w:rsidRDefault="00474E8E" w:rsidP="00474E8E">
            <w:pPr>
              <w:pStyle w:val="BodyText"/>
              <w:spacing w:before="1" w:line="195" w:lineRule="exact"/>
              <w:ind w:left="1622" w:right="135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="mag" </w:t>
            </w:r>
            <w:r w:rsidRPr="00E07CB1">
              <w:rPr>
                <w:rFonts w:ascii="Symbol" w:hAnsi="Symbol"/>
                <w:sz w:val="24"/>
                <w:szCs w:val="24"/>
              </w:rPr>
              <w:t></w:t>
            </w:r>
          </w:p>
          <w:p w:rsidR="00474E8E" w:rsidRPr="00E07CB1" w:rsidRDefault="00474E8E" w:rsidP="00474E8E">
            <w:pPr>
              <w:pStyle w:val="BodyText"/>
              <w:spacing w:line="195" w:lineRule="exact"/>
              <w:ind w:left="7312"/>
              <w:rPr>
                <w:rFonts w:ascii="Symbol" w:hAnsi="Symbol"/>
                <w:sz w:val="24"/>
                <w:szCs w:val="24"/>
              </w:rPr>
            </w:pPr>
            <w:r w:rsidRPr="00E07CB1">
              <w:rPr>
                <w:rFonts w:ascii="Symbol" w:hAnsi="Symbol"/>
                <w:sz w:val="24"/>
                <w:szCs w:val="24"/>
              </w:rPr>
              <w:t></w:t>
            </w:r>
            <w:r w:rsidRPr="00E07CB1">
              <w:rPr>
                <w:color w:val="800000"/>
                <w:sz w:val="24"/>
                <w:szCs w:val="24"/>
              </w:rPr>
              <w:t xml:space="preserve">DAI </w:t>
            </w:r>
            <w:r w:rsidRPr="00E07CB1">
              <w:rPr>
                <w:color w:val="FF0000"/>
                <w:sz w:val="24"/>
                <w:szCs w:val="24"/>
              </w:rPr>
              <w:t>name</w:t>
            </w:r>
            <w:r w:rsidRPr="00E07CB1">
              <w:rPr>
                <w:sz w:val="24"/>
                <w:szCs w:val="24"/>
              </w:rPr>
              <w:t xml:space="preserve">="f" </w:t>
            </w:r>
            <w:r w:rsidRPr="00E07CB1">
              <w:rPr>
                <w:color w:val="FF0000"/>
                <w:sz w:val="24"/>
                <w:szCs w:val="24"/>
              </w:rPr>
              <w:t>sAddr</w:t>
            </w:r>
            <w:r w:rsidRPr="00E07CB1">
              <w:rPr>
                <w:sz w:val="24"/>
                <w:szCs w:val="24"/>
              </w:rPr>
              <w:t>="0,PHASORS,0" /</w:t>
            </w:r>
            <w:r w:rsidRPr="00E07CB1">
              <w:rPr>
                <w:rFonts w:ascii="Symbol" w:hAnsi="Symbol"/>
                <w:sz w:val="24"/>
                <w:szCs w:val="24"/>
              </w:rPr>
              <w:t></w:t>
            </w:r>
          </w:p>
          <w:p w:rsidR="00474E8E" w:rsidRPr="00E07CB1" w:rsidRDefault="00474E8E" w:rsidP="00474E8E">
            <w:pPr>
              <w:pStyle w:val="BodyText"/>
              <w:ind w:left="1622" w:right="422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="phsB"</w:t>
            </w:r>
            <w:r w:rsidRPr="00E07CB1">
              <w:rPr>
                <w:rFonts w:ascii="Symbol" w:hAnsi="Symbol"/>
                <w:sz w:val="24"/>
                <w:szCs w:val="24"/>
              </w:rPr>
              <w:t></w:t>
            </w:r>
          </w:p>
          <w:p w:rsidR="00474E8E" w:rsidRPr="00E07CB1" w:rsidRDefault="00474E8E" w:rsidP="00474E8E">
            <w:pPr>
              <w:pStyle w:val="BodyText"/>
              <w:spacing w:before="1" w:line="195" w:lineRule="exact"/>
              <w:ind w:left="1622" w:right="278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="cVal" </w:t>
            </w:r>
            <w:r w:rsidRPr="00E07CB1">
              <w:rPr>
                <w:rFonts w:ascii="Symbol" w:hAnsi="Symbol"/>
                <w:sz w:val="24"/>
                <w:szCs w:val="24"/>
              </w:rPr>
              <w:t></w:t>
            </w:r>
          </w:p>
          <w:p w:rsidR="00474E8E" w:rsidRPr="00E07CB1" w:rsidRDefault="00474E8E" w:rsidP="00474E8E">
            <w:pPr>
              <w:pStyle w:val="BodyText"/>
              <w:spacing w:line="195" w:lineRule="exact"/>
              <w:ind w:left="1622" w:right="135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="mag" </w:t>
            </w:r>
            <w:r w:rsidRPr="00E07CB1">
              <w:rPr>
                <w:rFonts w:ascii="Symbol" w:hAnsi="Symbol"/>
                <w:sz w:val="24"/>
                <w:szCs w:val="24"/>
              </w:rPr>
              <w:t></w:t>
            </w:r>
          </w:p>
          <w:p w:rsidR="00474E8E" w:rsidRPr="00E07CB1" w:rsidRDefault="00474E8E" w:rsidP="00474E8E">
            <w:pPr>
              <w:pStyle w:val="BodyText"/>
              <w:spacing w:before="1" w:line="195" w:lineRule="exact"/>
              <w:ind w:left="1622" w:right="4220"/>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="phsC"</w:t>
            </w:r>
            <w:r w:rsidRPr="00E07CB1">
              <w:rPr>
                <w:rFonts w:ascii="Symbol" w:hAnsi="Symbol"/>
                <w:sz w:val="24"/>
                <w:szCs w:val="24"/>
              </w:rPr>
              <w:t></w:t>
            </w:r>
          </w:p>
          <w:p w:rsidR="00474E8E" w:rsidRPr="00E07CB1" w:rsidRDefault="00474E8E" w:rsidP="00474E8E">
            <w:pPr>
              <w:pStyle w:val="BodyText"/>
              <w:spacing w:line="195" w:lineRule="exact"/>
              <w:ind w:left="1622" w:right="278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="cVal" </w:t>
            </w:r>
            <w:r w:rsidRPr="00E07CB1">
              <w:rPr>
                <w:rFonts w:ascii="Symbol" w:hAnsi="Symbol"/>
                <w:sz w:val="24"/>
                <w:szCs w:val="24"/>
              </w:rPr>
              <w:t></w:t>
            </w:r>
          </w:p>
          <w:p w:rsidR="00474E8E" w:rsidRPr="00E07CB1" w:rsidRDefault="00474E8E" w:rsidP="00474E8E">
            <w:pPr>
              <w:pStyle w:val="BodyText"/>
              <w:ind w:left="1622" w:right="135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="mag" </w:t>
            </w:r>
            <w:r w:rsidRPr="00E07CB1">
              <w:rPr>
                <w:rFonts w:ascii="Symbol" w:hAnsi="Symbol"/>
                <w:sz w:val="24"/>
                <w:szCs w:val="24"/>
              </w:rPr>
              <w:t></w:t>
            </w:r>
          </w:p>
          <w:p w:rsidR="00474E8E" w:rsidRPr="00E07CB1" w:rsidRDefault="00474E8E" w:rsidP="00474E8E">
            <w:pPr>
              <w:pStyle w:val="BodyText"/>
              <w:spacing w:before="101"/>
              <w:ind w:left="1622" w:right="4062"/>
              <w:jc w:val="center"/>
              <w:rPr>
                <w:rFonts w:ascii="Symbol" w:hAnsi="Symbol"/>
                <w:sz w:val="24"/>
                <w:szCs w:val="24"/>
              </w:rPr>
            </w:pPr>
            <w:r w:rsidRPr="00E07CB1">
              <w:rPr>
                <w:rFonts w:ascii="Symbol" w:hAnsi="Symbol"/>
                <w:sz w:val="24"/>
                <w:szCs w:val="24"/>
              </w:rPr>
              <w:t></w:t>
            </w:r>
            <w:r w:rsidRPr="00E07CB1">
              <w:rPr>
                <w:color w:val="800000"/>
                <w:sz w:val="24"/>
                <w:szCs w:val="24"/>
              </w:rPr>
              <w:t xml:space="preserve">DAI </w:t>
            </w:r>
            <w:r w:rsidRPr="00E07CB1">
              <w:rPr>
                <w:color w:val="FF0000"/>
                <w:sz w:val="24"/>
                <w:szCs w:val="24"/>
              </w:rPr>
              <w:t>name</w:t>
            </w:r>
            <w:r w:rsidRPr="00E07CB1">
              <w:rPr>
                <w:sz w:val="24"/>
                <w:szCs w:val="24"/>
              </w:rPr>
              <w:t>="angRef"</w:t>
            </w:r>
            <w:r w:rsidRPr="00E07CB1">
              <w:rPr>
                <w:rFonts w:ascii="Symbol" w:hAnsi="Symbol"/>
                <w:sz w:val="24"/>
                <w:szCs w:val="24"/>
              </w:rPr>
              <w:t></w:t>
            </w:r>
          </w:p>
          <w:p w:rsidR="00474E8E" w:rsidRPr="00E07CB1" w:rsidRDefault="00474E8E" w:rsidP="00474E8E">
            <w:pPr>
              <w:pStyle w:val="BodyText"/>
              <w:spacing w:before="1" w:line="194" w:lineRule="exact"/>
              <w:ind w:left="1622" w:right="2257"/>
              <w:jc w:val="center"/>
              <w:rPr>
                <w:rFonts w:ascii="Symbol" w:hAnsi="Symbol"/>
                <w:sz w:val="24"/>
                <w:szCs w:val="24"/>
              </w:rPr>
            </w:pPr>
            <w:r w:rsidRPr="00E07CB1">
              <w:rPr>
                <w:rFonts w:ascii="Symbol" w:hAnsi="Symbol"/>
                <w:sz w:val="24"/>
                <w:szCs w:val="24"/>
              </w:rPr>
              <w:t></w:t>
            </w:r>
            <w:r w:rsidRPr="00E07CB1">
              <w:rPr>
                <w:color w:val="800000"/>
                <w:sz w:val="24"/>
                <w:szCs w:val="24"/>
              </w:rPr>
              <w:t>Val</w:t>
            </w:r>
            <w:r w:rsidRPr="00E07CB1">
              <w:rPr>
                <w:rFonts w:ascii="Symbol" w:hAnsi="Symbol"/>
                <w:sz w:val="24"/>
                <w:szCs w:val="24"/>
              </w:rPr>
              <w:t></w:t>
            </w:r>
            <w:r w:rsidRPr="00E07CB1">
              <w:rPr>
                <w:sz w:val="24"/>
                <w:szCs w:val="24"/>
              </w:rPr>
              <w:t>Synchrophasor</w:t>
            </w:r>
            <w:r w:rsidRPr="00E07CB1">
              <w:rPr>
                <w:rFonts w:ascii="Symbol" w:hAnsi="Symbol"/>
                <w:sz w:val="24"/>
                <w:szCs w:val="24"/>
              </w:rPr>
              <w:t></w:t>
            </w:r>
            <w:r w:rsidRPr="00E07CB1">
              <w:rPr>
                <w:sz w:val="24"/>
                <w:szCs w:val="24"/>
              </w:rPr>
              <w:t>/</w:t>
            </w:r>
            <w:r w:rsidRPr="00E07CB1">
              <w:rPr>
                <w:color w:val="800000"/>
                <w:sz w:val="24"/>
                <w:szCs w:val="24"/>
              </w:rPr>
              <w:t>Val</w:t>
            </w:r>
            <w:r w:rsidRPr="00E07CB1">
              <w:rPr>
                <w:rFonts w:ascii="Symbol" w:hAnsi="Symbol"/>
                <w:sz w:val="24"/>
                <w:szCs w:val="24"/>
              </w:rPr>
              <w:t></w:t>
            </w:r>
          </w:p>
          <w:p w:rsidR="00474E8E" w:rsidRPr="00E07CB1" w:rsidRDefault="00474E8E" w:rsidP="00474E8E">
            <w:pPr>
              <w:pStyle w:val="BodyText"/>
              <w:spacing w:before="1"/>
              <w:ind w:left="1622" w:right="5286"/>
              <w:jc w:val="center"/>
              <w:rPr>
                <w:rFonts w:ascii="Symbol" w:hAnsi="Symbol"/>
                <w:sz w:val="24"/>
                <w:szCs w:val="24"/>
              </w:rPr>
            </w:pPr>
            <w:r w:rsidRPr="00E07CB1">
              <w:rPr>
                <w:rFonts w:ascii="Symbol" w:hAnsi="Symbol"/>
                <w:sz w:val="24"/>
                <w:szCs w:val="24"/>
              </w:rPr>
              <w:t></w:t>
            </w:r>
            <w:r w:rsidRPr="00E07CB1">
              <w:rPr>
                <w:sz w:val="24"/>
                <w:szCs w:val="24"/>
              </w:rPr>
              <w:t>/</w:t>
            </w:r>
            <w:r w:rsidRPr="00E07CB1">
              <w:rPr>
                <w:color w:val="800000"/>
                <w:sz w:val="24"/>
                <w:szCs w:val="24"/>
              </w:rPr>
              <w:t>DAI</w:t>
            </w:r>
            <w:r w:rsidRPr="00E07CB1">
              <w:rPr>
                <w:rFonts w:ascii="Symbol" w:hAnsi="Symbol"/>
                <w:sz w:val="24"/>
                <w:szCs w:val="24"/>
              </w:rPr>
              <w:t></w:t>
            </w:r>
          </w:p>
          <w:p w:rsidR="00474E8E" w:rsidRPr="00E07CB1" w:rsidRDefault="00474E8E" w:rsidP="00474E8E">
            <w:pPr>
              <w:pStyle w:val="BodyText"/>
              <w:spacing w:before="1"/>
              <w:ind w:left="1622" w:right="422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="phsA"</w:t>
            </w:r>
            <w:r w:rsidRPr="00E07CB1">
              <w:rPr>
                <w:rFonts w:ascii="Symbol" w:hAnsi="Symbol"/>
                <w:sz w:val="24"/>
                <w:szCs w:val="24"/>
              </w:rPr>
              <w:t></w:t>
            </w:r>
          </w:p>
          <w:p w:rsidR="00474E8E" w:rsidRPr="00E07CB1" w:rsidRDefault="00474E8E" w:rsidP="00474E8E">
            <w:pPr>
              <w:pStyle w:val="BodyText"/>
              <w:spacing w:before="1" w:line="195" w:lineRule="exact"/>
              <w:ind w:left="1622" w:right="278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="cVal" </w:t>
            </w:r>
            <w:r w:rsidRPr="00E07CB1">
              <w:rPr>
                <w:rFonts w:ascii="Symbol" w:hAnsi="Symbol"/>
                <w:sz w:val="24"/>
                <w:szCs w:val="24"/>
              </w:rPr>
              <w:t></w:t>
            </w:r>
          </w:p>
          <w:p w:rsidR="00474E8E" w:rsidRPr="00E07CB1" w:rsidRDefault="00474E8E" w:rsidP="00474E8E">
            <w:pPr>
              <w:pStyle w:val="BodyText"/>
              <w:spacing w:line="195" w:lineRule="exact"/>
              <w:ind w:left="1622" w:right="135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="mag" </w:t>
            </w:r>
            <w:r w:rsidRPr="00E07CB1">
              <w:rPr>
                <w:rFonts w:ascii="Symbol" w:hAnsi="Symbol"/>
                <w:sz w:val="24"/>
                <w:szCs w:val="24"/>
              </w:rPr>
              <w:t></w:t>
            </w:r>
          </w:p>
          <w:p w:rsidR="00474E8E" w:rsidRPr="00E07CB1" w:rsidRDefault="00474E8E" w:rsidP="00474E8E">
            <w:pPr>
              <w:pStyle w:val="BodyText"/>
              <w:ind w:left="7312"/>
              <w:rPr>
                <w:rFonts w:ascii="Symbol" w:hAnsi="Symbol"/>
                <w:sz w:val="24"/>
                <w:szCs w:val="24"/>
              </w:rPr>
            </w:pPr>
            <w:r w:rsidRPr="00E07CB1">
              <w:rPr>
                <w:rFonts w:ascii="Symbol" w:hAnsi="Symbol"/>
                <w:sz w:val="24"/>
                <w:szCs w:val="24"/>
              </w:rPr>
              <w:t></w:t>
            </w:r>
            <w:r w:rsidRPr="00E07CB1">
              <w:rPr>
                <w:color w:val="800000"/>
                <w:sz w:val="24"/>
                <w:szCs w:val="24"/>
              </w:rPr>
              <w:t xml:space="preserve">DAI </w:t>
            </w:r>
            <w:r w:rsidRPr="00E07CB1">
              <w:rPr>
                <w:color w:val="FF0000"/>
                <w:sz w:val="24"/>
                <w:szCs w:val="24"/>
              </w:rPr>
              <w:t>name</w:t>
            </w:r>
            <w:r w:rsidRPr="00E07CB1">
              <w:rPr>
                <w:sz w:val="24"/>
                <w:szCs w:val="24"/>
              </w:rPr>
              <w:t xml:space="preserve">="f" </w:t>
            </w:r>
            <w:r w:rsidRPr="00E07CB1">
              <w:rPr>
                <w:color w:val="FF0000"/>
                <w:sz w:val="24"/>
                <w:szCs w:val="24"/>
              </w:rPr>
              <w:t>sAddr</w:t>
            </w:r>
            <w:r w:rsidRPr="00E07CB1">
              <w:rPr>
                <w:sz w:val="24"/>
                <w:szCs w:val="24"/>
              </w:rPr>
              <w:t>="0,PHASORS,3" /</w:t>
            </w:r>
            <w:r w:rsidRPr="00E07CB1">
              <w:rPr>
                <w:rFonts w:ascii="Symbol" w:hAnsi="Symbol"/>
                <w:sz w:val="24"/>
                <w:szCs w:val="24"/>
              </w:rPr>
              <w:t></w:t>
            </w:r>
          </w:p>
          <w:p w:rsidR="00474E8E" w:rsidRPr="00E07CB1" w:rsidRDefault="00474E8E" w:rsidP="00474E8E">
            <w:pPr>
              <w:pStyle w:val="BodyText"/>
              <w:spacing w:before="1" w:line="195" w:lineRule="exact"/>
              <w:ind w:left="1622" w:right="422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="phsB"</w:t>
            </w:r>
            <w:r w:rsidRPr="00E07CB1">
              <w:rPr>
                <w:rFonts w:ascii="Symbol" w:hAnsi="Symbol"/>
                <w:sz w:val="24"/>
                <w:szCs w:val="24"/>
              </w:rPr>
              <w:t></w:t>
            </w:r>
          </w:p>
          <w:p w:rsidR="00474E8E" w:rsidRPr="00E07CB1" w:rsidRDefault="00474E8E" w:rsidP="00474E8E">
            <w:pPr>
              <w:pStyle w:val="BodyText"/>
              <w:spacing w:line="195" w:lineRule="exact"/>
              <w:ind w:left="1622" w:right="278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="cVal" </w:t>
            </w:r>
            <w:r w:rsidRPr="00E07CB1">
              <w:rPr>
                <w:rFonts w:ascii="Symbol" w:hAnsi="Symbol"/>
                <w:sz w:val="24"/>
                <w:szCs w:val="24"/>
              </w:rPr>
              <w:t></w:t>
            </w:r>
          </w:p>
          <w:p w:rsidR="00474E8E" w:rsidRPr="00E07CB1" w:rsidRDefault="00474E8E" w:rsidP="00474E8E">
            <w:pPr>
              <w:pStyle w:val="BodyText"/>
              <w:spacing w:before="1"/>
              <w:ind w:left="1622" w:right="135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="mag" </w:t>
            </w:r>
            <w:r w:rsidRPr="00E07CB1">
              <w:rPr>
                <w:rFonts w:ascii="Symbol" w:hAnsi="Symbol"/>
                <w:sz w:val="24"/>
                <w:szCs w:val="24"/>
              </w:rPr>
              <w:t></w:t>
            </w:r>
          </w:p>
          <w:p w:rsidR="00474E8E" w:rsidRPr="00E07CB1" w:rsidRDefault="00474E8E" w:rsidP="00474E8E">
            <w:pPr>
              <w:pStyle w:val="BodyText"/>
              <w:spacing w:before="1" w:line="194" w:lineRule="exact"/>
              <w:ind w:left="7312"/>
              <w:rPr>
                <w:rFonts w:ascii="Symbol" w:hAnsi="Symbol"/>
                <w:sz w:val="24"/>
                <w:szCs w:val="24"/>
              </w:rPr>
            </w:pPr>
            <w:r w:rsidRPr="00E07CB1">
              <w:rPr>
                <w:rFonts w:ascii="Symbol" w:hAnsi="Symbol"/>
                <w:sz w:val="24"/>
                <w:szCs w:val="24"/>
              </w:rPr>
              <w:t></w:t>
            </w:r>
            <w:r w:rsidRPr="00E07CB1">
              <w:rPr>
                <w:color w:val="800000"/>
                <w:sz w:val="24"/>
                <w:szCs w:val="24"/>
              </w:rPr>
              <w:t xml:space="preserve">DAI </w:t>
            </w:r>
            <w:r w:rsidRPr="00E07CB1">
              <w:rPr>
                <w:color w:val="FF0000"/>
                <w:sz w:val="24"/>
                <w:szCs w:val="24"/>
              </w:rPr>
              <w:t>name</w:t>
            </w:r>
            <w:r w:rsidRPr="00E07CB1">
              <w:rPr>
                <w:sz w:val="24"/>
                <w:szCs w:val="24"/>
              </w:rPr>
              <w:t xml:space="preserve">="f" </w:t>
            </w:r>
            <w:r w:rsidRPr="00E07CB1">
              <w:rPr>
                <w:color w:val="FF0000"/>
                <w:sz w:val="24"/>
                <w:szCs w:val="24"/>
              </w:rPr>
              <w:t>sAddr</w:t>
            </w:r>
            <w:r w:rsidRPr="00E07CB1">
              <w:rPr>
                <w:sz w:val="24"/>
                <w:szCs w:val="24"/>
              </w:rPr>
              <w:t>="0,PHASORS,4" /</w:t>
            </w:r>
            <w:r w:rsidRPr="00E07CB1">
              <w:rPr>
                <w:rFonts w:ascii="Symbol" w:hAnsi="Symbol"/>
                <w:sz w:val="24"/>
                <w:szCs w:val="24"/>
              </w:rPr>
              <w:t></w:t>
            </w:r>
          </w:p>
          <w:p w:rsidR="00474E8E" w:rsidRPr="00E07CB1" w:rsidRDefault="00474E8E" w:rsidP="00474E8E">
            <w:pPr>
              <w:pStyle w:val="BodyText"/>
              <w:spacing w:before="1"/>
              <w:ind w:left="1622" w:right="4220"/>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="phsC"</w:t>
            </w:r>
            <w:r w:rsidRPr="00E07CB1">
              <w:rPr>
                <w:rFonts w:ascii="Symbol" w:hAnsi="Symbol"/>
                <w:sz w:val="24"/>
                <w:szCs w:val="24"/>
              </w:rPr>
              <w:t></w:t>
            </w:r>
          </w:p>
          <w:p w:rsidR="00474E8E" w:rsidRPr="00E07CB1" w:rsidRDefault="00474E8E" w:rsidP="00474E8E">
            <w:pPr>
              <w:pStyle w:val="BodyText"/>
              <w:spacing w:before="1"/>
              <w:ind w:left="1622" w:right="2787"/>
              <w:jc w:val="center"/>
              <w:rPr>
                <w:rFonts w:ascii="Symbol" w:hAnsi="Symbol"/>
                <w:sz w:val="24"/>
                <w:szCs w:val="24"/>
              </w:rPr>
            </w:pPr>
            <w:r w:rsidRPr="00E07CB1">
              <w:rPr>
                <w:rFonts w:ascii="Symbol" w:hAnsi="Symbol"/>
                <w:sz w:val="24"/>
                <w:szCs w:val="24"/>
              </w:rPr>
              <w:t></w:t>
            </w:r>
            <w:r w:rsidRPr="00E07CB1">
              <w:rPr>
                <w:color w:val="800000"/>
                <w:sz w:val="24"/>
                <w:szCs w:val="24"/>
              </w:rPr>
              <w:t xml:space="preserve">SDI </w:t>
            </w:r>
            <w:r w:rsidRPr="00E07CB1">
              <w:rPr>
                <w:color w:val="FF0000"/>
                <w:sz w:val="24"/>
                <w:szCs w:val="24"/>
              </w:rPr>
              <w:t>name</w:t>
            </w:r>
            <w:r w:rsidRPr="00E07CB1">
              <w:rPr>
                <w:sz w:val="24"/>
                <w:szCs w:val="24"/>
              </w:rPr>
              <w:t xml:space="preserve">="cVal" </w:t>
            </w:r>
            <w:r w:rsidRPr="00E07CB1">
              <w:rPr>
                <w:rFonts w:ascii="Symbol" w:hAnsi="Symbol"/>
                <w:sz w:val="24"/>
                <w:szCs w:val="24"/>
              </w:rPr>
              <w:t></w:t>
            </w:r>
          </w:p>
          <w:p w:rsidR="00474E8E" w:rsidRPr="00E07CB1" w:rsidRDefault="00474E8E" w:rsidP="00474E8E">
            <w:pPr>
              <w:pStyle w:val="BodyText"/>
              <w:spacing w:before="1" w:line="195" w:lineRule="exact"/>
              <w:ind w:left="1622" w:right="1357"/>
              <w:jc w:val="center"/>
              <w:rPr>
                <w:rFonts w:ascii="Symbol" w:hAnsi="Symbol"/>
                <w:sz w:val="24"/>
                <w:szCs w:val="24"/>
              </w:rPr>
            </w:pPr>
            <w:r w:rsidRPr="00E07CB1">
              <w:rPr>
                <w:rFonts w:ascii="Symbol" w:hAnsi="Symbol"/>
                <w:sz w:val="24"/>
                <w:szCs w:val="24"/>
              </w:rPr>
              <w:lastRenderedPageBreak/>
              <w:t></w:t>
            </w:r>
            <w:r w:rsidRPr="00E07CB1">
              <w:rPr>
                <w:color w:val="800000"/>
                <w:sz w:val="24"/>
                <w:szCs w:val="24"/>
              </w:rPr>
              <w:t xml:space="preserve">SDI </w:t>
            </w:r>
            <w:r w:rsidRPr="00E07CB1">
              <w:rPr>
                <w:color w:val="FF0000"/>
                <w:sz w:val="24"/>
                <w:szCs w:val="24"/>
              </w:rPr>
              <w:t>name</w:t>
            </w:r>
            <w:r w:rsidRPr="00E07CB1">
              <w:rPr>
                <w:sz w:val="24"/>
                <w:szCs w:val="24"/>
              </w:rPr>
              <w:t xml:space="preserve">="mag" </w:t>
            </w:r>
            <w:r w:rsidRPr="00E07CB1">
              <w:rPr>
                <w:rFonts w:ascii="Symbol" w:hAnsi="Symbol"/>
                <w:sz w:val="24"/>
                <w:szCs w:val="24"/>
              </w:rPr>
              <w:t></w:t>
            </w:r>
          </w:p>
          <w:p w:rsidR="00474E8E" w:rsidRPr="00E07CB1" w:rsidRDefault="00474E8E" w:rsidP="00474E8E">
            <w:pPr>
              <w:ind w:left="0" w:firstLine="0"/>
              <w:jc w:val="center"/>
              <w:rPr>
                <w:rFonts w:ascii="Symbol" w:hAnsi="Symbol"/>
              </w:rPr>
            </w:pPr>
            <w:r w:rsidRPr="00E07CB1">
              <w:rPr>
                <w:rFonts w:ascii="Symbol" w:hAnsi="Symbol"/>
              </w:rPr>
              <w:t></w:t>
            </w:r>
            <w:r w:rsidRPr="00E07CB1">
              <w:rPr>
                <w:color w:val="800000"/>
              </w:rPr>
              <w:t xml:space="preserve">DAI </w:t>
            </w:r>
            <w:r w:rsidRPr="00E07CB1">
              <w:rPr>
                <w:color w:val="FF0000"/>
              </w:rPr>
              <w:t>name</w:t>
            </w:r>
            <w:r w:rsidRPr="00E07CB1">
              <w:t xml:space="preserve">="f" </w:t>
            </w:r>
            <w:r w:rsidRPr="00E07CB1">
              <w:rPr>
                <w:color w:val="FF0000"/>
              </w:rPr>
              <w:t>sAddr</w:t>
            </w:r>
            <w:r w:rsidRPr="00E07CB1">
              <w:t>="0,PHASORS,5" /</w:t>
            </w:r>
            <w:r w:rsidRPr="00E07CB1">
              <w:rPr>
                <w:rFonts w:ascii="Symbol" w:hAnsi="Symbol"/>
              </w:rPr>
              <w:t></w:t>
            </w:r>
          </w:p>
          <w:p w:rsidR="00FE609E" w:rsidRPr="00E07CB1" w:rsidRDefault="00FE609E" w:rsidP="00FE609E">
            <w:pPr>
              <w:pStyle w:val="BodyText"/>
              <w:spacing w:before="1"/>
              <w:ind w:left="1552"/>
              <w:rPr>
                <w:rFonts w:ascii="Symbol" w:hAnsi="Symbol"/>
                <w:sz w:val="24"/>
                <w:szCs w:val="24"/>
              </w:rPr>
            </w:pPr>
            <w:r w:rsidRPr="00E07CB1">
              <w:rPr>
                <w:rFonts w:ascii="Symbol" w:hAnsi="Symbol"/>
                <w:sz w:val="24"/>
                <w:szCs w:val="24"/>
              </w:rPr>
              <w:t></w:t>
            </w:r>
            <w:r w:rsidRPr="00E07CB1">
              <w:rPr>
                <w:color w:val="800000"/>
                <w:sz w:val="24"/>
                <w:szCs w:val="24"/>
              </w:rPr>
              <w:t xml:space="preserve">LNodeType </w:t>
            </w:r>
            <w:r w:rsidRPr="00E07CB1">
              <w:rPr>
                <w:color w:val="FF0000"/>
                <w:sz w:val="24"/>
                <w:szCs w:val="24"/>
              </w:rPr>
              <w:t>id</w:t>
            </w:r>
            <w:r w:rsidRPr="00E07CB1">
              <w:rPr>
                <w:sz w:val="24"/>
                <w:szCs w:val="24"/>
              </w:rPr>
              <w:t xml:space="preserve">="IHMI_OPCServer_IEC61850" </w:t>
            </w:r>
            <w:r w:rsidRPr="00E07CB1">
              <w:rPr>
                <w:color w:val="FF0000"/>
                <w:sz w:val="24"/>
                <w:szCs w:val="24"/>
              </w:rPr>
              <w:t>lnClass</w:t>
            </w:r>
            <w:r w:rsidRPr="00E07CB1">
              <w:rPr>
                <w:sz w:val="24"/>
                <w:szCs w:val="24"/>
              </w:rPr>
              <w:t>="IHMI"</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="Beh" </w:t>
            </w:r>
            <w:r w:rsidRPr="00E07CB1">
              <w:rPr>
                <w:color w:val="FF0000"/>
                <w:sz w:val="24"/>
                <w:szCs w:val="24"/>
              </w:rPr>
              <w:t>type</w:t>
            </w:r>
            <w:r w:rsidRPr="00E07CB1">
              <w:rPr>
                <w:sz w:val="24"/>
                <w:szCs w:val="24"/>
              </w:rPr>
              <w:t>="aIns_OPCServer_IEC61850"/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="Health" </w:t>
            </w:r>
            <w:r w:rsidRPr="00E07CB1">
              <w:rPr>
                <w:color w:val="FF0000"/>
                <w:sz w:val="24"/>
                <w:szCs w:val="24"/>
              </w:rPr>
              <w:t>type</w:t>
            </w:r>
            <w:r w:rsidRPr="00E07CB1">
              <w:rPr>
                <w:sz w:val="24"/>
                <w:szCs w:val="24"/>
              </w:rPr>
              <w:t>="aIns_OPCServer_IEC61850"/</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="Mod" </w:t>
            </w:r>
            <w:r w:rsidRPr="00E07CB1">
              <w:rPr>
                <w:color w:val="FF0000"/>
                <w:sz w:val="24"/>
                <w:szCs w:val="24"/>
              </w:rPr>
              <w:t>type</w:t>
            </w:r>
            <w:r w:rsidRPr="00E07CB1">
              <w:rPr>
                <w:sz w:val="24"/>
                <w:szCs w:val="24"/>
              </w:rPr>
              <w:t>="aInc_OPCServer_IEC61850"/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="NamPlt" </w:t>
            </w:r>
            <w:r w:rsidRPr="00E07CB1">
              <w:rPr>
                <w:color w:val="FF0000"/>
                <w:sz w:val="24"/>
                <w:szCs w:val="24"/>
              </w:rPr>
              <w:t>type</w:t>
            </w:r>
            <w:r w:rsidRPr="00E07CB1">
              <w:rPr>
                <w:sz w:val="24"/>
                <w:szCs w:val="24"/>
              </w:rPr>
              <w:t>="aLpl_OPCServer_IEC61850"/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pacing w:val="4"/>
                <w:sz w:val="24"/>
                <w:szCs w:val="24"/>
              </w:rPr>
              <w:t></w:t>
            </w:r>
            <w:r w:rsidRPr="00E07CB1">
              <w:rPr>
                <w:color w:val="800000"/>
                <w:spacing w:val="4"/>
                <w:sz w:val="24"/>
                <w:szCs w:val="24"/>
              </w:rPr>
              <w:t xml:space="preserve">DO  </w:t>
            </w:r>
            <w:r w:rsidRPr="00E07CB1">
              <w:rPr>
                <w:color w:val="FF0000"/>
                <w:spacing w:val="6"/>
                <w:sz w:val="24"/>
                <w:szCs w:val="24"/>
              </w:rPr>
              <w:t>name</w:t>
            </w:r>
            <w:r w:rsidRPr="00E07CB1">
              <w:rPr>
                <w:spacing w:val="6"/>
                <w:sz w:val="24"/>
                <w:szCs w:val="24"/>
              </w:rPr>
              <w:t>="EEHealth"</w:t>
            </w:r>
            <w:r w:rsidRPr="00E07CB1">
              <w:rPr>
                <w:spacing w:val="31"/>
                <w:sz w:val="24"/>
                <w:szCs w:val="24"/>
              </w:rPr>
              <w:t xml:space="preserve"> </w:t>
            </w:r>
            <w:r w:rsidRPr="00E07CB1">
              <w:rPr>
                <w:color w:val="FF0000"/>
                <w:spacing w:val="6"/>
                <w:sz w:val="24"/>
                <w:szCs w:val="24"/>
              </w:rPr>
              <w:t>type</w:t>
            </w:r>
            <w:r w:rsidRPr="00E07CB1">
              <w:rPr>
                <w:spacing w:val="6"/>
                <w:sz w:val="24"/>
                <w:szCs w:val="24"/>
              </w:rPr>
              <w:t>="aIns_OPCServer_IEC61850"/</w:t>
            </w:r>
            <w:r w:rsidRPr="00E07CB1">
              <w:rPr>
                <w:rFonts w:ascii="Symbol" w:hAnsi="Symbol"/>
                <w:spacing w:val="6"/>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pacing w:val="4"/>
                <w:sz w:val="24"/>
                <w:szCs w:val="24"/>
              </w:rPr>
              <w:t></w:t>
            </w:r>
            <w:r w:rsidRPr="00E07CB1">
              <w:rPr>
                <w:color w:val="800000"/>
                <w:spacing w:val="4"/>
                <w:sz w:val="24"/>
                <w:szCs w:val="24"/>
              </w:rPr>
              <w:t xml:space="preserve">DO  </w:t>
            </w:r>
            <w:r w:rsidRPr="00E07CB1">
              <w:rPr>
                <w:color w:val="FF0000"/>
                <w:spacing w:val="6"/>
                <w:sz w:val="24"/>
                <w:szCs w:val="24"/>
              </w:rPr>
              <w:t>name</w:t>
            </w:r>
            <w:r w:rsidRPr="00E07CB1">
              <w:rPr>
                <w:spacing w:val="6"/>
                <w:sz w:val="24"/>
                <w:szCs w:val="24"/>
              </w:rPr>
              <w:t>="EEName"</w:t>
            </w:r>
            <w:r w:rsidRPr="00E07CB1">
              <w:rPr>
                <w:spacing w:val="26"/>
                <w:sz w:val="24"/>
                <w:szCs w:val="24"/>
              </w:rPr>
              <w:t xml:space="preserve"> </w:t>
            </w:r>
            <w:r w:rsidRPr="00E07CB1">
              <w:rPr>
                <w:color w:val="FF0000"/>
                <w:spacing w:val="6"/>
                <w:sz w:val="24"/>
                <w:szCs w:val="24"/>
              </w:rPr>
              <w:t>type</w:t>
            </w:r>
            <w:r w:rsidRPr="00E07CB1">
              <w:rPr>
                <w:spacing w:val="6"/>
                <w:sz w:val="24"/>
                <w:szCs w:val="24"/>
              </w:rPr>
              <w:t>="aDpl_OPCServer_IEC61850"/</w:t>
            </w:r>
            <w:r w:rsidRPr="00E07CB1">
              <w:rPr>
                <w:rFonts w:ascii="Symbol" w:hAnsi="Symbol"/>
                <w:spacing w:val="6"/>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="Loc" </w:t>
            </w:r>
            <w:r w:rsidRPr="00E07CB1">
              <w:rPr>
                <w:color w:val="FF0000"/>
                <w:sz w:val="24"/>
                <w:szCs w:val="24"/>
              </w:rPr>
              <w:t>type</w:t>
            </w:r>
            <w:r w:rsidRPr="00E07CB1">
              <w:rPr>
                <w:sz w:val="24"/>
                <w:szCs w:val="24"/>
              </w:rPr>
              <w:t>="aSps_OPCServer_IEC61850"/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="OpCnt" </w:t>
            </w:r>
            <w:r w:rsidRPr="00E07CB1">
              <w:rPr>
                <w:color w:val="FF0000"/>
                <w:sz w:val="24"/>
                <w:szCs w:val="24"/>
              </w:rPr>
              <w:t>type</w:t>
            </w:r>
            <w:r w:rsidRPr="00E07CB1">
              <w:rPr>
                <w:sz w:val="24"/>
                <w:szCs w:val="24"/>
              </w:rPr>
              <w:t>="aIns_OPCServer_IEC61850"/</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="OpCntRs" </w:t>
            </w:r>
            <w:r w:rsidRPr="00E07CB1">
              <w:rPr>
                <w:color w:val="FF0000"/>
                <w:sz w:val="24"/>
                <w:szCs w:val="24"/>
              </w:rPr>
              <w:t>type</w:t>
            </w:r>
            <w:r w:rsidRPr="00E07CB1">
              <w:rPr>
                <w:sz w:val="24"/>
                <w:szCs w:val="24"/>
              </w:rPr>
              <w:t>="aInc_OPCServer_IEC61850"/</w:t>
            </w:r>
            <w:r w:rsidRPr="00E07CB1">
              <w:rPr>
                <w:rFonts w:ascii="Symbol" w:hAnsi="Symbol"/>
                <w:sz w:val="24"/>
                <w:szCs w:val="24"/>
              </w:rPr>
              <w:t></w:t>
            </w:r>
          </w:p>
          <w:p w:rsidR="00FE609E" w:rsidRPr="00E07CB1" w:rsidRDefault="00FE609E" w:rsidP="00FE609E">
            <w:pPr>
              <w:pStyle w:val="BodyText"/>
              <w:spacing w:before="10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="OpTmh" </w:t>
            </w:r>
            <w:r w:rsidRPr="00E07CB1">
              <w:rPr>
                <w:color w:val="FF0000"/>
                <w:sz w:val="24"/>
                <w:szCs w:val="24"/>
              </w:rPr>
              <w:t>type</w:t>
            </w:r>
            <w:r w:rsidRPr="00E07CB1">
              <w:rPr>
                <w:sz w:val="24"/>
                <w:szCs w:val="24"/>
              </w:rPr>
              <w:t>="aIns_OPCServer_IEC61850"/</w:t>
            </w:r>
            <w:r w:rsidRPr="00E07CB1">
              <w:rPr>
                <w:rFonts w:ascii="Symbol" w:hAnsi="Symbol"/>
                <w:sz w:val="24"/>
                <w:szCs w:val="24"/>
              </w:rPr>
              <w:t></w:t>
            </w:r>
          </w:p>
          <w:p w:rsidR="00FE609E" w:rsidRPr="00E07CB1" w:rsidRDefault="00FE609E" w:rsidP="00FE609E">
            <w:pPr>
              <w:pStyle w:val="BodyText"/>
              <w:spacing w:before="1" w:line="195" w:lineRule="exact"/>
              <w:ind w:left="1552"/>
              <w:rPr>
                <w:rFonts w:ascii="Symbol" w:hAnsi="Symbol"/>
                <w:sz w:val="24"/>
                <w:szCs w:val="24"/>
              </w:rPr>
            </w:pPr>
            <w:r w:rsidRPr="00E07CB1">
              <w:rPr>
                <w:rFonts w:ascii="Symbol" w:hAnsi="Symbol"/>
                <w:sz w:val="24"/>
                <w:szCs w:val="24"/>
              </w:rPr>
              <w:t></w:t>
            </w:r>
            <w:r w:rsidRPr="00E07CB1">
              <w:rPr>
                <w:sz w:val="24"/>
                <w:szCs w:val="24"/>
              </w:rPr>
              <w:t>/LNodeType</w:t>
            </w:r>
            <w:r w:rsidRPr="00E07CB1">
              <w:rPr>
                <w:rFonts w:ascii="Symbol" w:hAnsi="Symbol"/>
                <w:sz w:val="24"/>
                <w:szCs w:val="24"/>
              </w:rPr>
              <w:t></w:t>
            </w:r>
          </w:p>
          <w:p w:rsidR="00FE609E" w:rsidRPr="00E07CB1" w:rsidRDefault="00FE609E" w:rsidP="00FE609E">
            <w:pPr>
              <w:pStyle w:val="BodyText"/>
              <w:spacing w:line="195" w:lineRule="exact"/>
              <w:ind w:left="1552"/>
              <w:rPr>
                <w:rFonts w:ascii="Symbol" w:hAnsi="Symbol"/>
                <w:sz w:val="24"/>
                <w:szCs w:val="24"/>
              </w:rPr>
            </w:pPr>
            <w:r w:rsidRPr="00E07CB1">
              <w:rPr>
                <w:rFonts w:ascii="Symbol" w:hAnsi="Symbol"/>
                <w:sz w:val="24"/>
                <w:szCs w:val="24"/>
              </w:rPr>
              <w:t></w:t>
            </w:r>
            <w:r w:rsidRPr="00E07CB1">
              <w:rPr>
                <w:color w:val="800000"/>
                <w:sz w:val="24"/>
                <w:szCs w:val="24"/>
              </w:rPr>
              <w:t xml:space="preserve">LNodeType </w:t>
            </w:r>
            <w:r w:rsidRPr="00E07CB1">
              <w:rPr>
                <w:color w:val="FF0000"/>
                <w:sz w:val="24"/>
                <w:szCs w:val="24"/>
              </w:rPr>
              <w:t>id</w:t>
            </w:r>
            <w:r w:rsidRPr="00E07CB1">
              <w:rPr>
                <w:sz w:val="24"/>
                <w:szCs w:val="24"/>
              </w:rPr>
              <w:t xml:space="preserve">="LLN0_RELx_IEC61850" </w:t>
            </w:r>
            <w:r w:rsidRPr="00E07CB1">
              <w:rPr>
                <w:color w:val="FF0000"/>
                <w:sz w:val="24"/>
                <w:szCs w:val="24"/>
              </w:rPr>
              <w:t>lnClass</w:t>
            </w:r>
            <w:r w:rsidRPr="00E07CB1">
              <w:rPr>
                <w:sz w:val="24"/>
                <w:szCs w:val="24"/>
              </w:rPr>
              <w:t>="LLN0"</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="Beh" </w:t>
            </w:r>
            <w:r w:rsidRPr="00E07CB1">
              <w:rPr>
                <w:color w:val="FF0000"/>
                <w:sz w:val="24"/>
                <w:szCs w:val="24"/>
              </w:rPr>
              <w:t>type</w:t>
            </w:r>
            <w:r w:rsidRPr="00E07CB1">
              <w:rPr>
                <w:sz w:val="24"/>
                <w:szCs w:val="24"/>
              </w:rPr>
              <w:t>="tcBeh_RELx_IEC61850"/</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="Health" </w:t>
            </w:r>
            <w:r w:rsidRPr="00E07CB1">
              <w:rPr>
                <w:color w:val="FF0000"/>
                <w:sz w:val="24"/>
                <w:szCs w:val="24"/>
              </w:rPr>
              <w:t>type</w:t>
            </w:r>
            <w:r w:rsidRPr="00E07CB1">
              <w:rPr>
                <w:sz w:val="24"/>
                <w:szCs w:val="24"/>
              </w:rPr>
              <w:t>="tcHealth_RELx_IEC61850"/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="LEDRs" </w:t>
            </w:r>
            <w:r w:rsidRPr="00E07CB1">
              <w:rPr>
                <w:color w:val="FF0000"/>
                <w:sz w:val="24"/>
                <w:szCs w:val="24"/>
              </w:rPr>
              <w:t>desc</w:t>
            </w:r>
            <w:r w:rsidRPr="00E07CB1">
              <w:rPr>
                <w:sz w:val="24"/>
                <w:szCs w:val="24"/>
              </w:rPr>
              <w:t xml:space="preserve">="LED Reset" </w:t>
            </w:r>
            <w:r w:rsidRPr="00E07CB1">
              <w:rPr>
                <w:color w:val="FF0000"/>
                <w:sz w:val="24"/>
                <w:szCs w:val="24"/>
              </w:rPr>
              <w:t>type</w:t>
            </w:r>
            <w:r w:rsidRPr="00E07CB1">
              <w:rPr>
                <w:sz w:val="24"/>
                <w:szCs w:val="24"/>
              </w:rPr>
              <w:t>="tcSPCRO_RELx_IEC61850"/</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="Mod" </w:t>
            </w:r>
            <w:r w:rsidRPr="00E07CB1">
              <w:rPr>
                <w:color w:val="FF0000"/>
                <w:sz w:val="24"/>
                <w:szCs w:val="24"/>
              </w:rPr>
              <w:t>type</w:t>
            </w:r>
            <w:r w:rsidRPr="00E07CB1">
              <w:rPr>
                <w:sz w:val="24"/>
                <w:szCs w:val="24"/>
              </w:rPr>
              <w:t>="tcROMod_RELx_IEC61850"/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="NamPlt" </w:t>
            </w:r>
            <w:r w:rsidRPr="00E07CB1">
              <w:rPr>
                <w:color w:val="FF0000"/>
                <w:sz w:val="24"/>
                <w:szCs w:val="24"/>
              </w:rPr>
              <w:t>type</w:t>
            </w:r>
            <w:r w:rsidRPr="00E07CB1">
              <w:rPr>
                <w:sz w:val="24"/>
                <w:szCs w:val="24"/>
              </w:rPr>
              <w:t>="tcLPLIdNs_RELx_IEC61850"/</w:t>
            </w:r>
            <w:r w:rsidRPr="00E07CB1">
              <w:rPr>
                <w:rFonts w:ascii="Symbol" w:hAnsi="Symbol"/>
                <w:sz w:val="24"/>
                <w:szCs w:val="24"/>
              </w:rPr>
              <w:t></w:t>
            </w:r>
          </w:p>
          <w:p w:rsidR="00FE609E" w:rsidRPr="00E07CB1" w:rsidRDefault="00FE609E" w:rsidP="00FE609E">
            <w:pPr>
              <w:pStyle w:val="BodyText"/>
              <w:spacing w:line="195" w:lineRule="exact"/>
              <w:ind w:left="1552"/>
              <w:rPr>
                <w:rFonts w:ascii="Symbol" w:hAnsi="Symbol"/>
                <w:sz w:val="24"/>
                <w:szCs w:val="24"/>
              </w:rPr>
            </w:pPr>
            <w:r w:rsidRPr="00E07CB1">
              <w:rPr>
                <w:rFonts w:ascii="Symbol" w:hAnsi="Symbol"/>
                <w:sz w:val="24"/>
                <w:szCs w:val="24"/>
              </w:rPr>
              <w:t></w:t>
            </w:r>
            <w:r w:rsidRPr="00E07CB1">
              <w:rPr>
                <w:sz w:val="24"/>
                <w:szCs w:val="24"/>
              </w:rPr>
              <w:t>/LNodeType</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="Beh" </w:t>
            </w:r>
            <w:r w:rsidRPr="00E07CB1">
              <w:rPr>
                <w:color w:val="FF0000"/>
                <w:sz w:val="24"/>
                <w:szCs w:val="24"/>
              </w:rPr>
              <w:t>type</w:t>
            </w:r>
            <w:r w:rsidRPr="00E07CB1">
              <w:rPr>
                <w:sz w:val="24"/>
                <w:szCs w:val="24"/>
              </w:rPr>
              <w:t>="tcBeh_RECx_IEC61850"/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="Health" </w:t>
            </w:r>
            <w:r w:rsidRPr="00E07CB1">
              <w:rPr>
                <w:color w:val="FF0000"/>
                <w:sz w:val="24"/>
                <w:szCs w:val="24"/>
              </w:rPr>
              <w:t>type</w:t>
            </w:r>
            <w:r w:rsidRPr="00E07CB1">
              <w:rPr>
                <w:sz w:val="24"/>
                <w:szCs w:val="24"/>
              </w:rPr>
              <w:t>="tcHealth_RECx_IEC61850"/</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="Mod" </w:t>
            </w:r>
            <w:r w:rsidRPr="00E07CB1">
              <w:rPr>
                <w:color w:val="FF0000"/>
                <w:sz w:val="24"/>
                <w:szCs w:val="24"/>
              </w:rPr>
              <w:t>type</w:t>
            </w:r>
            <w:r w:rsidRPr="00E07CB1">
              <w:rPr>
                <w:sz w:val="24"/>
                <w:szCs w:val="24"/>
              </w:rPr>
              <w:t>="tcROMod_RECx_IEC61850"/</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="NamPlt" </w:t>
            </w:r>
            <w:r w:rsidRPr="00E07CB1">
              <w:rPr>
                <w:color w:val="FF0000"/>
                <w:sz w:val="24"/>
                <w:szCs w:val="24"/>
              </w:rPr>
              <w:t>type</w:t>
            </w:r>
            <w:r w:rsidRPr="00E07CB1">
              <w:rPr>
                <w:sz w:val="24"/>
                <w:szCs w:val="24"/>
              </w:rPr>
              <w:t>="tcLPL_RECx_IEC61850"/</w:t>
            </w:r>
            <w:r w:rsidRPr="00E07CB1">
              <w:rPr>
                <w:rFonts w:ascii="Symbol" w:hAnsi="Symbol"/>
                <w:sz w:val="24"/>
                <w:szCs w:val="24"/>
              </w:rPr>
              <w:t></w:t>
            </w:r>
          </w:p>
          <w:p w:rsidR="00FE609E" w:rsidRPr="00E07CB1" w:rsidRDefault="00FE609E" w:rsidP="00FE609E">
            <w:pPr>
              <w:pStyle w:val="BodyTex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="A" </w:t>
            </w:r>
            <w:r w:rsidRPr="00E07CB1">
              <w:rPr>
                <w:color w:val="FF0000"/>
                <w:sz w:val="24"/>
                <w:szCs w:val="24"/>
              </w:rPr>
              <w:t>desc</w:t>
            </w:r>
            <w:r w:rsidRPr="00E07CB1">
              <w:rPr>
                <w:sz w:val="24"/>
                <w:szCs w:val="24"/>
              </w:rPr>
              <w:t xml:space="preserve">="Current phasors" </w:t>
            </w:r>
            <w:r w:rsidRPr="00E07CB1">
              <w:rPr>
                <w:color w:val="FF0000"/>
                <w:sz w:val="24"/>
                <w:szCs w:val="24"/>
              </w:rPr>
              <w:t>type</w:t>
            </w:r>
            <w:r w:rsidRPr="00E07CB1">
              <w:rPr>
                <w:sz w:val="24"/>
                <w:szCs w:val="24"/>
              </w:rPr>
              <w:t>="tcSyphWYE"/</w:t>
            </w:r>
            <w:r w:rsidRPr="00E07CB1">
              <w:rPr>
                <w:rFonts w:ascii="Symbol" w:hAnsi="Symbol"/>
                <w:sz w:val="24"/>
                <w:szCs w:val="24"/>
              </w:rPr>
              <w:t></w:t>
            </w:r>
          </w:p>
          <w:p w:rsidR="00FE609E" w:rsidRPr="00E07CB1" w:rsidRDefault="00FE609E" w:rsidP="00FE609E">
            <w:pPr>
              <w:pStyle w:val="BodyText"/>
              <w:spacing w:before="1" w:line="195" w:lineRule="exact"/>
              <w:ind w:left="1552"/>
              <w:rPr>
                <w:rFonts w:ascii="Symbol" w:hAnsi="Symbol"/>
                <w:sz w:val="24"/>
                <w:szCs w:val="24"/>
              </w:rPr>
            </w:pPr>
            <w:r w:rsidRPr="00E07CB1">
              <w:rPr>
                <w:rFonts w:ascii="Symbol" w:hAnsi="Symbol"/>
                <w:sz w:val="24"/>
                <w:szCs w:val="24"/>
              </w:rPr>
              <w:t></w:t>
            </w:r>
            <w:r w:rsidRPr="00E07CB1">
              <w:rPr>
                <w:sz w:val="24"/>
                <w:szCs w:val="24"/>
              </w:rPr>
              <w:t>/LNodeType</w:t>
            </w:r>
            <w:r w:rsidRPr="00E07CB1">
              <w:rPr>
                <w:rFonts w:ascii="Symbol" w:hAnsi="Symbol"/>
                <w:sz w:val="24"/>
                <w:szCs w:val="24"/>
              </w:rPr>
              <w:t></w:t>
            </w:r>
          </w:p>
          <w:p w:rsidR="00FE609E" w:rsidRPr="00E07CB1" w:rsidRDefault="00FE609E" w:rsidP="00FE609E">
            <w:pPr>
              <w:pStyle w:val="BodyText"/>
              <w:spacing w:line="195" w:lineRule="exact"/>
              <w:ind w:left="1552"/>
              <w:rPr>
                <w:rFonts w:ascii="Symbol" w:hAnsi="Symbol"/>
                <w:sz w:val="24"/>
                <w:szCs w:val="24"/>
              </w:rPr>
            </w:pPr>
            <w:r w:rsidRPr="00E07CB1">
              <w:rPr>
                <w:rFonts w:ascii="Symbol" w:hAnsi="Symbol"/>
                <w:sz w:val="24"/>
                <w:szCs w:val="24"/>
              </w:rPr>
              <w:t></w:t>
            </w:r>
            <w:r w:rsidRPr="00E07CB1">
              <w:rPr>
                <w:color w:val="800000"/>
                <w:sz w:val="24"/>
                <w:szCs w:val="24"/>
              </w:rPr>
              <w:t xml:space="preserve">LNodeType </w:t>
            </w:r>
            <w:r w:rsidRPr="00E07CB1">
              <w:rPr>
                <w:color w:val="FF0000"/>
                <w:sz w:val="24"/>
                <w:szCs w:val="24"/>
              </w:rPr>
              <w:t>id</w:t>
            </w:r>
            <w:r w:rsidRPr="00E07CB1">
              <w:rPr>
                <w:sz w:val="24"/>
                <w:szCs w:val="24"/>
              </w:rPr>
              <w:t xml:space="preserve">="CT_RELx_IEC61850" </w:t>
            </w:r>
            <w:r w:rsidRPr="00E07CB1">
              <w:rPr>
                <w:color w:val="FF0000"/>
                <w:sz w:val="24"/>
                <w:szCs w:val="24"/>
              </w:rPr>
              <w:t>lnClass</w:t>
            </w:r>
            <w:r w:rsidRPr="00E07CB1">
              <w:rPr>
                <w:sz w:val="24"/>
                <w:szCs w:val="24"/>
              </w:rPr>
              <w:t>="TCTR"</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="Beh" </w:t>
            </w:r>
            <w:r w:rsidRPr="00E07CB1">
              <w:rPr>
                <w:color w:val="FF0000"/>
                <w:sz w:val="24"/>
                <w:szCs w:val="24"/>
              </w:rPr>
              <w:t>type</w:t>
            </w:r>
            <w:r w:rsidRPr="00E07CB1">
              <w:rPr>
                <w:sz w:val="24"/>
                <w:szCs w:val="24"/>
              </w:rPr>
              <w:t>="tcBeh_RECx_IEC61850"/</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="Health" </w:t>
            </w:r>
            <w:r w:rsidRPr="00E07CB1">
              <w:rPr>
                <w:color w:val="FF0000"/>
                <w:sz w:val="24"/>
                <w:szCs w:val="24"/>
              </w:rPr>
              <w:t>type</w:t>
            </w:r>
            <w:r w:rsidRPr="00E07CB1">
              <w:rPr>
                <w:sz w:val="24"/>
                <w:szCs w:val="24"/>
              </w:rPr>
              <w:t>="tcHealth_RECx_IEC61850"/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="Mod" </w:t>
            </w:r>
            <w:r w:rsidRPr="00E07CB1">
              <w:rPr>
                <w:color w:val="FF0000"/>
                <w:sz w:val="24"/>
                <w:szCs w:val="24"/>
              </w:rPr>
              <w:t>type</w:t>
            </w:r>
            <w:r w:rsidRPr="00E07CB1">
              <w:rPr>
                <w:sz w:val="24"/>
                <w:szCs w:val="24"/>
              </w:rPr>
              <w:t>="tcROMod_RECx_IEC61850"/</w:t>
            </w:r>
            <w:r w:rsidRPr="00E07CB1">
              <w:rPr>
                <w:rFonts w:ascii="Symbol" w:hAnsi="Symbol"/>
                <w:sz w:val="24"/>
                <w:szCs w:val="24"/>
              </w:rPr>
              <w:t></w:t>
            </w:r>
          </w:p>
          <w:p w:rsidR="00FE609E" w:rsidRPr="00E07CB1" w:rsidRDefault="00FE609E" w:rsidP="00FE609E">
            <w:pPr>
              <w:pStyle w:val="BodyTex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="NamPlt" </w:t>
            </w:r>
            <w:r w:rsidRPr="00E07CB1">
              <w:rPr>
                <w:color w:val="FF0000"/>
                <w:sz w:val="24"/>
                <w:szCs w:val="24"/>
              </w:rPr>
              <w:t>type</w:t>
            </w:r>
            <w:r w:rsidRPr="00E07CB1">
              <w:rPr>
                <w:sz w:val="24"/>
                <w:szCs w:val="24"/>
              </w:rPr>
              <w:t>="tcLPL_RECx_IEC61850"/</w:t>
            </w:r>
            <w:r w:rsidRPr="00E07CB1">
              <w:rPr>
                <w:rFonts w:ascii="Symbol" w:hAnsi="Symbol"/>
                <w:sz w:val="24"/>
                <w:szCs w:val="24"/>
              </w:rPr>
              <w:t></w:t>
            </w:r>
          </w:p>
          <w:p w:rsidR="00FE609E" w:rsidRPr="00E07CB1" w:rsidRDefault="00FE609E" w:rsidP="00FE609E">
            <w:pPr>
              <w:pStyle w:val="BodyText"/>
              <w:spacing w:before="1" w:line="195" w:lineRule="exact"/>
              <w:ind w:left="1552"/>
              <w:rPr>
                <w:rFonts w:ascii="Symbol" w:hAnsi="Symbol"/>
                <w:sz w:val="24"/>
                <w:szCs w:val="24"/>
              </w:rPr>
            </w:pPr>
            <w:r w:rsidRPr="00E07CB1">
              <w:rPr>
                <w:rFonts w:ascii="Symbol" w:hAnsi="Symbol"/>
                <w:sz w:val="24"/>
                <w:szCs w:val="24"/>
              </w:rPr>
              <w:t></w:t>
            </w:r>
            <w:r w:rsidRPr="00E07CB1">
              <w:rPr>
                <w:sz w:val="24"/>
                <w:szCs w:val="24"/>
              </w:rPr>
              <w:t>/LNodeType</w:t>
            </w:r>
            <w:r w:rsidRPr="00E07CB1">
              <w:rPr>
                <w:rFonts w:ascii="Symbol" w:hAnsi="Symbol"/>
                <w:sz w:val="24"/>
                <w:szCs w:val="24"/>
              </w:rPr>
              <w:t></w:t>
            </w:r>
          </w:p>
          <w:p w:rsidR="00FE609E" w:rsidRPr="00E07CB1" w:rsidRDefault="00FE609E" w:rsidP="00FE609E">
            <w:pPr>
              <w:pStyle w:val="BodyText"/>
              <w:spacing w:line="195" w:lineRule="exact"/>
              <w:ind w:left="1552"/>
              <w:rPr>
                <w:rFonts w:ascii="Symbol" w:hAnsi="Symbol"/>
                <w:sz w:val="24"/>
                <w:szCs w:val="24"/>
              </w:rPr>
            </w:pPr>
            <w:r w:rsidRPr="00E07CB1">
              <w:rPr>
                <w:rFonts w:ascii="Symbol" w:hAnsi="Symbol"/>
                <w:sz w:val="24"/>
                <w:szCs w:val="24"/>
              </w:rPr>
              <w:t></w:t>
            </w:r>
            <w:r w:rsidRPr="00E07CB1">
              <w:rPr>
                <w:color w:val="800000"/>
                <w:sz w:val="24"/>
                <w:szCs w:val="24"/>
              </w:rPr>
              <w:t xml:space="preserve">LNodeType </w:t>
            </w:r>
            <w:r w:rsidRPr="00E07CB1">
              <w:rPr>
                <w:color w:val="FF0000"/>
                <w:sz w:val="24"/>
                <w:szCs w:val="24"/>
              </w:rPr>
              <w:t>id</w:t>
            </w:r>
            <w:r w:rsidRPr="00E07CB1">
              <w:rPr>
                <w:sz w:val="24"/>
                <w:szCs w:val="24"/>
              </w:rPr>
              <w:t xml:space="preserve">="VT_RELx_IEC61850" </w:t>
            </w:r>
            <w:r w:rsidRPr="00E07CB1">
              <w:rPr>
                <w:color w:val="FF0000"/>
                <w:sz w:val="24"/>
                <w:szCs w:val="24"/>
              </w:rPr>
              <w:t>lnClass</w:t>
            </w:r>
            <w:r w:rsidRPr="00E07CB1">
              <w:rPr>
                <w:sz w:val="24"/>
                <w:szCs w:val="24"/>
              </w:rPr>
              <w:t>="TVTR"</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="Beh" </w:t>
            </w:r>
            <w:r w:rsidRPr="00E07CB1">
              <w:rPr>
                <w:color w:val="FF0000"/>
                <w:sz w:val="24"/>
                <w:szCs w:val="24"/>
              </w:rPr>
              <w:t>type</w:t>
            </w:r>
            <w:r w:rsidRPr="00E07CB1">
              <w:rPr>
                <w:sz w:val="24"/>
                <w:szCs w:val="24"/>
              </w:rPr>
              <w:t>="tcBeh_RECx_IEC61850"/</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="Health" </w:t>
            </w:r>
            <w:r w:rsidRPr="00E07CB1">
              <w:rPr>
                <w:color w:val="FF0000"/>
                <w:sz w:val="24"/>
                <w:szCs w:val="24"/>
              </w:rPr>
              <w:t>type</w:t>
            </w:r>
            <w:r w:rsidRPr="00E07CB1">
              <w:rPr>
                <w:sz w:val="24"/>
                <w:szCs w:val="24"/>
              </w:rPr>
              <w:t>="tcHealth_RECx_IEC61850"/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="Mod" </w:t>
            </w:r>
            <w:r w:rsidRPr="00E07CB1">
              <w:rPr>
                <w:color w:val="FF0000"/>
                <w:sz w:val="24"/>
                <w:szCs w:val="24"/>
              </w:rPr>
              <w:t>type</w:t>
            </w:r>
            <w:r w:rsidRPr="00E07CB1">
              <w:rPr>
                <w:sz w:val="24"/>
                <w:szCs w:val="24"/>
              </w:rPr>
              <w:t>="tcROMod_RECx_IEC61850"/</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="NamPlt" </w:t>
            </w:r>
            <w:r w:rsidRPr="00E07CB1">
              <w:rPr>
                <w:color w:val="FF0000"/>
                <w:sz w:val="24"/>
                <w:szCs w:val="24"/>
              </w:rPr>
              <w:t>type</w:t>
            </w:r>
            <w:r w:rsidRPr="00E07CB1">
              <w:rPr>
                <w:sz w:val="24"/>
                <w:szCs w:val="24"/>
              </w:rPr>
              <w:t>="tcLPL_RECx_IEC61850"/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="FuFail" </w:t>
            </w:r>
            <w:r w:rsidRPr="00E07CB1">
              <w:rPr>
                <w:color w:val="FF0000"/>
                <w:sz w:val="24"/>
                <w:szCs w:val="24"/>
              </w:rPr>
              <w:t>desc</w:t>
            </w:r>
            <w:r w:rsidRPr="00E07CB1">
              <w:rPr>
                <w:sz w:val="24"/>
                <w:szCs w:val="24"/>
              </w:rPr>
              <w:t xml:space="preserve">="VT supply failure (MCB)" </w:t>
            </w:r>
            <w:r w:rsidRPr="00E07CB1">
              <w:rPr>
                <w:color w:val="FF0000"/>
                <w:sz w:val="24"/>
                <w:szCs w:val="24"/>
              </w:rPr>
              <w:t>type</w:t>
            </w:r>
            <w:r w:rsidRPr="00E07CB1">
              <w:rPr>
                <w:sz w:val="24"/>
                <w:szCs w:val="24"/>
              </w:rPr>
              <w:t>="tcSPS_RECx_IEC61850"/</w:t>
            </w:r>
            <w:r w:rsidRPr="00E07CB1">
              <w:rPr>
                <w:rFonts w:ascii="Symbol" w:hAnsi="Symbol"/>
                <w:sz w:val="24"/>
                <w:szCs w:val="24"/>
              </w:rPr>
              <w:t></w:t>
            </w:r>
          </w:p>
          <w:p w:rsidR="00FE609E" w:rsidRPr="00E07CB1" w:rsidRDefault="00FE609E" w:rsidP="00FE609E">
            <w:pPr>
              <w:pStyle w:val="BodyText"/>
              <w:spacing w:line="195" w:lineRule="exact"/>
              <w:ind w:left="1552"/>
              <w:rPr>
                <w:rFonts w:ascii="Symbol" w:hAnsi="Symbol"/>
                <w:sz w:val="24"/>
                <w:szCs w:val="24"/>
              </w:rPr>
            </w:pPr>
            <w:r w:rsidRPr="00E07CB1">
              <w:rPr>
                <w:rFonts w:ascii="Symbol" w:hAnsi="Symbol"/>
                <w:sz w:val="24"/>
                <w:szCs w:val="24"/>
              </w:rPr>
              <w:t></w:t>
            </w:r>
            <w:r w:rsidRPr="00E07CB1">
              <w:rPr>
                <w:sz w:val="24"/>
                <w:szCs w:val="24"/>
              </w:rPr>
              <w:t>/LNodeType</w:t>
            </w:r>
            <w:r w:rsidRPr="00E07CB1">
              <w:rPr>
                <w:rFonts w:ascii="Symbol" w:hAnsi="Symbol"/>
                <w:sz w:val="24"/>
                <w:szCs w:val="24"/>
              </w:rPr>
              <w:t></w:t>
            </w:r>
          </w:p>
          <w:p w:rsidR="00FE609E" w:rsidRPr="00E07CB1" w:rsidRDefault="00FE609E" w:rsidP="00FE609E">
            <w:pPr>
              <w:pStyle w:val="BodyText"/>
              <w:spacing w:before="1"/>
              <w:ind w:left="1552"/>
              <w:rPr>
                <w:rFonts w:ascii="Symbol" w:hAnsi="Symbol"/>
                <w:sz w:val="24"/>
                <w:szCs w:val="24"/>
              </w:rPr>
            </w:pPr>
            <w:r w:rsidRPr="00E07CB1">
              <w:rPr>
                <w:rFonts w:ascii="Symbol" w:hAnsi="Symbol"/>
                <w:sz w:val="24"/>
                <w:szCs w:val="24"/>
              </w:rPr>
              <w:t></w:t>
            </w:r>
            <w:r w:rsidRPr="00E07CB1">
              <w:rPr>
                <w:color w:val="800000"/>
                <w:sz w:val="24"/>
                <w:szCs w:val="24"/>
              </w:rPr>
              <w:t xml:space="preserve">LNodeType </w:t>
            </w:r>
            <w:r w:rsidRPr="00E07CB1">
              <w:rPr>
                <w:color w:val="FF0000"/>
                <w:sz w:val="24"/>
                <w:szCs w:val="24"/>
              </w:rPr>
              <w:t>id</w:t>
            </w:r>
            <w:r w:rsidRPr="00E07CB1">
              <w:rPr>
                <w:sz w:val="24"/>
                <w:szCs w:val="24"/>
              </w:rPr>
              <w:t xml:space="preserve">="Physical Device_RELx_IEC61850" </w:t>
            </w:r>
            <w:r w:rsidRPr="00E07CB1">
              <w:rPr>
                <w:color w:val="FF0000"/>
                <w:sz w:val="24"/>
                <w:szCs w:val="24"/>
              </w:rPr>
              <w:t>lnClass</w:t>
            </w:r>
            <w:r w:rsidRPr="00E07CB1">
              <w:rPr>
                <w:sz w:val="24"/>
                <w:szCs w:val="24"/>
              </w:rPr>
              <w:t>="LPHD"</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="PhyNam" </w:t>
            </w:r>
            <w:r w:rsidRPr="00E07CB1">
              <w:rPr>
                <w:color w:val="FF0000"/>
                <w:sz w:val="24"/>
                <w:szCs w:val="24"/>
              </w:rPr>
              <w:t>type</w:t>
            </w:r>
            <w:r w:rsidRPr="00E07CB1">
              <w:rPr>
                <w:sz w:val="24"/>
                <w:szCs w:val="24"/>
              </w:rPr>
              <w:t>="tcDPL_RELx_IEC61850"/</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="Beh" </w:t>
            </w:r>
            <w:r w:rsidRPr="00E07CB1">
              <w:rPr>
                <w:color w:val="FF0000"/>
                <w:sz w:val="24"/>
                <w:szCs w:val="24"/>
              </w:rPr>
              <w:t>type</w:t>
            </w:r>
            <w:r w:rsidRPr="00E07CB1">
              <w:rPr>
                <w:sz w:val="24"/>
                <w:szCs w:val="24"/>
              </w:rPr>
              <w:t>="tcBeh_RELx_IEC61850"/</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="PhyHealth" </w:t>
            </w:r>
            <w:r w:rsidRPr="00E07CB1">
              <w:rPr>
                <w:color w:val="FF0000"/>
                <w:sz w:val="24"/>
                <w:szCs w:val="24"/>
              </w:rPr>
              <w:t>desc</w:t>
            </w:r>
            <w:r w:rsidRPr="00E07CB1">
              <w:rPr>
                <w:sz w:val="24"/>
                <w:szCs w:val="24"/>
              </w:rPr>
              <w:t xml:space="preserve">="Relay ready" </w:t>
            </w:r>
            <w:r w:rsidRPr="00E07CB1">
              <w:rPr>
                <w:color w:val="FF0000"/>
                <w:sz w:val="24"/>
                <w:szCs w:val="24"/>
              </w:rPr>
              <w:t>type</w:t>
            </w:r>
            <w:r w:rsidRPr="00E07CB1">
              <w:rPr>
                <w:sz w:val="24"/>
                <w:szCs w:val="24"/>
              </w:rPr>
              <w:t>="tcHealth_RELx_IEC61850"/</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DO </w:t>
            </w:r>
            <w:r w:rsidRPr="00E07CB1">
              <w:rPr>
                <w:color w:val="FF0000"/>
                <w:sz w:val="24"/>
                <w:szCs w:val="24"/>
              </w:rPr>
              <w:t>name</w:t>
            </w:r>
            <w:r w:rsidRPr="00E07CB1">
              <w:rPr>
                <w:sz w:val="24"/>
                <w:szCs w:val="24"/>
              </w:rPr>
              <w:t xml:space="preserve">="Proxy" </w:t>
            </w:r>
            <w:r w:rsidRPr="00E07CB1">
              <w:rPr>
                <w:color w:val="FF0000"/>
                <w:sz w:val="24"/>
                <w:szCs w:val="24"/>
              </w:rPr>
              <w:t>type</w:t>
            </w:r>
            <w:r w:rsidRPr="00E07CB1">
              <w:rPr>
                <w:sz w:val="24"/>
                <w:szCs w:val="24"/>
              </w:rPr>
              <w:t>="tcSPS_RELx_IEC61850"/</w:t>
            </w:r>
            <w:r w:rsidRPr="00E07CB1">
              <w:rPr>
                <w:rFonts w:ascii="Symbol" w:hAnsi="Symbol"/>
                <w:sz w:val="24"/>
                <w:szCs w:val="24"/>
              </w:rPr>
              <w:t></w:t>
            </w:r>
          </w:p>
          <w:p w:rsidR="00FE609E" w:rsidRPr="00E07CB1" w:rsidRDefault="00FE609E" w:rsidP="00FE609E">
            <w:pPr>
              <w:pStyle w:val="BodyText"/>
              <w:spacing w:line="195" w:lineRule="exact"/>
              <w:ind w:left="1552"/>
              <w:rPr>
                <w:rFonts w:ascii="Symbol" w:hAnsi="Symbol"/>
                <w:sz w:val="24"/>
                <w:szCs w:val="24"/>
              </w:rPr>
            </w:pPr>
            <w:r w:rsidRPr="00E07CB1">
              <w:rPr>
                <w:rFonts w:ascii="Symbol" w:hAnsi="Symbol"/>
                <w:sz w:val="24"/>
                <w:szCs w:val="24"/>
              </w:rPr>
              <w:t></w:t>
            </w:r>
            <w:r w:rsidRPr="00E07CB1">
              <w:rPr>
                <w:sz w:val="24"/>
                <w:szCs w:val="24"/>
              </w:rPr>
              <w:t>/LNodeType</w:t>
            </w:r>
            <w:r w:rsidRPr="00E07CB1">
              <w:rPr>
                <w:rFonts w:ascii="Symbol" w:hAnsi="Symbol"/>
                <w:sz w:val="24"/>
                <w:szCs w:val="24"/>
              </w:rPr>
              <w:t></w:t>
            </w:r>
          </w:p>
          <w:p w:rsidR="00FE609E" w:rsidRPr="00E07CB1" w:rsidRDefault="00FE609E" w:rsidP="00FE609E">
            <w:pPr>
              <w:pStyle w:val="BodyText"/>
              <w:ind w:left="112"/>
              <w:rPr>
                <w:rFonts w:ascii="Symbol" w:hAnsi="Symbol"/>
                <w:sz w:val="24"/>
                <w:szCs w:val="24"/>
              </w:rPr>
            </w:pPr>
            <w:r w:rsidRPr="00E07CB1">
              <w:rPr>
                <w:sz w:val="24"/>
                <w:szCs w:val="24"/>
              </w:rPr>
              <w:t>&lt;!-- other data type definitions removed --</w:t>
            </w:r>
            <w:r w:rsidRPr="00E07CB1">
              <w:rPr>
                <w:rFonts w:ascii="Symbol" w:hAnsi="Symbol"/>
                <w:sz w:val="24"/>
                <w:szCs w:val="24"/>
              </w:rPr>
              <w:t></w:t>
            </w:r>
          </w:p>
          <w:p w:rsidR="00FE609E" w:rsidRPr="00E07CB1" w:rsidRDefault="00FE609E" w:rsidP="00FE609E">
            <w:pPr>
              <w:pStyle w:val="BodyText"/>
              <w:spacing w:before="1" w:line="195" w:lineRule="exact"/>
              <w:ind w:left="1552"/>
              <w:rPr>
                <w:rFonts w:ascii="Symbol" w:hAnsi="Symbol"/>
                <w:sz w:val="24"/>
                <w:szCs w:val="24"/>
              </w:rPr>
            </w:pPr>
            <w:r w:rsidRPr="00E07CB1">
              <w:rPr>
                <w:rFonts w:ascii="Symbol" w:hAnsi="Symbol"/>
                <w:sz w:val="24"/>
                <w:szCs w:val="24"/>
              </w:rPr>
              <w:t></w:t>
            </w:r>
            <w:r w:rsidRPr="00E07CB1">
              <w:rPr>
                <w:color w:val="800000"/>
                <w:sz w:val="24"/>
                <w:szCs w:val="24"/>
              </w:rPr>
              <w:t xml:space="preserve">EnumType </w:t>
            </w:r>
            <w:r w:rsidRPr="00E07CB1">
              <w:rPr>
                <w:color w:val="FF0000"/>
                <w:sz w:val="24"/>
                <w:szCs w:val="24"/>
              </w:rPr>
              <w:t>id</w:t>
            </w:r>
            <w:r w:rsidRPr="00E07CB1">
              <w:rPr>
                <w:sz w:val="24"/>
                <w:szCs w:val="24"/>
              </w:rPr>
              <w:t>="ctlModel"</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="0"</w:t>
            </w:r>
            <w:r w:rsidRPr="00E07CB1">
              <w:rPr>
                <w:rFonts w:ascii="Symbol" w:hAnsi="Symbol"/>
                <w:sz w:val="24"/>
                <w:szCs w:val="24"/>
              </w:rPr>
              <w:t></w:t>
            </w:r>
            <w:r w:rsidRPr="00E07CB1">
              <w:rPr>
                <w:sz w:val="24"/>
                <w:szCs w:val="24"/>
              </w:rPr>
              <w:t>status-only</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="1"</w:t>
            </w:r>
            <w:r w:rsidRPr="00E07CB1">
              <w:rPr>
                <w:rFonts w:ascii="Symbol" w:hAnsi="Symbol"/>
                <w:sz w:val="24"/>
                <w:szCs w:val="24"/>
              </w:rPr>
              <w:t></w:t>
            </w:r>
            <w:r w:rsidRPr="00E07CB1">
              <w:rPr>
                <w:sz w:val="24"/>
                <w:szCs w:val="24"/>
              </w:rPr>
              <w:t>direct-with-normal-security</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="2"</w:t>
            </w:r>
            <w:r w:rsidRPr="00E07CB1">
              <w:rPr>
                <w:rFonts w:ascii="Symbol" w:hAnsi="Symbol"/>
                <w:sz w:val="24"/>
                <w:szCs w:val="24"/>
              </w:rPr>
              <w:t></w:t>
            </w:r>
            <w:r w:rsidRPr="00E07CB1">
              <w:rPr>
                <w:sz w:val="24"/>
                <w:szCs w:val="24"/>
              </w:rPr>
              <w:t>sbo-with-normal-security</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line="195" w:lineRule="exact"/>
              <w:ind w:left="2272"/>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="3"</w:t>
            </w:r>
            <w:r w:rsidRPr="00E07CB1">
              <w:rPr>
                <w:rFonts w:ascii="Symbol" w:hAnsi="Symbol"/>
                <w:sz w:val="24"/>
                <w:szCs w:val="24"/>
              </w:rPr>
              <w:t></w:t>
            </w:r>
            <w:r w:rsidRPr="00E07CB1">
              <w:rPr>
                <w:sz w:val="24"/>
                <w:szCs w:val="24"/>
              </w:rPr>
              <w:t>direct-with-enhanced-security</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ind w:left="2272"/>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="4"</w:t>
            </w:r>
            <w:r w:rsidRPr="00E07CB1">
              <w:rPr>
                <w:rFonts w:ascii="Symbol" w:hAnsi="Symbol"/>
                <w:sz w:val="24"/>
                <w:szCs w:val="24"/>
              </w:rPr>
              <w:t></w:t>
            </w:r>
            <w:r w:rsidRPr="00E07CB1">
              <w:rPr>
                <w:sz w:val="24"/>
                <w:szCs w:val="24"/>
              </w:rPr>
              <w:t>sbo-with-enhanced-security</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1552"/>
              <w:rPr>
                <w:rFonts w:ascii="Symbol" w:hAnsi="Symbol"/>
                <w:sz w:val="24"/>
                <w:szCs w:val="24"/>
              </w:rPr>
            </w:pPr>
            <w:r w:rsidRPr="00E07CB1">
              <w:rPr>
                <w:rFonts w:ascii="Symbol" w:hAnsi="Symbol"/>
                <w:sz w:val="24"/>
                <w:szCs w:val="24"/>
              </w:rPr>
              <w:t></w:t>
            </w:r>
            <w:r w:rsidRPr="00E07CB1">
              <w:rPr>
                <w:sz w:val="24"/>
                <w:szCs w:val="24"/>
              </w:rPr>
              <w:t>/EnumType</w:t>
            </w:r>
            <w:r w:rsidRPr="00E07CB1">
              <w:rPr>
                <w:rFonts w:ascii="Symbol" w:hAnsi="Symbol"/>
                <w:sz w:val="24"/>
                <w:szCs w:val="24"/>
              </w:rPr>
              <w:t></w:t>
            </w:r>
          </w:p>
          <w:p w:rsidR="00FE609E" w:rsidRPr="00E07CB1" w:rsidRDefault="00FE609E" w:rsidP="00FE609E">
            <w:pPr>
              <w:pStyle w:val="BodyText"/>
              <w:spacing w:line="195" w:lineRule="exact"/>
              <w:ind w:left="1552"/>
              <w:rPr>
                <w:rFonts w:ascii="Symbol" w:hAnsi="Symbol"/>
                <w:sz w:val="24"/>
                <w:szCs w:val="24"/>
              </w:rPr>
            </w:pPr>
            <w:r w:rsidRPr="00E07CB1">
              <w:rPr>
                <w:rFonts w:ascii="Symbol" w:hAnsi="Symbol"/>
                <w:sz w:val="24"/>
                <w:szCs w:val="24"/>
              </w:rPr>
              <w:t></w:t>
            </w:r>
            <w:r w:rsidRPr="00E07CB1">
              <w:rPr>
                <w:color w:val="800000"/>
                <w:sz w:val="24"/>
                <w:szCs w:val="24"/>
              </w:rPr>
              <w:t xml:space="preserve">EnumType </w:t>
            </w:r>
            <w:r w:rsidRPr="00E07CB1">
              <w:rPr>
                <w:color w:val="FF0000"/>
                <w:sz w:val="24"/>
                <w:szCs w:val="24"/>
              </w:rPr>
              <w:t>id</w:t>
            </w:r>
            <w:r w:rsidRPr="00E07CB1">
              <w:rPr>
                <w:sz w:val="24"/>
                <w:szCs w:val="24"/>
              </w:rPr>
              <w:t>="Beh"</w:t>
            </w:r>
            <w:r w:rsidRPr="00E07CB1">
              <w:rPr>
                <w:rFonts w:ascii="Symbol" w:hAnsi="Symbol"/>
                <w:sz w:val="24"/>
                <w:szCs w:val="24"/>
              </w:rPr>
              <w:t></w:t>
            </w:r>
          </w:p>
          <w:p w:rsidR="00FE609E" w:rsidRPr="00E07CB1" w:rsidRDefault="00FE609E" w:rsidP="00FE609E">
            <w:pPr>
              <w:pStyle w:val="BodyText"/>
              <w:spacing w:before="1"/>
              <w:ind w:left="2272"/>
              <w:rPr>
                <w:rFonts w:ascii="Symbol" w:hAnsi="Symbol"/>
                <w:sz w:val="24"/>
                <w:szCs w:val="24"/>
              </w:rPr>
            </w:pPr>
            <w:r w:rsidRPr="00E07CB1">
              <w:rPr>
                <w:rFonts w:ascii="Symbol" w:hAnsi="Symbol"/>
                <w:sz w:val="24"/>
                <w:szCs w:val="24"/>
              </w:rPr>
              <w:t></w:t>
            </w:r>
            <w:r w:rsidRPr="00E07CB1">
              <w:rPr>
                <w:sz w:val="24"/>
                <w:szCs w:val="24"/>
              </w:rPr>
              <w:t xml:space="preserve">EnumVal </w:t>
            </w:r>
            <w:r w:rsidRPr="00E07CB1">
              <w:rPr>
                <w:color w:val="FF0000"/>
                <w:sz w:val="24"/>
                <w:szCs w:val="24"/>
              </w:rPr>
              <w:t>ord</w:t>
            </w:r>
            <w:r w:rsidRPr="00E07CB1">
              <w:rPr>
                <w:sz w:val="24"/>
                <w:szCs w:val="24"/>
              </w:rPr>
              <w:t>="1"</w:t>
            </w:r>
            <w:r w:rsidRPr="00E07CB1">
              <w:rPr>
                <w:rFonts w:ascii="Symbol" w:hAnsi="Symbol"/>
                <w:sz w:val="24"/>
                <w:szCs w:val="24"/>
              </w:rPr>
              <w:t></w:t>
            </w:r>
            <w:r w:rsidRPr="00E07CB1">
              <w:rPr>
                <w:sz w:val="24"/>
                <w:szCs w:val="24"/>
              </w:rPr>
              <w:t>on</w:t>
            </w:r>
            <w:r w:rsidRPr="00E07CB1">
              <w:rPr>
                <w:rFonts w:ascii="Symbol" w:hAnsi="Symbol"/>
                <w:sz w:val="24"/>
                <w:szCs w:val="24"/>
              </w:rPr>
              <w:t></w:t>
            </w:r>
            <w:r w:rsidRPr="00E07CB1">
              <w:rPr>
                <w:sz w:val="24"/>
                <w:szCs w:val="24"/>
              </w:rPr>
              <w:t>/EnumVal</w:t>
            </w:r>
            <w:r w:rsidRPr="00E07CB1">
              <w:rPr>
                <w:rFonts w:ascii="Symbol" w:hAnsi="Symbol"/>
                <w:sz w:val="24"/>
                <w:szCs w:val="24"/>
              </w:rPr>
              <w:t></w:t>
            </w:r>
          </w:p>
          <w:p w:rsidR="00FE609E" w:rsidRPr="00E07CB1" w:rsidRDefault="00FE609E" w:rsidP="00FE609E">
            <w:pPr>
              <w:pStyle w:val="BodyText"/>
              <w:spacing w:before="101"/>
              <w:ind w:left="1549"/>
              <w:rPr>
                <w:rFonts w:ascii="Symbol" w:hAnsi="Symbol"/>
                <w:sz w:val="24"/>
                <w:szCs w:val="24"/>
              </w:rPr>
            </w:pPr>
            <w:r w:rsidRPr="00E07CB1">
              <w:rPr>
                <w:rFonts w:ascii="Symbol" w:hAnsi="Symbol"/>
                <w:sz w:val="24"/>
                <w:szCs w:val="24"/>
              </w:rPr>
              <w:lastRenderedPageBreak/>
              <w:t></w:t>
            </w:r>
            <w:r w:rsidRPr="00E07CB1">
              <w:rPr>
                <w:color w:val="800000"/>
                <w:sz w:val="24"/>
                <w:szCs w:val="24"/>
              </w:rPr>
              <w:t xml:space="preserve">EnumVal </w:t>
            </w:r>
            <w:r w:rsidRPr="00E07CB1">
              <w:rPr>
                <w:color w:val="FF0000"/>
                <w:sz w:val="24"/>
                <w:szCs w:val="24"/>
              </w:rPr>
              <w:t>ord</w:t>
            </w:r>
            <w:r w:rsidRPr="00E07CB1">
              <w:rPr>
                <w:sz w:val="24"/>
                <w:szCs w:val="24"/>
              </w:rPr>
              <w:t>="2"</w:t>
            </w:r>
            <w:r w:rsidRPr="00E07CB1">
              <w:rPr>
                <w:rFonts w:ascii="Symbol" w:hAnsi="Symbol"/>
                <w:sz w:val="24"/>
                <w:szCs w:val="24"/>
              </w:rPr>
              <w:t></w:t>
            </w:r>
            <w:r w:rsidRPr="00E07CB1">
              <w:rPr>
                <w:sz w:val="24"/>
                <w:szCs w:val="24"/>
              </w:rPr>
              <w:t>blocked</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="3"</w:t>
            </w:r>
            <w:r w:rsidRPr="00E07CB1">
              <w:rPr>
                <w:rFonts w:ascii="Symbol" w:hAnsi="Symbol"/>
                <w:sz w:val="24"/>
                <w:szCs w:val="24"/>
              </w:rPr>
              <w:t></w:t>
            </w:r>
            <w:r w:rsidRPr="00E07CB1">
              <w:rPr>
                <w:sz w:val="24"/>
                <w:szCs w:val="24"/>
              </w:rPr>
              <w:t>test</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="4"</w:t>
            </w:r>
            <w:r w:rsidRPr="00E07CB1">
              <w:rPr>
                <w:rFonts w:ascii="Symbol" w:hAnsi="Symbol"/>
                <w:sz w:val="24"/>
                <w:szCs w:val="24"/>
              </w:rPr>
              <w:t></w:t>
            </w:r>
            <w:r w:rsidRPr="00E07CB1">
              <w:rPr>
                <w:sz w:val="24"/>
                <w:szCs w:val="24"/>
              </w:rPr>
              <w:t>test/blocked</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="5"</w:t>
            </w:r>
            <w:r w:rsidRPr="00E07CB1">
              <w:rPr>
                <w:rFonts w:ascii="Symbol" w:hAnsi="Symbol"/>
                <w:sz w:val="24"/>
                <w:szCs w:val="24"/>
              </w:rPr>
              <w:t></w:t>
            </w:r>
            <w:r w:rsidRPr="00E07CB1">
              <w:rPr>
                <w:sz w:val="24"/>
                <w:szCs w:val="24"/>
              </w:rPr>
              <w:t>off</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829"/>
              <w:rPr>
                <w:rFonts w:ascii="Symbol" w:hAnsi="Symbol"/>
                <w:sz w:val="24"/>
                <w:szCs w:val="24"/>
              </w:rPr>
            </w:pPr>
            <w:r w:rsidRPr="00E07CB1">
              <w:rPr>
                <w:rFonts w:ascii="Symbol" w:hAnsi="Symbol"/>
                <w:sz w:val="24"/>
                <w:szCs w:val="24"/>
              </w:rPr>
              <w:t></w:t>
            </w:r>
            <w:r w:rsidRPr="00E07CB1">
              <w:rPr>
                <w:sz w:val="24"/>
                <w:szCs w:val="24"/>
              </w:rPr>
              <w:t>/EnumType</w:t>
            </w:r>
            <w:r w:rsidRPr="00E07CB1">
              <w:rPr>
                <w:rFonts w:ascii="Symbol" w:hAnsi="Symbol"/>
                <w:sz w:val="24"/>
                <w:szCs w:val="24"/>
              </w:rPr>
              <w:t></w:t>
            </w:r>
          </w:p>
          <w:p w:rsidR="00FE609E" w:rsidRPr="00E07CB1" w:rsidRDefault="00FE609E" w:rsidP="00FE609E">
            <w:pPr>
              <w:pStyle w:val="BodyText"/>
              <w:spacing w:line="195" w:lineRule="exact"/>
              <w:ind w:left="829"/>
              <w:rPr>
                <w:rFonts w:ascii="Symbol" w:hAnsi="Symbol"/>
                <w:sz w:val="24"/>
                <w:szCs w:val="24"/>
              </w:rPr>
            </w:pPr>
            <w:r w:rsidRPr="00E07CB1">
              <w:rPr>
                <w:rFonts w:ascii="Symbol" w:hAnsi="Symbol"/>
                <w:sz w:val="24"/>
                <w:szCs w:val="24"/>
              </w:rPr>
              <w:t></w:t>
            </w:r>
            <w:r w:rsidRPr="00E07CB1">
              <w:rPr>
                <w:color w:val="800000"/>
                <w:sz w:val="24"/>
                <w:szCs w:val="24"/>
              </w:rPr>
              <w:t xml:space="preserve">EnumType </w:t>
            </w:r>
            <w:r w:rsidRPr="00E07CB1">
              <w:rPr>
                <w:color w:val="FF0000"/>
                <w:sz w:val="24"/>
                <w:szCs w:val="24"/>
              </w:rPr>
              <w:t>id</w:t>
            </w:r>
            <w:r w:rsidRPr="00E07CB1">
              <w:rPr>
                <w:sz w:val="24"/>
                <w:szCs w:val="24"/>
              </w:rPr>
              <w:t>="Health"</w:t>
            </w:r>
            <w:r w:rsidRPr="00E07CB1">
              <w:rPr>
                <w:rFonts w:ascii="Symbol" w:hAnsi="Symbol"/>
                <w:sz w:val="24"/>
                <w:szCs w:val="24"/>
              </w:rPr>
              <w:t></w:t>
            </w:r>
          </w:p>
          <w:p w:rsidR="00FE609E" w:rsidRPr="00E07CB1" w:rsidRDefault="00FE609E" w:rsidP="00FE609E">
            <w:pPr>
              <w:pStyle w:val="BodyText"/>
              <w:spacing w:before="1"/>
              <w:ind w:left="1549"/>
              <w:rPr>
                <w:rFonts w:ascii="Symbol" w:hAnsi="Symbol"/>
                <w:sz w:val="24"/>
                <w:szCs w:val="24"/>
              </w:rPr>
            </w:pPr>
            <w:r w:rsidRPr="00E07CB1">
              <w:rPr>
                <w:rFonts w:ascii="Symbol" w:hAnsi="Symbol"/>
                <w:sz w:val="24"/>
                <w:szCs w:val="24"/>
              </w:rPr>
              <w:t></w:t>
            </w:r>
            <w:r w:rsidRPr="00E07CB1">
              <w:rPr>
                <w:sz w:val="24"/>
                <w:szCs w:val="24"/>
              </w:rPr>
              <w:t xml:space="preserve">EnumVal </w:t>
            </w:r>
            <w:r w:rsidRPr="00E07CB1">
              <w:rPr>
                <w:color w:val="FF0000"/>
                <w:sz w:val="24"/>
                <w:szCs w:val="24"/>
              </w:rPr>
              <w:t>ord</w:t>
            </w:r>
            <w:r w:rsidRPr="00E07CB1">
              <w:rPr>
                <w:sz w:val="24"/>
                <w:szCs w:val="24"/>
              </w:rPr>
              <w:t>="1"</w:t>
            </w:r>
            <w:r w:rsidRPr="00E07CB1">
              <w:rPr>
                <w:rFonts w:ascii="Symbol" w:hAnsi="Symbol"/>
                <w:sz w:val="24"/>
                <w:szCs w:val="24"/>
              </w:rPr>
              <w:t></w:t>
            </w:r>
            <w:r w:rsidRPr="00E07CB1">
              <w:rPr>
                <w:sz w:val="24"/>
                <w:szCs w:val="24"/>
              </w:rPr>
              <w:t>Ok</w:t>
            </w:r>
            <w:r w:rsidRPr="00E07CB1">
              <w:rPr>
                <w:rFonts w:ascii="Symbol" w:hAnsi="Symbol"/>
                <w:sz w:val="24"/>
                <w:szCs w:val="24"/>
              </w:rPr>
              <w:t></w:t>
            </w:r>
            <w:r w:rsidRPr="00E07CB1">
              <w:rPr>
                <w:sz w:val="24"/>
                <w:szCs w:val="24"/>
              </w:rPr>
              <w:t>/EnumVal</w:t>
            </w:r>
            <w:r w:rsidRPr="00E07CB1">
              <w:rPr>
                <w:rFonts w:ascii="Symbol" w:hAnsi="Symbol"/>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="2"</w:t>
            </w:r>
            <w:r w:rsidRPr="00E07CB1">
              <w:rPr>
                <w:rFonts w:ascii="Symbol" w:hAnsi="Symbol"/>
                <w:sz w:val="24"/>
                <w:szCs w:val="24"/>
              </w:rPr>
              <w:t></w:t>
            </w:r>
            <w:r w:rsidRPr="00E07CB1">
              <w:rPr>
                <w:sz w:val="24"/>
                <w:szCs w:val="24"/>
              </w:rPr>
              <w:t>Warning</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="3"</w:t>
            </w:r>
            <w:r w:rsidRPr="00E07CB1">
              <w:rPr>
                <w:rFonts w:ascii="Symbol" w:hAnsi="Symbol"/>
                <w:sz w:val="24"/>
                <w:szCs w:val="24"/>
              </w:rPr>
              <w:t></w:t>
            </w:r>
            <w:r w:rsidRPr="00E07CB1">
              <w:rPr>
                <w:sz w:val="24"/>
                <w:szCs w:val="24"/>
              </w:rPr>
              <w:t>Alarm</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ind w:left="829"/>
              <w:rPr>
                <w:rFonts w:ascii="Symbol" w:hAnsi="Symbol"/>
                <w:sz w:val="24"/>
                <w:szCs w:val="24"/>
              </w:rPr>
            </w:pPr>
            <w:r w:rsidRPr="00E07CB1">
              <w:rPr>
                <w:rFonts w:ascii="Symbol" w:hAnsi="Symbol"/>
                <w:sz w:val="24"/>
                <w:szCs w:val="24"/>
              </w:rPr>
              <w:t></w:t>
            </w:r>
            <w:r w:rsidRPr="00E07CB1">
              <w:rPr>
                <w:sz w:val="24"/>
                <w:szCs w:val="24"/>
              </w:rPr>
              <w:t>/EnumType</w:t>
            </w:r>
            <w:r w:rsidRPr="00E07CB1">
              <w:rPr>
                <w:rFonts w:ascii="Symbol" w:hAnsi="Symbol"/>
                <w:sz w:val="24"/>
                <w:szCs w:val="24"/>
              </w:rPr>
              <w:t></w:t>
            </w:r>
          </w:p>
          <w:p w:rsidR="00FE609E" w:rsidRPr="00E07CB1" w:rsidRDefault="00FE609E" w:rsidP="00FE609E">
            <w:pPr>
              <w:pStyle w:val="BodyText"/>
              <w:spacing w:before="1" w:line="195" w:lineRule="exact"/>
              <w:ind w:left="829"/>
              <w:rPr>
                <w:rFonts w:ascii="Symbol" w:hAnsi="Symbol"/>
                <w:sz w:val="24"/>
                <w:szCs w:val="24"/>
              </w:rPr>
            </w:pPr>
            <w:r w:rsidRPr="00E07CB1">
              <w:rPr>
                <w:rFonts w:ascii="Symbol" w:hAnsi="Symbol"/>
                <w:sz w:val="24"/>
                <w:szCs w:val="24"/>
              </w:rPr>
              <w:t></w:t>
            </w:r>
            <w:r w:rsidRPr="00E07CB1">
              <w:rPr>
                <w:color w:val="800000"/>
                <w:sz w:val="24"/>
                <w:szCs w:val="24"/>
              </w:rPr>
              <w:t xml:space="preserve">EnumType </w:t>
            </w:r>
            <w:r w:rsidRPr="00E07CB1">
              <w:rPr>
                <w:color w:val="FF0000"/>
                <w:sz w:val="24"/>
                <w:szCs w:val="24"/>
              </w:rPr>
              <w:t>id</w:t>
            </w:r>
            <w:r w:rsidRPr="00E07CB1">
              <w:rPr>
                <w:sz w:val="24"/>
                <w:szCs w:val="24"/>
              </w:rPr>
              <w:t>="Mod"</w:t>
            </w:r>
            <w:r w:rsidRPr="00E07CB1">
              <w:rPr>
                <w:rFonts w:ascii="Symbol" w:hAnsi="Symbol"/>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z w:val="24"/>
                <w:szCs w:val="24"/>
              </w:rPr>
              <w:t></w:t>
            </w:r>
            <w:r w:rsidRPr="00E07CB1">
              <w:rPr>
                <w:sz w:val="24"/>
                <w:szCs w:val="24"/>
              </w:rPr>
              <w:t xml:space="preserve">EnumVal </w:t>
            </w:r>
            <w:r w:rsidRPr="00E07CB1">
              <w:rPr>
                <w:color w:val="FF0000"/>
                <w:sz w:val="24"/>
                <w:szCs w:val="24"/>
              </w:rPr>
              <w:t>ord</w:t>
            </w:r>
            <w:r w:rsidRPr="00E07CB1">
              <w:rPr>
                <w:sz w:val="24"/>
                <w:szCs w:val="24"/>
              </w:rPr>
              <w:t>="1"</w:t>
            </w:r>
            <w:r w:rsidRPr="00E07CB1">
              <w:rPr>
                <w:rFonts w:ascii="Symbol" w:hAnsi="Symbol"/>
                <w:sz w:val="24"/>
                <w:szCs w:val="24"/>
              </w:rPr>
              <w:t></w:t>
            </w:r>
            <w:r w:rsidRPr="00E07CB1">
              <w:rPr>
                <w:sz w:val="24"/>
                <w:szCs w:val="24"/>
              </w:rPr>
              <w:t>on</w:t>
            </w:r>
            <w:r w:rsidRPr="00E07CB1">
              <w:rPr>
                <w:rFonts w:ascii="Symbol" w:hAnsi="Symbol"/>
                <w:sz w:val="24"/>
                <w:szCs w:val="24"/>
              </w:rPr>
              <w:t></w:t>
            </w:r>
            <w:r w:rsidRPr="00E07CB1">
              <w:rPr>
                <w:sz w:val="24"/>
                <w:szCs w:val="24"/>
              </w:rPr>
              <w:t>/EnumVal</w:t>
            </w:r>
            <w:r w:rsidRPr="00E07CB1">
              <w:rPr>
                <w:rFonts w:ascii="Symbol" w:hAnsi="Symbol"/>
                <w:sz w:val="24"/>
                <w:szCs w:val="24"/>
              </w:rPr>
              <w:t></w:t>
            </w:r>
          </w:p>
          <w:p w:rsidR="00FE609E" w:rsidRPr="00E07CB1" w:rsidRDefault="00FE609E" w:rsidP="00FE609E">
            <w:pPr>
              <w:pStyle w:val="BodyText"/>
              <w:spacing w:before="1"/>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="2"</w:t>
            </w:r>
            <w:r w:rsidRPr="00E07CB1">
              <w:rPr>
                <w:rFonts w:ascii="Symbol" w:hAnsi="Symbol"/>
                <w:sz w:val="24"/>
                <w:szCs w:val="24"/>
              </w:rPr>
              <w:t></w:t>
            </w:r>
            <w:r w:rsidRPr="00E07CB1">
              <w:rPr>
                <w:sz w:val="24"/>
                <w:szCs w:val="24"/>
              </w:rPr>
              <w:t>blocked</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="3"</w:t>
            </w:r>
            <w:r w:rsidRPr="00E07CB1">
              <w:rPr>
                <w:rFonts w:ascii="Symbol" w:hAnsi="Symbol"/>
                <w:sz w:val="24"/>
                <w:szCs w:val="24"/>
              </w:rPr>
              <w:t></w:t>
            </w:r>
            <w:r w:rsidRPr="00E07CB1">
              <w:rPr>
                <w:sz w:val="24"/>
                <w:szCs w:val="24"/>
              </w:rPr>
              <w:t>test</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="4"</w:t>
            </w:r>
            <w:r w:rsidRPr="00E07CB1">
              <w:rPr>
                <w:rFonts w:ascii="Symbol" w:hAnsi="Symbol"/>
                <w:sz w:val="24"/>
                <w:szCs w:val="24"/>
              </w:rPr>
              <w:t></w:t>
            </w:r>
            <w:r w:rsidRPr="00E07CB1">
              <w:rPr>
                <w:sz w:val="24"/>
                <w:szCs w:val="24"/>
              </w:rPr>
              <w:t>test/blocked</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="5"</w:t>
            </w:r>
            <w:r w:rsidRPr="00E07CB1">
              <w:rPr>
                <w:rFonts w:ascii="Symbol" w:hAnsi="Symbol"/>
                <w:sz w:val="24"/>
                <w:szCs w:val="24"/>
              </w:rPr>
              <w:t></w:t>
            </w:r>
            <w:r w:rsidRPr="00E07CB1">
              <w:rPr>
                <w:sz w:val="24"/>
                <w:szCs w:val="24"/>
              </w:rPr>
              <w:t>off</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829"/>
              <w:rPr>
                <w:rFonts w:ascii="Symbol" w:hAnsi="Symbol"/>
                <w:sz w:val="24"/>
                <w:szCs w:val="24"/>
              </w:rPr>
            </w:pPr>
            <w:r w:rsidRPr="00E07CB1">
              <w:rPr>
                <w:rFonts w:ascii="Symbol" w:hAnsi="Symbol"/>
                <w:sz w:val="24"/>
                <w:szCs w:val="24"/>
              </w:rPr>
              <w:t></w:t>
            </w:r>
            <w:r w:rsidRPr="00E07CB1">
              <w:rPr>
                <w:sz w:val="24"/>
                <w:szCs w:val="24"/>
              </w:rPr>
              <w:t>/EnumType</w:t>
            </w:r>
            <w:r w:rsidRPr="00E07CB1">
              <w:rPr>
                <w:rFonts w:ascii="Symbol" w:hAnsi="Symbol"/>
                <w:sz w:val="24"/>
                <w:szCs w:val="24"/>
              </w:rPr>
              <w:t></w:t>
            </w:r>
          </w:p>
          <w:p w:rsidR="00FE609E" w:rsidRPr="00E07CB1" w:rsidRDefault="00FE609E" w:rsidP="00FE609E">
            <w:pPr>
              <w:pStyle w:val="BodyText"/>
              <w:spacing w:line="195" w:lineRule="exact"/>
              <w:ind w:left="829"/>
              <w:rPr>
                <w:rFonts w:ascii="Symbol" w:hAnsi="Symbol"/>
                <w:sz w:val="24"/>
                <w:szCs w:val="24"/>
              </w:rPr>
            </w:pPr>
            <w:r w:rsidRPr="00E07CB1">
              <w:rPr>
                <w:rFonts w:ascii="Symbol" w:hAnsi="Symbol"/>
                <w:sz w:val="24"/>
                <w:szCs w:val="24"/>
              </w:rPr>
              <w:t></w:t>
            </w:r>
            <w:r w:rsidRPr="00E07CB1">
              <w:rPr>
                <w:color w:val="800000"/>
                <w:sz w:val="24"/>
                <w:szCs w:val="24"/>
              </w:rPr>
              <w:t xml:space="preserve">EnumType </w:t>
            </w:r>
            <w:r w:rsidRPr="00E07CB1">
              <w:rPr>
                <w:color w:val="FF0000"/>
                <w:sz w:val="24"/>
                <w:szCs w:val="24"/>
              </w:rPr>
              <w:t>id</w:t>
            </w:r>
            <w:r w:rsidRPr="00E07CB1">
              <w:rPr>
                <w:sz w:val="24"/>
                <w:szCs w:val="24"/>
              </w:rPr>
              <w:t>="dir"</w:t>
            </w:r>
            <w:r w:rsidRPr="00E07CB1">
              <w:rPr>
                <w:rFonts w:ascii="Symbol" w:hAnsi="Symbol"/>
                <w:sz w:val="24"/>
                <w:szCs w:val="24"/>
              </w:rPr>
              <w:t></w:t>
            </w:r>
          </w:p>
          <w:p w:rsidR="00FE609E" w:rsidRPr="00E07CB1" w:rsidRDefault="00FE609E" w:rsidP="00FE609E">
            <w:pPr>
              <w:pStyle w:val="BodyText"/>
              <w:spacing w:before="1"/>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="0"</w:t>
            </w:r>
            <w:r w:rsidRPr="00E07CB1">
              <w:rPr>
                <w:rFonts w:ascii="Symbol" w:hAnsi="Symbol"/>
                <w:sz w:val="24"/>
                <w:szCs w:val="24"/>
              </w:rPr>
              <w:t></w:t>
            </w:r>
            <w:r w:rsidRPr="00E07CB1">
              <w:rPr>
                <w:sz w:val="24"/>
                <w:szCs w:val="24"/>
              </w:rPr>
              <w:t>unknown</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="1"</w:t>
            </w:r>
            <w:r w:rsidRPr="00E07CB1">
              <w:rPr>
                <w:rFonts w:ascii="Symbol" w:hAnsi="Symbol"/>
                <w:sz w:val="24"/>
                <w:szCs w:val="24"/>
              </w:rPr>
              <w:t></w:t>
            </w:r>
            <w:r w:rsidRPr="00E07CB1">
              <w:rPr>
                <w:sz w:val="24"/>
                <w:szCs w:val="24"/>
              </w:rPr>
              <w:t>forward</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="2"</w:t>
            </w:r>
            <w:r w:rsidRPr="00E07CB1">
              <w:rPr>
                <w:rFonts w:ascii="Symbol" w:hAnsi="Symbol"/>
                <w:sz w:val="24"/>
                <w:szCs w:val="24"/>
              </w:rPr>
              <w:t></w:t>
            </w:r>
            <w:r w:rsidRPr="00E07CB1">
              <w:rPr>
                <w:sz w:val="24"/>
                <w:szCs w:val="24"/>
              </w:rPr>
              <w:t>backward</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="3"</w:t>
            </w:r>
            <w:r w:rsidRPr="00E07CB1">
              <w:rPr>
                <w:rFonts w:ascii="Symbol" w:hAnsi="Symbol"/>
                <w:sz w:val="24"/>
                <w:szCs w:val="24"/>
              </w:rPr>
              <w:t></w:t>
            </w:r>
            <w:r w:rsidRPr="00E07CB1">
              <w:rPr>
                <w:sz w:val="24"/>
                <w:szCs w:val="24"/>
              </w:rPr>
              <w:t>both</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829"/>
              <w:rPr>
                <w:rFonts w:ascii="Symbol" w:hAnsi="Symbol"/>
                <w:sz w:val="24"/>
                <w:szCs w:val="24"/>
              </w:rPr>
            </w:pPr>
            <w:r w:rsidRPr="00E07CB1">
              <w:rPr>
                <w:rFonts w:ascii="Symbol" w:hAnsi="Symbol"/>
                <w:sz w:val="24"/>
                <w:szCs w:val="24"/>
              </w:rPr>
              <w:t></w:t>
            </w:r>
            <w:r w:rsidRPr="00E07CB1">
              <w:rPr>
                <w:sz w:val="24"/>
                <w:szCs w:val="24"/>
              </w:rPr>
              <w:t>/EnumType</w:t>
            </w:r>
            <w:r w:rsidRPr="00E07CB1">
              <w:rPr>
                <w:rFonts w:ascii="Symbol" w:hAnsi="Symbol"/>
                <w:sz w:val="24"/>
                <w:szCs w:val="24"/>
              </w:rPr>
              <w:t></w:t>
            </w:r>
          </w:p>
          <w:p w:rsidR="00FE609E" w:rsidRPr="00E07CB1" w:rsidRDefault="00FE609E" w:rsidP="00FE609E">
            <w:pPr>
              <w:pStyle w:val="BodyText"/>
              <w:spacing w:line="195" w:lineRule="exact"/>
              <w:ind w:left="829"/>
              <w:rPr>
                <w:rFonts w:ascii="Symbol" w:hAnsi="Symbol"/>
                <w:sz w:val="24"/>
                <w:szCs w:val="24"/>
              </w:rPr>
            </w:pPr>
            <w:r w:rsidRPr="00E07CB1">
              <w:rPr>
                <w:rFonts w:ascii="Symbol" w:hAnsi="Symbol"/>
                <w:sz w:val="24"/>
                <w:szCs w:val="24"/>
              </w:rPr>
              <w:t></w:t>
            </w:r>
            <w:r w:rsidRPr="00E07CB1">
              <w:rPr>
                <w:color w:val="800000"/>
                <w:sz w:val="24"/>
                <w:szCs w:val="24"/>
              </w:rPr>
              <w:t xml:space="preserve">EnumType </w:t>
            </w:r>
            <w:r w:rsidRPr="00E07CB1">
              <w:rPr>
                <w:color w:val="FF0000"/>
                <w:sz w:val="24"/>
                <w:szCs w:val="24"/>
              </w:rPr>
              <w:t>id</w:t>
            </w:r>
            <w:r w:rsidRPr="00E07CB1">
              <w:rPr>
                <w:sz w:val="24"/>
                <w:szCs w:val="24"/>
              </w:rPr>
              <w:t>="angid"</w:t>
            </w:r>
            <w:r w:rsidRPr="00E07CB1">
              <w:rPr>
                <w:rFonts w:ascii="Symbol" w:hAnsi="Symbol"/>
                <w:sz w:val="24"/>
                <w:szCs w:val="24"/>
              </w:rPr>
              <w:t></w:t>
            </w:r>
          </w:p>
          <w:p w:rsidR="00FE609E" w:rsidRPr="00E07CB1" w:rsidRDefault="00FE609E" w:rsidP="00FE609E">
            <w:pPr>
              <w:pStyle w:val="BodyText"/>
              <w:spacing w:before="1"/>
              <w:ind w:left="1549"/>
              <w:rPr>
                <w:rFonts w:ascii="Symbol" w:hAnsi="Symbol"/>
                <w:sz w:val="24"/>
                <w:szCs w:val="24"/>
              </w:rPr>
            </w:pPr>
            <w:r w:rsidRPr="00E07CB1">
              <w:rPr>
                <w:rFonts w:ascii="Symbol" w:hAnsi="Symbol"/>
                <w:spacing w:val="6"/>
                <w:sz w:val="24"/>
                <w:szCs w:val="24"/>
              </w:rPr>
              <w:t></w:t>
            </w:r>
            <w:r w:rsidRPr="00E07CB1">
              <w:rPr>
                <w:spacing w:val="6"/>
                <w:sz w:val="24"/>
                <w:szCs w:val="24"/>
              </w:rPr>
              <w:t>EnumVal</w:t>
            </w:r>
            <w:r w:rsidRPr="00E07CB1">
              <w:rPr>
                <w:spacing w:val="38"/>
                <w:sz w:val="24"/>
                <w:szCs w:val="24"/>
              </w:rPr>
              <w:t xml:space="preserve"> </w:t>
            </w:r>
            <w:r w:rsidRPr="00E07CB1">
              <w:rPr>
                <w:color w:val="FF0000"/>
                <w:spacing w:val="6"/>
                <w:sz w:val="24"/>
                <w:szCs w:val="24"/>
              </w:rPr>
              <w:t>ord</w:t>
            </w:r>
            <w:r w:rsidRPr="00E07CB1">
              <w:rPr>
                <w:spacing w:val="6"/>
                <w:sz w:val="24"/>
                <w:szCs w:val="24"/>
              </w:rPr>
              <w:t>="0"</w:t>
            </w:r>
            <w:r w:rsidRPr="00E07CB1">
              <w:rPr>
                <w:rFonts w:ascii="Symbol" w:hAnsi="Symbol"/>
                <w:spacing w:val="6"/>
                <w:sz w:val="24"/>
                <w:szCs w:val="24"/>
              </w:rPr>
              <w:t></w:t>
            </w:r>
            <w:r w:rsidRPr="00E07CB1">
              <w:rPr>
                <w:spacing w:val="6"/>
                <w:sz w:val="24"/>
                <w:szCs w:val="24"/>
              </w:rPr>
              <w:t>Va</w:t>
            </w:r>
            <w:r w:rsidRPr="00E07CB1">
              <w:rPr>
                <w:rFonts w:ascii="Symbol" w:hAnsi="Symbol"/>
                <w:spacing w:val="6"/>
                <w:sz w:val="24"/>
                <w:szCs w:val="24"/>
              </w:rPr>
              <w:t></w:t>
            </w:r>
            <w:r w:rsidRPr="00E07CB1">
              <w:rPr>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before="1" w:line="195" w:lineRule="exact"/>
              <w:ind w:left="1549"/>
              <w:rPr>
                <w:rFonts w:ascii="Symbol" w:hAnsi="Symbol"/>
                <w:sz w:val="24"/>
                <w:szCs w:val="24"/>
              </w:rPr>
            </w:pPr>
            <w:r w:rsidRPr="00E07CB1">
              <w:rPr>
                <w:rFonts w:ascii="Symbol" w:hAnsi="Symbol"/>
                <w:spacing w:val="6"/>
                <w:sz w:val="24"/>
                <w:szCs w:val="24"/>
              </w:rPr>
              <w:t></w:t>
            </w:r>
            <w:r w:rsidRPr="00E07CB1">
              <w:rPr>
                <w:spacing w:val="6"/>
                <w:sz w:val="24"/>
                <w:szCs w:val="24"/>
              </w:rPr>
              <w:t>EnumVal</w:t>
            </w:r>
            <w:r w:rsidRPr="00E07CB1">
              <w:rPr>
                <w:spacing w:val="38"/>
                <w:sz w:val="24"/>
                <w:szCs w:val="24"/>
              </w:rPr>
              <w:t xml:space="preserve"> </w:t>
            </w:r>
            <w:r w:rsidRPr="00E07CB1">
              <w:rPr>
                <w:color w:val="FF0000"/>
                <w:spacing w:val="6"/>
                <w:sz w:val="24"/>
                <w:szCs w:val="24"/>
              </w:rPr>
              <w:t>ord</w:t>
            </w:r>
            <w:r w:rsidRPr="00E07CB1">
              <w:rPr>
                <w:spacing w:val="6"/>
                <w:sz w:val="24"/>
                <w:szCs w:val="24"/>
              </w:rPr>
              <w:t>="1"</w:t>
            </w:r>
            <w:r w:rsidRPr="00E07CB1">
              <w:rPr>
                <w:rFonts w:ascii="Symbol" w:hAnsi="Symbol"/>
                <w:spacing w:val="6"/>
                <w:sz w:val="24"/>
                <w:szCs w:val="24"/>
              </w:rPr>
              <w:t></w:t>
            </w:r>
            <w:r w:rsidRPr="00E07CB1">
              <w:rPr>
                <w:spacing w:val="6"/>
                <w:sz w:val="24"/>
                <w:szCs w:val="24"/>
              </w:rPr>
              <w:t>Vb</w:t>
            </w:r>
            <w:r w:rsidRPr="00E07CB1">
              <w:rPr>
                <w:rFonts w:ascii="Symbol" w:hAnsi="Symbol"/>
                <w:spacing w:val="6"/>
                <w:sz w:val="24"/>
                <w:szCs w:val="24"/>
              </w:rPr>
              <w:t></w:t>
            </w:r>
            <w:r w:rsidRPr="00E07CB1">
              <w:rPr>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pacing w:val="6"/>
                <w:sz w:val="24"/>
                <w:szCs w:val="24"/>
              </w:rPr>
              <w:t></w:t>
            </w:r>
            <w:r w:rsidRPr="00E07CB1">
              <w:rPr>
                <w:spacing w:val="6"/>
                <w:sz w:val="24"/>
                <w:szCs w:val="24"/>
              </w:rPr>
              <w:t>EnumVal</w:t>
            </w:r>
            <w:r w:rsidRPr="00E07CB1">
              <w:rPr>
                <w:spacing w:val="38"/>
                <w:sz w:val="24"/>
                <w:szCs w:val="24"/>
              </w:rPr>
              <w:t xml:space="preserve"> </w:t>
            </w:r>
            <w:r w:rsidRPr="00E07CB1">
              <w:rPr>
                <w:color w:val="FF0000"/>
                <w:spacing w:val="6"/>
                <w:sz w:val="24"/>
                <w:szCs w:val="24"/>
              </w:rPr>
              <w:t>ord</w:t>
            </w:r>
            <w:r w:rsidRPr="00E07CB1">
              <w:rPr>
                <w:spacing w:val="6"/>
                <w:sz w:val="24"/>
                <w:szCs w:val="24"/>
              </w:rPr>
              <w:t>="2"</w:t>
            </w:r>
            <w:r w:rsidRPr="00E07CB1">
              <w:rPr>
                <w:rFonts w:ascii="Symbol" w:hAnsi="Symbol"/>
                <w:spacing w:val="6"/>
                <w:sz w:val="24"/>
                <w:szCs w:val="24"/>
              </w:rPr>
              <w:t></w:t>
            </w:r>
            <w:r w:rsidRPr="00E07CB1">
              <w:rPr>
                <w:spacing w:val="6"/>
                <w:sz w:val="24"/>
                <w:szCs w:val="24"/>
              </w:rPr>
              <w:t>Vc</w:t>
            </w:r>
            <w:r w:rsidRPr="00E07CB1">
              <w:rPr>
                <w:rFonts w:ascii="Symbol" w:hAnsi="Symbol"/>
                <w:spacing w:val="6"/>
                <w:sz w:val="24"/>
                <w:szCs w:val="24"/>
              </w:rPr>
              <w:t></w:t>
            </w:r>
            <w:r w:rsidRPr="00E07CB1">
              <w:rPr>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before="1"/>
              <w:ind w:left="1549"/>
              <w:rPr>
                <w:rFonts w:ascii="Symbol" w:hAnsi="Symbol"/>
                <w:sz w:val="24"/>
                <w:szCs w:val="24"/>
              </w:rPr>
            </w:pPr>
            <w:r w:rsidRPr="00E07CB1">
              <w:rPr>
                <w:rFonts w:ascii="Symbol" w:hAnsi="Symbol"/>
                <w:spacing w:val="6"/>
                <w:sz w:val="24"/>
                <w:szCs w:val="24"/>
              </w:rPr>
              <w:t></w:t>
            </w:r>
            <w:r w:rsidRPr="00E07CB1">
              <w:rPr>
                <w:spacing w:val="6"/>
                <w:sz w:val="24"/>
                <w:szCs w:val="24"/>
              </w:rPr>
              <w:t>EnumVal</w:t>
            </w:r>
            <w:r w:rsidRPr="00E07CB1">
              <w:rPr>
                <w:spacing w:val="38"/>
                <w:sz w:val="24"/>
                <w:szCs w:val="24"/>
              </w:rPr>
              <w:t xml:space="preserve"> </w:t>
            </w:r>
            <w:r w:rsidRPr="00E07CB1">
              <w:rPr>
                <w:color w:val="FF0000"/>
                <w:spacing w:val="6"/>
                <w:sz w:val="24"/>
                <w:szCs w:val="24"/>
              </w:rPr>
              <w:t>ord</w:t>
            </w:r>
            <w:r w:rsidRPr="00E07CB1">
              <w:rPr>
                <w:spacing w:val="6"/>
                <w:sz w:val="24"/>
                <w:szCs w:val="24"/>
              </w:rPr>
              <w:t>="3"</w:t>
            </w:r>
            <w:r w:rsidRPr="00E07CB1">
              <w:rPr>
                <w:rFonts w:ascii="Symbol" w:hAnsi="Symbol"/>
                <w:spacing w:val="6"/>
                <w:sz w:val="24"/>
                <w:szCs w:val="24"/>
              </w:rPr>
              <w:t></w:t>
            </w:r>
            <w:r w:rsidRPr="00E07CB1">
              <w:rPr>
                <w:spacing w:val="6"/>
                <w:sz w:val="24"/>
                <w:szCs w:val="24"/>
              </w:rPr>
              <w:t>Aa</w:t>
            </w:r>
            <w:r w:rsidRPr="00E07CB1">
              <w:rPr>
                <w:rFonts w:ascii="Symbol" w:hAnsi="Symbol"/>
                <w:spacing w:val="6"/>
                <w:sz w:val="24"/>
                <w:szCs w:val="24"/>
              </w:rPr>
              <w:t></w:t>
            </w:r>
            <w:r w:rsidRPr="00E07CB1">
              <w:rPr>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pacing w:val="6"/>
                <w:sz w:val="24"/>
                <w:szCs w:val="24"/>
              </w:rPr>
              <w:t></w:t>
            </w:r>
            <w:r w:rsidRPr="00E07CB1">
              <w:rPr>
                <w:spacing w:val="6"/>
                <w:sz w:val="24"/>
                <w:szCs w:val="24"/>
              </w:rPr>
              <w:t>EnumVal</w:t>
            </w:r>
            <w:r w:rsidRPr="00E07CB1">
              <w:rPr>
                <w:spacing w:val="38"/>
                <w:sz w:val="24"/>
                <w:szCs w:val="24"/>
              </w:rPr>
              <w:t xml:space="preserve"> </w:t>
            </w:r>
            <w:r w:rsidRPr="00E07CB1">
              <w:rPr>
                <w:color w:val="FF0000"/>
                <w:spacing w:val="6"/>
                <w:sz w:val="24"/>
                <w:szCs w:val="24"/>
              </w:rPr>
              <w:t>ord</w:t>
            </w:r>
            <w:r w:rsidRPr="00E07CB1">
              <w:rPr>
                <w:spacing w:val="6"/>
                <w:sz w:val="24"/>
                <w:szCs w:val="24"/>
              </w:rPr>
              <w:t>="4"</w:t>
            </w:r>
            <w:r w:rsidRPr="00E07CB1">
              <w:rPr>
                <w:rFonts w:ascii="Symbol" w:hAnsi="Symbol"/>
                <w:spacing w:val="6"/>
                <w:sz w:val="24"/>
                <w:szCs w:val="24"/>
              </w:rPr>
              <w:t></w:t>
            </w:r>
            <w:r w:rsidRPr="00E07CB1">
              <w:rPr>
                <w:spacing w:val="6"/>
                <w:sz w:val="24"/>
                <w:szCs w:val="24"/>
              </w:rPr>
              <w:t>Ab</w:t>
            </w:r>
            <w:r w:rsidRPr="00E07CB1">
              <w:rPr>
                <w:rFonts w:ascii="Symbol" w:hAnsi="Symbol"/>
                <w:spacing w:val="6"/>
                <w:sz w:val="24"/>
                <w:szCs w:val="24"/>
              </w:rPr>
              <w:t></w:t>
            </w:r>
            <w:r w:rsidRPr="00E07CB1">
              <w:rPr>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pacing w:val="6"/>
                <w:sz w:val="24"/>
                <w:szCs w:val="24"/>
              </w:rPr>
              <w:t></w:t>
            </w:r>
            <w:r w:rsidRPr="00E07CB1">
              <w:rPr>
                <w:spacing w:val="6"/>
                <w:sz w:val="24"/>
                <w:szCs w:val="24"/>
              </w:rPr>
              <w:t>EnumVal</w:t>
            </w:r>
            <w:r w:rsidRPr="00E07CB1">
              <w:rPr>
                <w:spacing w:val="38"/>
                <w:sz w:val="24"/>
                <w:szCs w:val="24"/>
              </w:rPr>
              <w:t xml:space="preserve"> </w:t>
            </w:r>
            <w:r w:rsidRPr="00E07CB1">
              <w:rPr>
                <w:color w:val="FF0000"/>
                <w:spacing w:val="6"/>
                <w:sz w:val="24"/>
                <w:szCs w:val="24"/>
              </w:rPr>
              <w:t>ord</w:t>
            </w:r>
            <w:r w:rsidRPr="00E07CB1">
              <w:rPr>
                <w:spacing w:val="6"/>
                <w:sz w:val="24"/>
                <w:szCs w:val="24"/>
              </w:rPr>
              <w:t>="5"</w:t>
            </w:r>
            <w:r w:rsidRPr="00E07CB1">
              <w:rPr>
                <w:rFonts w:ascii="Symbol" w:hAnsi="Symbol"/>
                <w:spacing w:val="6"/>
                <w:sz w:val="24"/>
                <w:szCs w:val="24"/>
              </w:rPr>
              <w:t></w:t>
            </w:r>
            <w:r w:rsidRPr="00E07CB1">
              <w:rPr>
                <w:spacing w:val="6"/>
                <w:sz w:val="24"/>
                <w:szCs w:val="24"/>
              </w:rPr>
              <w:t>Ac</w:t>
            </w:r>
            <w:r w:rsidRPr="00E07CB1">
              <w:rPr>
                <w:rFonts w:ascii="Symbol" w:hAnsi="Symbol"/>
                <w:spacing w:val="6"/>
                <w:sz w:val="24"/>
                <w:szCs w:val="24"/>
              </w:rPr>
              <w:t></w:t>
            </w:r>
            <w:r w:rsidRPr="00E07CB1">
              <w:rPr>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before="1"/>
              <w:ind w:left="1549"/>
              <w:rPr>
                <w:rFonts w:ascii="Symbol" w:hAnsi="Symbol"/>
                <w:sz w:val="24"/>
                <w:szCs w:val="24"/>
              </w:rPr>
            </w:pPr>
            <w:r w:rsidRPr="00E07CB1">
              <w:rPr>
                <w:rFonts w:ascii="Symbol" w:hAnsi="Symbol"/>
                <w:spacing w:val="6"/>
                <w:sz w:val="24"/>
                <w:szCs w:val="24"/>
              </w:rPr>
              <w:t></w:t>
            </w:r>
            <w:r w:rsidRPr="00E07CB1">
              <w:rPr>
                <w:color w:val="800000"/>
                <w:spacing w:val="6"/>
                <w:sz w:val="24"/>
                <w:szCs w:val="24"/>
              </w:rPr>
              <w:t>EnumVal</w:t>
            </w:r>
            <w:r w:rsidRPr="00E07CB1">
              <w:rPr>
                <w:color w:val="800000"/>
                <w:spacing w:val="40"/>
                <w:sz w:val="24"/>
                <w:szCs w:val="24"/>
              </w:rPr>
              <w:t xml:space="preserve"> </w:t>
            </w:r>
            <w:r w:rsidRPr="00E07CB1">
              <w:rPr>
                <w:color w:val="FF0000"/>
                <w:spacing w:val="6"/>
                <w:sz w:val="24"/>
                <w:szCs w:val="24"/>
              </w:rPr>
              <w:t>ord</w:t>
            </w:r>
            <w:r w:rsidRPr="00E07CB1">
              <w:rPr>
                <w:spacing w:val="6"/>
                <w:sz w:val="24"/>
                <w:szCs w:val="24"/>
              </w:rPr>
              <w:t>="6"</w:t>
            </w:r>
            <w:r w:rsidRPr="00E07CB1">
              <w:rPr>
                <w:rFonts w:ascii="Symbol" w:hAnsi="Symbol"/>
                <w:spacing w:val="6"/>
                <w:sz w:val="24"/>
                <w:szCs w:val="24"/>
              </w:rPr>
              <w:t></w:t>
            </w:r>
            <w:r w:rsidRPr="00E07CB1">
              <w:rPr>
                <w:spacing w:val="6"/>
                <w:sz w:val="24"/>
                <w:szCs w:val="24"/>
              </w:rPr>
              <w:t>Vab</w:t>
            </w:r>
            <w:r w:rsidRPr="00E07CB1">
              <w:rPr>
                <w:rFonts w:ascii="Symbol" w:hAnsi="Symbol"/>
                <w:spacing w:val="6"/>
                <w:sz w:val="24"/>
                <w:szCs w:val="24"/>
              </w:rPr>
              <w:t></w:t>
            </w:r>
            <w:r w:rsidRPr="00E07CB1">
              <w:rPr>
                <w:spacing w:val="6"/>
                <w:sz w:val="24"/>
                <w:szCs w:val="24"/>
              </w:rPr>
              <w:t>/</w:t>
            </w:r>
            <w:r w:rsidRPr="00E07CB1">
              <w:rPr>
                <w:color w:val="800000"/>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before="1" w:line="195" w:lineRule="exact"/>
              <w:ind w:left="1549"/>
              <w:rPr>
                <w:rFonts w:ascii="Symbol" w:hAnsi="Symbol"/>
                <w:sz w:val="24"/>
                <w:szCs w:val="24"/>
              </w:rPr>
            </w:pPr>
            <w:r w:rsidRPr="00E07CB1">
              <w:rPr>
                <w:rFonts w:ascii="Symbol" w:hAnsi="Symbol"/>
                <w:spacing w:val="6"/>
                <w:sz w:val="24"/>
                <w:szCs w:val="24"/>
              </w:rPr>
              <w:t></w:t>
            </w:r>
            <w:r w:rsidRPr="00E07CB1">
              <w:rPr>
                <w:color w:val="800000"/>
                <w:spacing w:val="6"/>
                <w:sz w:val="24"/>
                <w:szCs w:val="24"/>
              </w:rPr>
              <w:t>EnumVal</w:t>
            </w:r>
            <w:r w:rsidRPr="00E07CB1">
              <w:rPr>
                <w:color w:val="800000"/>
                <w:spacing w:val="41"/>
                <w:sz w:val="24"/>
                <w:szCs w:val="24"/>
              </w:rPr>
              <w:t xml:space="preserve"> </w:t>
            </w:r>
            <w:r w:rsidRPr="00E07CB1">
              <w:rPr>
                <w:color w:val="FF0000"/>
                <w:spacing w:val="6"/>
                <w:sz w:val="24"/>
                <w:szCs w:val="24"/>
              </w:rPr>
              <w:t>ord</w:t>
            </w:r>
            <w:r w:rsidRPr="00E07CB1">
              <w:rPr>
                <w:spacing w:val="6"/>
                <w:sz w:val="24"/>
                <w:szCs w:val="24"/>
              </w:rPr>
              <w:t>="7"</w:t>
            </w:r>
            <w:r w:rsidRPr="00E07CB1">
              <w:rPr>
                <w:rFonts w:ascii="Symbol" w:hAnsi="Symbol"/>
                <w:spacing w:val="6"/>
                <w:sz w:val="24"/>
                <w:szCs w:val="24"/>
              </w:rPr>
              <w:t></w:t>
            </w:r>
            <w:r w:rsidRPr="00E07CB1">
              <w:rPr>
                <w:spacing w:val="6"/>
                <w:sz w:val="24"/>
                <w:szCs w:val="24"/>
              </w:rPr>
              <w:t>Vbc</w:t>
            </w:r>
            <w:r w:rsidRPr="00E07CB1">
              <w:rPr>
                <w:rFonts w:ascii="Symbol" w:hAnsi="Symbol"/>
                <w:spacing w:val="6"/>
                <w:sz w:val="24"/>
                <w:szCs w:val="24"/>
              </w:rPr>
              <w:t></w:t>
            </w:r>
            <w:r w:rsidRPr="00E07CB1">
              <w:rPr>
                <w:spacing w:val="6"/>
                <w:sz w:val="24"/>
                <w:szCs w:val="24"/>
              </w:rPr>
              <w:t>/</w:t>
            </w:r>
            <w:r w:rsidRPr="00E07CB1">
              <w:rPr>
                <w:color w:val="800000"/>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pacing w:val="6"/>
                <w:sz w:val="24"/>
                <w:szCs w:val="24"/>
              </w:rPr>
              <w:t></w:t>
            </w:r>
            <w:r w:rsidRPr="00E07CB1">
              <w:rPr>
                <w:color w:val="800000"/>
                <w:spacing w:val="6"/>
                <w:sz w:val="24"/>
                <w:szCs w:val="24"/>
              </w:rPr>
              <w:t>EnumVal</w:t>
            </w:r>
            <w:r w:rsidRPr="00E07CB1">
              <w:rPr>
                <w:color w:val="800000"/>
                <w:spacing w:val="41"/>
                <w:sz w:val="24"/>
                <w:szCs w:val="24"/>
              </w:rPr>
              <w:t xml:space="preserve"> </w:t>
            </w:r>
            <w:r w:rsidRPr="00E07CB1">
              <w:rPr>
                <w:color w:val="FF0000"/>
                <w:spacing w:val="6"/>
                <w:sz w:val="24"/>
                <w:szCs w:val="24"/>
              </w:rPr>
              <w:t>ord</w:t>
            </w:r>
            <w:r w:rsidRPr="00E07CB1">
              <w:rPr>
                <w:spacing w:val="6"/>
                <w:sz w:val="24"/>
                <w:szCs w:val="24"/>
              </w:rPr>
              <w:t>="8"</w:t>
            </w:r>
            <w:r w:rsidRPr="00E07CB1">
              <w:rPr>
                <w:rFonts w:ascii="Symbol" w:hAnsi="Symbol"/>
                <w:spacing w:val="6"/>
                <w:sz w:val="24"/>
                <w:szCs w:val="24"/>
              </w:rPr>
              <w:t></w:t>
            </w:r>
            <w:r w:rsidRPr="00E07CB1">
              <w:rPr>
                <w:spacing w:val="6"/>
                <w:sz w:val="24"/>
                <w:szCs w:val="24"/>
              </w:rPr>
              <w:t>Vca</w:t>
            </w:r>
            <w:r w:rsidRPr="00E07CB1">
              <w:rPr>
                <w:rFonts w:ascii="Symbol" w:hAnsi="Symbol"/>
                <w:spacing w:val="6"/>
                <w:sz w:val="24"/>
                <w:szCs w:val="24"/>
              </w:rPr>
              <w:t></w:t>
            </w:r>
            <w:r w:rsidRPr="00E07CB1">
              <w:rPr>
                <w:spacing w:val="6"/>
                <w:sz w:val="24"/>
                <w:szCs w:val="24"/>
              </w:rPr>
              <w:t>/</w:t>
            </w:r>
            <w:r w:rsidRPr="00E07CB1">
              <w:rPr>
                <w:color w:val="800000"/>
                <w:spacing w:val="6"/>
                <w:sz w:val="24"/>
                <w:szCs w:val="24"/>
              </w:rPr>
              <w:t>EnumVal</w:t>
            </w:r>
            <w:r w:rsidRPr="00E07CB1">
              <w:rPr>
                <w:rFonts w:ascii="Symbol" w:hAnsi="Symbol"/>
                <w:spacing w:val="6"/>
                <w:sz w:val="24"/>
                <w:szCs w:val="24"/>
              </w:rPr>
              <w:t></w:t>
            </w:r>
          </w:p>
          <w:p w:rsidR="00FE609E" w:rsidRPr="00E07CB1" w:rsidRDefault="00FE609E" w:rsidP="00FE609E">
            <w:pPr>
              <w:pStyle w:val="BodyText"/>
              <w:spacing w:before="1"/>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="9"</w:t>
            </w:r>
            <w:r w:rsidRPr="00E07CB1">
              <w:rPr>
                <w:rFonts w:ascii="Symbol" w:hAnsi="Symbol"/>
                <w:sz w:val="24"/>
                <w:szCs w:val="24"/>
              </w:rPr>
              <w:t></w:t>
            </w:r>
            <w:r w:rsidRPr="00E07CB1">
              <w:rPr>
                <w:sz w:val="24"/>
                <w:szCs w:val="24"/>
              </w:rPr>
              <w:t>Vother</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before="1"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="10"</w:t>
            </w:r>
            <w:r w:rsidRPr="00E07CB1">
              <w:rPr>
                <w:rFonts w:ascii="Symbol" w:hAnsi="Symbol"/>
                <w:sz w:val="24"/>
                <w:szCs w:val="24"/>
              </w:rPr>
              <w:t></w:t>
            </w:r>
            <w:r w:rsidRPr="00E07CB1">
              <w:rPr>
                <w:sz w:val="24"/>
                <w:szCs w:val="24"/>
              </w:rPr>
              <w:t>Aother</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line="195" w:lineRule="exact"/>
              <w:ind w:left="1549"/>
              <w:rPr>
                <w:rFonts w:ascii="Symbol" w:hAnsi="Symbol"/>
                <w:sz w:val="24"/>
                <w:szCs w:val="24"/>
              </w:rPr>
            </w:pPr>
            <w:r w:rsidRPr="00E07CB1">
              <w:rPr>
                <w:rFonts w:ascii="Symbol" w:hAnsi="Symbol"/>
                <w:sz w:val="24"/>
                <w:szCs w:val="24"/>
              </w:rPr>
              <w:t></w:t>
            </w:r>
            <w:r w:rsidRPr="00E07CB1">
              <w:rPr>
                <w:color w:val="800000"/>
                <w:sz w:val="24"/>
                <w:szCs w:val="24"/>
              </w:rPr>
              <w:t xml:space="preserve">EnumVal </w:t>
            </w:r>
            <w:r w:rsidRPr="00E07CB1">
              <w:rPr>
                <w:color w:val="FF0000"/>
                <w:sz w:val="24"/>
                <w:szCs w:val="24"/>
              </w:rPr>
              <w:t>ord</w:t>
            </w:r>
            <w:r w:rsidRPr="00E07CB1">
              <w:rPr>
                <w:sz w:val="24"/>
                <w:szCs w:val="24"/>
              </w:rPr>
              <w:t>="11"</w:t>
            </w:r>
            <w:r w:rsidRPr="00E07CB1">
              <w:rPr>
                <w:rFonts w:ascii="Symbol" w:hAnsi="Symbol"/>
                <w:sz w:val="24"/>
                <w:szCs w:val="24"/>
              </w:rPr>
              <w:t></w:t>
            </w:r>
            <w:r w:rsidRPr="00E07CB1">
              <w:rPr>
                <w:sz w:val="24"/>
                <w:szCs w:val="24"/>
              </w:rPr>
              <w:t>Synchrophasor</w:t>
            </w:r>
            <w:r w:rsidRPr="00E07CB1">
              <w:rPr>
                <w:rFonts w:ascii="Symbol" w:hAnsi="Symbol"/>
                <w:sz w:val="24"/>
                <w:szCs w:val="24"/>
              </w:rPr>
              <w:t></w:t>
            </w:r>
            <w:r w:rsidRPr="00E07CB1">
              <w:rPr>
                <w:sz w:val="24"/>
                <w:szCs w:val="24"/>
              </w:rPr>
              <w:t>/</w:t>
            </w:r>
            <w:r w:rsidRPr="00E07CB1">
              <w:rPr>
                <w:color w:val="800000"/>
                <w:sz w:val="24"/>
                <w:szCs w:val="24"/>
              </w:rPr>
              <w:t>EnumVal</w:t>
            </w:r>
            <w:r w:rsidRPr="00E07CB1">
              <w:rPr>
                <w:rFonts w:ascii="Symbol" w:hAnsi="Symbol"/>
                <w:sz w:val="24"/>
                <w:szCs w:val="24"/>
              </w:rPr>
              <w:t></w:t>
            </w:r>
          </w:p>
          <w:p w:rsidR="00FE609E" w:rsidRPr="00E07CB1" w:rsidRDefault="00FE609E" w:rsidP="00FE609E">
            <w:pPr>
              <w:pStyle w:val="BodyText"/>
              <w:spacing w:line="195" w:lineRule="exact"/>
              <w:ind w:left="1549"/>
              <w:rPr>
                <w:sz w:val="24"/>
                <w:szCs w:val="24"/>
              </w:rPr>
            </w:pPr>
            <w:r w:rsidRPr="00E07CB1">
              <w:rPr>
                <w:sz w:val="24"/>
                <w:szCs w:val="24"/>
              </w:rPr>
              <w:t>&lt;/EnumType&gt;</w:t>
            </w:r>
          </w:p>
          <w:p w:rsidR="00FE609E" w:rsidRDefault="00FE609E" w:rsidP="00FE609E">
            <w:pPr>
              <w:pStyle w:val="BodyText"/>
              <w:spacing w:line="195" w:lineRule="exact"/>
              <w:ind w:left="1549"/>
              <w:rPr>
                <w:sz w:val="24"/>
                <w:szCs w:val="24"/>
              </w:rPr>
            </w:pPr>
            <w:r w:rsidRPr="00E07CB1">
              <w:rPr>
                <w:sz w:val="24"/>
                <w:szCs w:val="24"/>
              </w:rPr>
              <w:t>&lt;DataTypeTemplates&gt;</w:t>
            </w:r>
          </w:p>
          <w:p w:rsidR="00E07CB1" w:rsidRPr="00E07CB1" w:rsidRDefault="00E07CB1" w:rsidP="00FE609E">
            <w:pPr>
              <w:pStyle w:val="BodyText"/>
              <w:spacing w:line="195" w:lineRule="exact"/>
              <w:ind w:left="1549"/>
              <w:rPr>
                <w:sz w:val="24"/>
                <w:szCs w:val="24"/>
              </w:rPr>
            </w:pPr>
            <w:r>
              <w:rPr>
                <w:sz w:val="24"/>
                <w:szCs w:val="24"/>
              </w:rPr>
              <w:t>&lt;/</w:t>
            </w:r>
            <w:r w:rsidRPr="00E07CB1">
              <w:rPr>
                <w:color w:val="FF0000"/>
                <w:sz w:val="24"/>
                <w:szCs w:val="24"/>
              </w:rPr>
              <w:t>SCL</w:t>
            </w:r>
            <w:r>
              <w:rPr>
                <w:sz w:val="24"/>
                <w:szCs w:val="24"/>
              </w:rPr>
              <w:t>&gt;</w:t>
            </w:r>
          </w:p>
          <w:p w:rsidR="00FE609E" w:rsidRDefault="00FE609E" w:rsidP="00FE609E">
            <w:pPr>
              <w:pStyle w:val="BodyText"/>
              <w:spacing w:line="195" w:lineRule="exact"/>
              <w:ind w:left="1549"/>
              <w:rPr>
                <w:rFonts w:ascii="Symbol" w:hAnsi="Symbol"/>
              </w:rPr>
            </w:pPr>
          </w:p>
          <w:p w:rsidR="00FE609E" w:rsidRDefault="00FE609E" w:rsidP="00FE609E">
            <w:pPr>
              <w:pStyle w:val="BodyText"/>
              <w:spacing w:before="1"/>
              <w:ind w:right="11852"/>
              <w:jc w:val="center"/>
              <w:rPr>
                <w:rFonts w:ascii="Symbol" w:hAnsi="Symbol"/>
              </w:rPr>
            </w:pPr>
          </w:p>
          <w:p w:rsidR="00474E8E" w:rsidRPr="00474E8E" w:rsidRDefault="00474E8E" w:rsidP="00474E8E">
            <w:pPr>
              <w:ind w:left="0" w:firstLine="0"/>
              <w:jc w:val="center"/>
              <w:rPr>
                <w:lang w:val="en-US"/>
              </w:rPr>
            </w:pPr>
          </w:p>
        </w:tc>
      </w:tr>
    </w:tbl>
    <w:p w:rsidR="006873F1" w:rsidRDefault="006873F1" w:rsidP="00CD1812">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E07CB1" w:rsidTr="00474E8E">
        <w:tc>
          <w:tcPr>
            <w:tcW w:w="4672" w:type="dxa"/>
          </w:tcPr>
          <w:p w:rsidR="00E07CB1" w:rsidRPr="00E07CB1" w:rsidRDefault="00E07CB1" w:rsidP="00E07CB1">
            <w:pPr>
              <w:tabs>
                <w:tab w:val="left" w:pos="0"/>
              </w:tabs>
              <w:ind w:left="0" w:firstLine="0"/>
              <w:jc w:val="center"/>
              <w:rPr>
                <w:rFonts w:eastAsia="Calibri"/>
                <w:b/>
                <w:bCs/>
                <w:szCs w:val="22"/>
              </w:rPr>
            </w:pPr>
            <w:r w:rsidRPr="00E07CB1">
              <w:rPr>
                <w:rFonts w:eastAsia="Calibri"/>
                <w:b/>
                <w:bCs/>
                <w:szCs w:val="22"/>
              </w:rPr>
              <w:t>Хавсралт B</w:t>
            </w:r>
          </w:p>
          <w:p w:rsidR="00E07CB1" w:rsidRPr="00E07CB1" w:rsidRDefault="00E07CB1" w:rsidP="00E07CB1">
            <w:pPr>
              <w:pStyle w:val="Heading3"/>
              <w:tabs>
                <w:tab w:val="left" w:pos="0"/>
              </w:tabs>
              <w:spacing w:before="0" w:line="276" w:lineRule="auto"/>
              <w:jc w:val="center"/>
              <w:outlineLvl w:val="2"/>
              <w:rPr>
                <w:rFonts w:ascii="Arial" w:eastAsia="Calibri" w:hAnsi="Arial" w:cs="Arial"/>
                <w:color w:val="auto"/>
                <w:szCs w:val="22"/>
                <w:lang w:val="mn-MN"/>
              </w:rPr>
            </w:pPr>
            <w:r w:rsidRPr="00E07CB1">
              <w:rPr>
                <w:rFonts w:ascii="Arial" w:eastAsia="Calibri" w:hAnsi="Arial" w:cs="Arial"/>
                <w:color w:val="auto"/>
                <w:szCs w:val="22"/>
                <w:lang w:val="mn-MN"/>
              </w:rPr>
              <w:t>(мэдээллийн)</w:t>
            </w:r>
          </w:p>
          <w:p w:rsidR="00E07CB1" w:rsidRPr="00E07CB1" w:rsidRDefault="00E07CB1" w:rsidP="00E07CB1">
            <w:pPr>
              <w:tabs>
                <w:tab w:val="left" w:pos="0"/>
              </w:tabs>
              <w:ind w:left="0" w:firstLine="0"/>
              <w:rPr>
                <w:rFonts w:eastAsia="Calibri"/>
                <w:b/>
                <w:bCs/>
                <w:szCs w:val="22"/>
              </w:rPr>
            </w:pPr>
            <w:r w:rsidRPr="00E07CB1">
              <w:rPr>
                <w:rFonts w:eastAsia="Calibri"/>
                <w:b/>
                <w:bCs/>
                <w:szCs w:val="22"/>
              </w:rPr>
              <w:t>Шууд PMU ба PDC чиглэсэн мэдээлэл дамжуулах SCL жишээ</w:t>
            </w:r>
          </w:p>
          <w:p w:rsidR="00E07CB1" w:rsidRPr="00E07CB1" w:rsidRDefault="00E07CB1" w:rsidP="00E07CB1">
            <w:pPr>
              <w:tabs>
                <w:tab w:val="left" w:pos="0"/>
              </w:tabs>
              <w:ind w:left="0" w:firstLine="0"/>
              <w:rPr>
                <w:rFonts w:eastAsia="Calibri"/>
                <w:b/>
                <w:bCs/>
                <w:szCs w:val="22"/>
              </w:rPr>
            </w:pPr>
            <w:r w:rsidRPr="00E07CB1">
              <w:rPr>
                <w:rFonts w:eastAsia="Calibri"/>
                <w:b/>
                <w:bCs/>
                <w:szCs w:val="22"/>
              </w:rPr>
              <w:t>B.1 Шууд PMU мэдээлэл дамжуулах жишээ</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Энд үүсгүүр дэд станц АА1-ээс төв системийн төсөл хүртэлх SED файлын жишээг дүрсэлсэн болно (харилцаа холбоны тохируулгыг зураг-17 ба салбарлалын нэг шугамыг Зураг A.1-ээс үзнэ үү). Энэ нь ердөө үүсгүүр дэд станцын фазортой холбоотой </w:t>
            </w:r>
            <w:r w:rsidRPr="00E07CB1">
              <w:rPr>
                <w:rFonts w:eastAsia="Calibri"/>
                <w:bCs/>
                <w:szCs w:val="22"/>
              </w:rPr>
              <w:lastRenderedPageBreak/>
              <w:t>интерфейсийн мэдээллийг агуулдаг бөгөөд тайлагнах төвийг ашиглах тохиолдолд тайлангийн удирдлагын блокуудыг зөв хуваарилахад шаардлагатай дотоод тайлагнахклиент багтсан болно. SV удирдлагын блок нь UDP дээр суурилсан сервесийг илэрхийлнэ (&lt;Protocol&gt; RSV &lt;/Protocol&gt;). AA1FP1 дээр өгөгдлийн урсгалын инженерчлэлийг төвийн төсөлд шилжүүлэхийг ажиглана уу.</w:t>
            </w:r>
          </w:p>
          <w:p w:rsidR="00E07CB1" w:rsidRPr="00E07CB1" w:rsidRDefault="00E07CB1" w:rsidP="00E07CB1">
            <w:pPr>
              <w:tabs>
                <w:tab w:val="left" w:pos="0"/>
              </w:tabs>
              <w:ind w:left="0" w:firstLine="0"/>
              <w:rPr>
                <w:rFonts w:eastAsia="Calibri"/>
                <w:bCs/>
                <w:szCs w:val="22"/>
              </w:rPr>
            </w:pPr>
            <w:r w:rsidRPr="00E07CB1">
              <w:rPr>
                <w:rFonts w:eastAsia="Calibri"/>
                <w:bCs/>
                <w:szCs w:val="22"/>
              </w:rPr>
              <w:t>&lt;xml version="1.0"&gt;</w:t>
            </w:r>
          </w:p>
          <w:p w:rsidR="00E07CB1" w:rsidRPr="00E07CB1" w:rsidRDefault="00E07CB1" w:rsidP="00E07CB1">
            <w:pPr>
              <w:tabs>
                <w:tab w:val="left" w:pos="0"/>
                <w:tab w:val="left" w:pos="1186"/>
                <w:tab w:val="left" w:pos="2594"/>
                <w:tab w:val="left" w:pos="3331"/>
                <w:tab w:val="left" w:pos="5698"/>
                <w:tab w:val="left" w:pos="7722"/>
                <w:tab w:val="left" w:pos="9085"/>
              </w:tabs>
              <w:ind w:left="0" w:right="403" w:firstLine="0"/>
              <w:rPr>
                <w:rFonts w:eastAsia="Calibri"/>
                <w:bCs/>
                <w:szCs w:val="22"/>
              </w:rPr>
            </w:pPr>
            <w:r w:rsidRPr="00E07CB1">
              <w:rPr>
                <w:rFonts w:eastAsia="Calibri"/>
                <w:bCs/>
                <w:szCs w:val="22"/>
              </w:rPr>
              <w:t>&lt;SCL</w:t>
            </w:r>
            <w:r w:rsidRPr="00E07CB1">
              <w:rPr>
                <w:rFonts w:eastAsia="Calibri"/>
                <w:bCs/>
                <w:szCs w:val="22"/>
              </w:rPr>
              <w:tab/>
              <w:t>xmlns:sxy</w:t>
            </w:r>
            <w:r w:rsidRPr="00E07CB1">
              <w:rPr>
                <w:rFonts w:eastAsia="Calibri"/>
                <w:bCs/>
                <w:szCs w:val="22"/>
              </w:rPr>
              <w:tab/>
              <w:t>=</w:t>
            </w:r>
            <w:r w:rsidRPr="00E07CB1">
              <w:rPr>
                <w:rFonts w:eastAsia="Calibri"/>
                <w:bCs/>
                <w:szCs w:val="22"/>
              </w:rPr>
              <w:tab/>
              <w:t>"</w:t>
            </w:r>
            <w:hyperlink r:id="rId105">
              <w:r w:rsidRPr="00E07CB1">
                <w:rPr>
                  <w:rFonts w:eastAsia="Calibri"/>
                  <w:bCs/>
                  <w:szCs w:val="22"/>
                </w:rPr>
                <w:t>http://www.iec.ch/61850/2003/SCLcoordinates</w:t>
              </w:r>
            </w:hyperlink>
            <w:r w:rsidRPr="00E07CB1">
              <w:rPr>
                <w:rFonts w:eastAsia="Calibri"/>
                <w:bCs/>
                <w:szCs w:val="22"/>
              </w:rPr>
              <w:t>"</w:t>
            </w:r>
            <w:r w:rsidRPr="00E07CB1">
              <w:rPr>
                <w:rFonts w:eastAsia="Calibri"/>
                <w:bCs/>
                <w:szCs w:val="22"/>
              </w:rPr>
              <w:tab/>
              <w:t>xmlns:xsi</w:t>
            </w:r>
            <w:r w:rsidRPr="00E07CB1">
              <w:rPr>
                <w:rFonts w:eastAsia="Calibri"/>
                <w:bCs/>
                <w:szCs w:val="22"/>
              </w:rPr>
              <w:tab/>
              <w:t>= "</w:t>
            </w:r>
            <w:hyperlink r:id="rId106">
              <w:r w:rsidRPr="00E07CB1">
                <w:rPr>
                  <w:rFonts w:eastAsia="Calibri"/>
                  <w:bCs/>
                  <w:szCs w:val="22"/>
                </w:rPr>
                <w:t>http://www.w3.org/2001/XMLSchema-instance"</w:t>
              </w:r>
            </w:hyperlink>
            <w:r w:rsidRPr="00E07CB1">
              <w:rPr>
                <w:rFonts w:eastAsia="Calibri"/>
                <w:bCs/>
                <w:szCs w:val="22"/>
              </w:rPr>
              <w:tab/>
              <w:t>xsi:schemaLocation</w:t>
            </w:r>
            <w:r w:rsidRPr="00E07CB1">
              <w:rPr>
                <w:rFonts w:eastAsia="Calibri"/>
                <w:bCs/>
                <w:szCs w:val="22"/>
              </w:rPr>
              <w:tab/>
            </w:r>
            <w:r w:rsidRPr="00E07CB1">
              <w:rPr>
                <w:rFonts w:eastAsia="Calibri"/>
                <w:bCs/>
                <w:szCs w:val="22"/>
              </w:rPr>
              <w:tab/>
              <w:t>= "http://www.iec.ch/61850/2003/SCL;C:\Data\data\IECTC57\SCL-XML\Schema2007\SCL2.0\SCL.xsd" xmlns = "</w:t>
            </w:r>
            <w:hyperlink r:id="rId107">
              <w:r w:rsidRPr="00E07CB1">
                <w:rPr>
                  <w:rFonts w:eastAsia="Calibri"/>
                  <w:bCs/>
                  <w:szCs w:val="22"/>
                </w:rPr>
                <w:t>http://www.iec.ch/61850/2003/SCL"</w:t>
              </w:r>
            </w:hyperlink>
            <w:r w:rsidRPr="00E07CB1">
              <w:rPr>
                <w:rFonts w:eastAsia="Calibri"/>
                <w:bCs/>
                <w:szCs w:val="22"/>
              </w:rPr>
              <w: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&lt;Header id = "SynchroPhasor AA1 SED" toolID = "SSI-Tool" nameStructure = "IEDName"/&gt;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&lt;Substation name = "AA1" desc = "Substation".&gt;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&lt;VoltageLevel name = "D1" desc = "Voltage Level"&gt;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 name = "Q1" desc = "Bay" sxy:x = "55" sxy:y = "62"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"MMXU" lnInst = "1"/&gt;</w:t>
            </w:r>
          </w:p>
          <w:p w:rsidR="00E07CB1" w:rsidRPr="00E07CB1" w:rsidRDefault="00E07CB1" w:rsidP="00E07CB1">
            <w:pPr>
              <w:tabs>
                <w:tab w:val="left" w:pos="0"/>
              </w:tabs>
              <w:ind w:left="0" w:right="399" w:firstLine="0"/>
              <w:rPr>
                <w:rFonts w:eastAsia="Calibri"/>
                <w:bCs/>
                <w:szCs w:val="22"/>
              </w:rPr>
            </w:pPr>
            <w:r w:rsidRPr="00E07CB1">
              <w:rPr>
                <w:rFonts w:eastAsia="Calibri"/>
                <w:bCs/>
                <w:szCs w:val="22"/>
              </w:rPr>
              <w:t>&lt;ConductingEquipment name = "BI1" desc = "Current Transformer" type = "CTR"  sxy:x =  "8"  sxy:y =  "15" sxy:dir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"TCTR" lnInst = "1"/&gt;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 xml:space="preserve">&lt;Terminal name = "AA1D1Q1N2" connectivityNode = "AA1/D1/Q1/N2" </w:t>
            </w:r>
            <w:r w:rsidRPr="00E07CB1">
              <w:rPr>
                <w:rFonts w:eastAsia="Calibri"/>
                <w:bCs/>
                <w:szCs w:val="22"/>
              </w:rPr>
              <w:lastRenderedPageBreak/>
              <w:t>substationName = "AA1" voltageLevelName = "D1" bayName = "Q1" cNodeName ="N2"/&gt;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"AA1D1Q1N3" connectivityNode = "AA1/D1/Q1/N3" substationName = "AA1" voltageLevelName = "D1" bayName = "Q1" cNodeName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"QC2" desc = "Isolator" type = "DIS" sxy:x = "10" sxy:y = "21"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"AA1D1Q1N6" connectivityNode = "AA1/D1/Q1/N6" substationName = "AA1" voltageLevelName = "D1" bayName = "Q1" cNodeName = "N6"/&gt;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,Terminal name = "grounded" connectivityNode = "AA1/D1/Q1/grounded" substationName = "AA1" voltageLevelName = "D1" bayName = "Q1" cNodeName = "grounded"/&gt;</w:t>
            </w:r>
          </w:p>
          <w:p w:rsidR="00E07CB1" w:rsidRPr="00E07CB1" w:rsidRDefault="00E07CB1" w:rsidP="00E07CB1">
            <w:pPr>
              <w:ind w:left="0" w:firstLine="0"/>
              <w:rPr>
                <w:rFonts w:eastAsia="Calibri"/>
                <w:bCs/>
                <w:szCs w:val="22"/>
              </w:rPr>
            </w:pP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"BU2" desc = "Voltage Transformer 3Phase" type = "VTR" sxy:x = "12" sxy:y</w:t>
            </w:r>
          </w:p>
          <w:p w:rsidR="00E07CB1" w:rsidRPr="00E07CB1" w:rsidRDefault="00E07CB1" w:rsidP="00E07CB1">
            <w:pPr>
              <w:tabs>
                <w:tab w:val="left" w:pos="0"/>
              </w:tabs>
              <w:ind w:left="0" w:firstLine="0"/>
              <w:rPr>
                <w:rFonts w:eastAsia="Calibri"/>
                <w:bCs/>
                <w:szCs w:val="22"/>
              </w:rPr>
            </w:pPr>
            <w:r w:rsidRPr="00E07CB1">
              <w:rPr>
                <w:rFonts w:eastAsia="Calibri"/>
                <w:bCs/>
                <w:szCs w:val="22"/>
              </w:rPr>
              <w:t>= "14"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"TVTR" lnInst = "1"/&gt;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"AA1D1Q1N3" connectivityNode = "AA1/D1/Q1/N3" substationName = "AA1" voltageLevelName = "D1" bayName = "Q1" cNodeName =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"QB2" desc = "Isolator" type = "DIS" sxy:x = "12" sxy:y =  "4"  sxy:dir  =  "vertical"&gt;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 xml:space="preserve">&lt;Terminal name = "AA1D1QBBN4" connectivityNode = "AA1/D1/QBB/N4" </w:t>
            </w:r>
            <w:r w:rsidRPr="00E07CB1">
              <w:rPr>
                <w:rFonts w:eastAsia="Calibri"/>
                <w:bCs/>
                <w:szCs w:val="22"/>
              </w:rPr>
              <w:lastRenderedPageBreak/>
              <w:t>substationName = "AA1" voltageLevelName = "D1" bayName = "QBB" cNodeName = "N4"/&gt;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"QC1" desc = "Isolator" type = "DIS" sxy:x = "10" sxy:y =  "8"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&lt;Terminal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"BI3" desc = "Current Transformer" type = "CTR"  sxy:x =  "8"  sxy:y =  "19" sxy:dir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&lt;Terminalname=”AA1D1Q1N5” connectivityMode = AA1/D1/Q1/N6”substataionName=”AA1” voltageLevelName=D1”bavName=”Q1” cNooeName=”N6”/&gt;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"AA1D1Q1N4" connectivityNode = "AA1/D1/Q1/N4" substationName = "AA1" voltageLevelName = "D1" bayName = "Q1" cNodeName =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08" w:firstLine="0"/>
              <w:rPr>
                <w:rFonts w:eastAsia="Calibri"/>
                <w:bCs/>
                <w:szCs w:val="22"/>
              </w:rPr>
            </w:pPr>
            <w:r w:rsidRPr="00E07CB1">
              <w:rPr>
                <w:rFonts w:eastAsia="Calibri"/>
                <w:bCs/>
                <w:szCs w:val="22"/>
              </w:rPr>
              <w:t xml:space="preserve">&lt;ConductingEquipment name = "QA1" desc = "Circuit Breaker" type = "CBR" </w:t>
            </w:r>
            <w:r w:rsidRPr="00E07CB1">
              <w:rPr>
                <w:rFonts w:eastAsia="Calibri"/>
                <w:bCs/>
                <w:szCs w:val="22"/>
              </w:rPr>
              <w:lastRenderedPageBreak/>
              <w:t>sxy:x = "8" sxy:y = "11"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"AA1D1Q1N3" connectivityNode = "AA1/D1/Q1/N3" substationName = "AA1" voltageLevelName = "D1" bayName = "Q1" cNodeName ="N3"/&gt;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"AA1D1Q1N5" connectivityNode = "AA1/D1/Q1/N5" substationName = "AA1" voltageLevelName = "D1" bayName = "Q1" cNodeName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"BI2" desc = "Current Transformer" type = "CTR"  sxy:x =  "8"  sxy:y =  "17" sxy:dir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"AA1D1Q1N2" connectivityNode = "AA1/D1/Q1/N2" substationName = "AA1" voltageLevelName = "D1" bayName = "Q1" cNodeName ="N2"/&gt;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"AA1D1Q1N4" connectivityNode = "AA1/D1/Q1/N4" substationName = "AA1" voltageLevelName = "D1" bayName = "Q1" cNodeName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"QB1" desc = "Isolator" type = "DIS" sxy:x  =  "6"  sxy:y  =  "4"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&lt;Terminal name = "AA1D1QBBN1" connectivityNode = "AA1/D1/QBB/N1" substationName = "AA1" voltageLevelName = "D1" bayName = "QBB" cNodeName = "N1"/&gt;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lastRenderedPageBreak/>
              <w:t>&lt;ConductingEquipment name = "QB4" desc = "Isolator" type = "DIS" sxy:x = "8" sxy:y =  "23"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"AA1D1Q1N1" connectivityNode = "AA1/D1/Q1/N1" substationName = "AA1" voltageLevelName = "D1" bayName = "Q1" cNodeName ="N1"/&gt;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"AA1D1Q1N6" connectivityNode = "AA1/D1/Q1/N6" substationName = "AA1" voltageLevelName = "D1" bayName = "Q1" cNodeName ="N6"/&gt;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"QC3" desc = "Isolator" type = "DIS" sxy:x = "10" sxy:y = "35"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"AA1D1Q1N1" connectivityNode = "AA1/D1/Q1/N1" substationName = "AA1" voltageLevelName = "D1" bayName = "Q1" cNodeName = "N1"/&gt;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&lt;Terminal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"N1" pathName =  "AA1/D1/Q1/N1" sxy:x =  "8" sxy:y = "31"/&gt;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"N2" pathName =  "AA1/D1/Q1/N2" sxy:x =  "8" sxy:y = "16"/&gt;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"N3" pathName =  "AA1/D1/Q1/N3" sxy:x =  "9" sxy:y = "13"/&gt;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"N6" pathName =  "AA1/D1/Q1/N6" sxy:x =  "8" sxy:y = "21"/&gt;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&lt;ConnectivityNode name = "N5" pathName = "AA1/D1/Q1/N5" sxy:x = "9" sxy:y = "6"/&gt;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"N4" pathName = "AA1/D1/Q1/N4" sxy:x = "8" sxy:y = "18"/&gt;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 name = "QBB" desc = "Bay" sxy:x = "63" sxy:y = "36"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"N3" pathName =  "AA1/D1/QBB/N3" sxy:x =  "48" sxy:y = "12"/&gt;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"N2" pathName =  "AA1/D1/QBB/N2" sxy:x =  "47" sxy:y = "17"/&gt;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"N4" pathName =  "AA1/D1/QBB/N4" sxy:x =  "25" sxy:y = "18"/&gt;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"N1" pathName =  "AA1/D1/QBB/N1" sxy:x =  "22" sxy:y = "20"/&gt;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&lt;/VoltageLevel&gt;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&lt;/Substation&gt;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&lt;Communication&gt;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&lt;SubNetwork name = "AA1WA1" desc = "IEC61850 through both stations" type = "8-MMS"&gt;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 iedName = "AA1OPC1" apName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"SA"&lt;0&gt;/P&gt;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"IP"&lt;172.16.0.100&gt;/P&gt;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"IP-SUBNET"&lt;255.255.0.0&gt;/P&gt;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"OSI-AP-Title"&lt;1,3,9999,23&gt;/P&gt;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"OSI-AE-Qualifier"&lt;23&gt;/P&gt;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"OSI-TSEL"&lt;0001&gt;/P&gt;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"OSI-PSEL"&lt;00000001&gt;/P&gt;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"OSI-SSEL"&lt;0001&gt;/P&gt;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&lt;ConnectedAP iedName = "AA1FP1" apName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"SA"&lt;0&gt;/P&gt;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P type = "IP"&lt;172.16.1.3&gt;/P&gt;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&lt;Ptype="IP-SUBNET"&gt;255.</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"OSI-AP-Title"&lt;1,3,9999,23&gt;/P&gt;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"OSI-AE-Qualifier"&lt;23&gt;/P&gt;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"OSI-TSEL"&lt;0001&gt;/P&gt;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"OSI-PSEL"&lt;00000001&gt;/P&gt;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"OSI-SSEL"&lt;0001&gt;/P&gt;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 desc = "Phasor SVCB" ldInst = "PMU" cbName = "SyPh_SVCB1"&gt;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type="VLAN-ID"&lt;004&gt;/P&gt;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type="VLAN-PRIORITY"&lt;4&gt;/P&gt;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type="APPID"&lt;3001&gt;/P&gt;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"IP"&lt;172.16.0.100&gt;/P&gt;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"IP-SUBNET"&lt;255.255.0.0&gt;/P&gt;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&lt;/SubNetwork&gt;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&lt;/Communication&gt;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&lt;IED name = "AA1OPC1" desc = "OPC Server" type = "OPCServer" manufacturer = "Whatever"  configVersion =  "1.0" engRight = "fix" owner ="AA1"&gt;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 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"IHMI" lnType = "IHMI_OPCServer_IEC61850"/&gt;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&lt;/IED&gt;</w:t>
            </w:r>
          </w:p>
          <w:p w:rsidR="00E07CB1" w:rsidRPr="00E07CB1" w:rsidRDefault="00E07CB1" w:rsidP="00E07CB1">
            <w:pPr>
              <w:tabs>
                <w:tab w:val="left" w:pos="0"/>
              </w:tabs>
              <w:ind w:left="0" w:right="2620" w:firstLine="0"/>
              <w:rPr>
                <w:rFonts w:eastAsia="Calibri"/>
                <w:bCs/>
                <w:szCs w:val="22"/>
              </w:rPr>
            </w:pPr>
            <w:r w:rsidRPr="00E07CB1">
              <w:rPr>
                <w:rFonts w:eastAsia="Calibri"/>
                <w:bCs/>
                <w:szCs w:val="22"/>
              </w:rPr>
              <w:t xml:space="preserve">&lt;IED name = "AA1FP1" type = "PMU" manufacturer = "Whatever" configVersion = "1.0" engRight = </w:t>
            </w:r>
            <w:r w:rsidRPr="00E07CB1">
              <w:rPr>
                <w:rFonts w:eastAsia="Calibri"/>
                <w:bCs/>
                <w:szCs w:val="22"/>
              </w:rPr>
              <w:lastRenderedPageBreak/>
              <w:t>"dataflow" owner = "AA1"&gt;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&lt;Services&gt;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&lt;DynAssociation/&gt;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&lt;SettingGroups&gt;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&lt;SGEdit/&gt;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&lt;/SettingGroups&gt;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&lt;GetDirectory/&gt;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&lt;GetDataObjectDefinition/&gt;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&lt;DataObjectDirectory/&gt;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&lt;GetDataSetValue/&gt;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&lt;ConfDataSet max = "50" maxAttributes = "240"/&gt;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&lt;ReadWrite/&gt;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&lt;ConfReportControl max = "100"/&gt;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&lt;GetCBValues/&gt;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&lt;ReportSettings datSet = "Conf" rptID = "Dyn" optFields = "Dyn" bufTime = "Dyn"  trgOps  =  "Dyn"  intgPd = "Dyn"/&gt;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&lt;SMVSettings datSet = "Conf"/&gt;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&lt;/Services&gt;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 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&lt;Server&gt;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&lt;Authentication none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&lt;LDevice inst = "PMU"&gt;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&lt;LN0 inst = "" lnClass = "LLN0" lnType = "LLN0_RELx_IEC61850"&gt;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 name = "PMUdata"&gt;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"A.phsA"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"A.phsB"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"A.phsC"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&lt;FCDA ldInst = "PMU" prefix = "" lnClass = "LPHD" lnInst = "1" doName = "PhyHealth"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&lt;DataSet name = "StatUrgentA" desc = "Status Data used to update process pictures and to generate alarms."&gt;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"LPHD" lnInst = "1" doName = "PhyHealth"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"TVTR" lnInst = "1" doName = "FuFail"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"LLN0" doName = "Mod"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&lt;ReportControl name = "rcb_A" datSet = "StatUrgentA" confRev = "2" bufTime = "100" buffered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&lt;TrgOps dchg = "true" qchg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&lt;OptFields/&gt;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&lt;RptEnabled max = "5"&gt;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&lt;ClientLN iedName = "AA1OPC1" ldInst = "none" lnInst = "1" lnClass = "IHMI"/&gt;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&lt;/RptEnabled&gt;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&lt;/ReportControl&gt;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&lt;SampledValueControl name = "SyPh_SVCB1" desc = "Phasor SVCB" datSet = "PMUdata" confRev = "1" smvID = "MyPhasors AA1" smpRate = "2" nofASDU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&lt;Protocol mustUnderstand=”true”&lt;R-SV&gt;/Protocol&gt;</w:t>
            </w:r>
          </w:p>
          <w:p w:rsidR="00E07CB1" w:rsidRPr="00E07CB1" w:rsidRDefault="00E07CB1" w:rsidP="00E07CB1">
            <w:pPr>
              <w:tabs>
                <w:tab w:val="left" w:pos="0"/>
                <w:tab w:val="left" w:pos="2400"/>
                <w:tab w:val="left" w:pos="4077"/>
                <w:tab w:val="left" w:pos="4915"/>
                <w:tab w:val="left" w:pos="6091"/>
                <w:tab w:val="left" w:pos="7763"/>
                <w:tab w:val="left" w:pos="8601"/>
              </w:tabs>
              <w:ind w:left="0" w:firstLine="0"/>
              <w:rPr>
                <w:rFonts w:eastAsia="Calibri"/>
                <w:bCs/>
                <w:szCs w:val="22"/>
              </w:rPr>
            </w:pPr>
            <w:r w:rsidRPr="00E07CB1">
              <w:rPr>
                <w:rFonts w:eastAsia="Calibri"/>
                <w:bCs/>
                <w:szCs w:val="22"/>
              </w:rPr>
              <w:t>&lt;SmvOpts</w:t>
            </w:r>
            <w:r w:rsidRPr="00E07CB1">
              <w:rPr>
                <w:rFonts w:eastAsia="Calibri"/>
                <w:bCs/>
                <w:szCs w:val="22"/>
              </w:rPr>
              <w:tab/>
              <w:t>refreshTime</w:t>
            </w:r>
            <w:r w:rsidRPr="00E07CB1">
              <w:rPr>
                <w:rFonts w:eastAsia="Calibri"/>
                <w:bCs/>
                <w:szCs w:val="22"/>
              </w:rPr>
              <w:tab/>
              <w:t>=</w:t>
            </w:r>
            <w:r w:rsidRPr="00E07CB1">
              <w:rPr>
                <w:rFonts w:eastAsia="Calibri"/>
                <w:bCs/>
                <w:szCs w:val="22"/>
              </w:rPr>
              <w:tab/>
              <w:t>"true"</w:t>
            </w:r>
            <w:r w:rsidRPr="00E07CB1">
              <w:rPr>
                <w:rFonts w:eastAsia="Calibri"/>
                <w:bCs/>
                <w:szCs w:val="22"/>
              </w:rPr>
              <w:tab/>
              <w:t>sampleRate</w:t>
            </w:r>
            <w:r w:rsidRPr="00E07CB1">
              <w:rPr>
                <w:rFonts w:eastAsia="Calibri"/>
                <w:bCs/>
                <w:szCs w:val="22"/>
              </w:rPr>
              <w:tab/>
              <w:t>=</w:t>
            </w:r>
            <w:r w:rsidRPr="00E07CB1">
              <w:rPr>
                <w:rFonts w:eastAsia="Calibri"/>
                <w:bCs/>
                <w:szCs w:val="22"/>
              </w:rPr>
              <w:tab/>
              <w:t>"true"/</w:t>
            </w: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&lt;IEDName&lt;AA1OPC1&lt;/IEDName&gt;&gt;!-- the destination IED --&gt;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&lt;/SampledValueControl&gt;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&lt;/LN0&gt;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&lt;LN inst = "1" lnClass = "LPHD" lnType = "Physical Device_RELx_IEC61850"/&gt;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"TCTR" lnType = "CT_RELx_IEC61850"/&gt;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"TVTR" lnType = "VT_RELx_IEC61850"/</w:t>
            </w: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desc = "Synchrophasor measurements" lnClass = "MMXU" lnType = "Syph_RELx_IEC61850"&gt;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 name = "PhV"&gt;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"phsB"&gt;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"phsC"&gt;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 name = "A"&gt;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"phsB"&gt;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"phsC"&gt;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&lt;/DOI&gt;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&lt;/LDevice&gt;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&lt;/Server&gt;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&lt;DataTypeTemplates&gt;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"Syph_RELx_IEC61850" lnClass = "MMXU"&gt;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"tcLPL_RECx_IEC61850"/в&gt;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"PhV" desc = "Voltage phasors" type = "tcSyphWYE"/&gt;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"A" desc = "Current phasors" type = "tcSyphWYE"/&gt;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"CT_RELx_IEC61850" lnClass = "TCTR"&gt;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"VT_RELx_IEC61850" lnClass = "TVTR"&gt;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&lt;DO name = "NamPlt" type = "tcLPL_RECx_IEC61850"/&gt;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"FuFail" desc = "VT supply failure (MCB)" type = "tcSPS_RECx_IEC61850"/ &gt;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"Physical Device_RELx_IEC61850" lnClass = "LPHD"&gt;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"PhyHealth" desc = "Relay ready" type = "tcHealth_RELx_IEC61850"/&gt;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"Proxy" type = "tcSPS_RELx_IEC61850"/&gt;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 id = "ABB_aWYECMV" cdc = "CMV"&gt;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"cVal" fc = "MX" dchg = "true" bType = "Struct" type = "ABB_aVector"/&gt;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"q" fc = "MX" qchg = "true" bType = "Quality"/&gt;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"t" fc = "MX" bType = "Timestamp"/&gt;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"angRef" fc = "CF" bType = "Enum" type = "angid"/&gt;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 id = "tcSyphWYE" cdc = "WYE"&gt;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"phsA" type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"phsB" type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"phsC" type =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 id = "ABB_aVector"&gt;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"mag" bType = "Struct" type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"ang" bType = "Struct" type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&lt;/DAType&gt;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 id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"f" bType = "FLOAT32"/&gt;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"ctlModel"&gt;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"0"&lt;status-only&gt;/EnumVal&gt;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"1"&lt;direct-with-normal-security&gt;/EnumVal&gt;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"2"&lt;sbo-with-normal-security&gt;/EnumVal&gt;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"3"&lt;direct-with-enhanced-security&gt;/EnumVal&gt;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"4"&lt;sbo-with-enhanced-security&gt;/EnumVal&gt;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"Beh"&gt;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"1"&lt;on&gt;/EnumVal&gt;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"3"&lt;test&gt;/EnumVal&gt;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"4"&lt;test/blocked&gt;/EnumVal&gt;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"5"&lt;off&gt;/EnumVal&gt;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"Health"&gt;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"1"&lt;Ok&gt;/EnumVal&gt;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"2"&lt;Warning&gt;/EnumVal&gt;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"3"&lt;Alarm&gt;/EnumVal&gt;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"Mod"&gt;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"1"&lt;on&gt;/EnumVal&gt;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"3"&lt;test&gt;/EnumVal&gt;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"4"&lt;test/blocked&gt;/EnumVal&gt;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"5"&lt;off</w:t>
            </w:r>
            <w:r w:rsidRPr="00E07CB1">
              <w:rPr>
                <w:rFonts w:eastAsia="Calibri"/>
                <w:bCs/>
                <w:szCs w:val="22"/>
              </w:rPr>
              <w: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"angid"&gt;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"0"&lt;Va&gt;/EnumVal&gt;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"1"&lt;Vb&gt;/EnumVal&gt;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"2"&lt;Vc&gt;/EnumVal&gt;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"3"&lt;Aa&gt;/EnumVal&gt;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&lt;EnumVal ord = "4"&lt;Ab&gt;/EnumVal&gt;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"5"&lt;Ac&gt;/EnumVal&gt;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"6"&lt;Vab&gt;/EnumVal&gt;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"7"&lt;Vbc&gt;/EnumVal&gt;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"8"&lt;Vca&gt;/EnumVal&gt;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"9"&lt;Vother&gt;/EnumVal&gt;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"10"&lt;Aother&gt;/EnumVal&gt;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"11"&lt;Synchrophasor</w:t>
            </w:r>
            <w:r w:rsidRPr="00E07CB1">
              <w:rPr>
                <w:rFonts w:eastAsia="Calibri"/>
                <w:bCs/>
                <w:szCs w:val="22"/>
              </w:rPr>
              <w: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&lt;/DataTypeTemplates&gt;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&lt;/SCL&gt;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tc>
        <w:tc>
          <w:tcPr>
            <w:tcW w:w="4672" w:type="dxa"/>
          </w:tcPr>
          <w:p w:rsidR="00E07CB1" w:rsidRPr="00E07CB1" w:rsidRDefault="00E07CB1" w:rsidP="00E07CB1">
            <w:pPr>
              <w:tabs>
                <w:tab w:val="left" w:pos="0"/>
              </w:tabs>
              <w:ind w:left="0" w:firstLine="0"/>
              <w:jc w:val="center"/>
              <w:rPr>
                <w:rFonts w:eastAsia="Calibri"/>
                <w:bCs/>
                <w:szCs w:val="22"/>
              </w:rPr>
            </w:pPr>
            <w:r w:rsidRPr="00E07CB1">
              <w:rPr>
                <w:rFonts w:eastAsia="Calibri"/>
                <w:b/>
                <w:bCs/>
                <w:szCs w:val="22"/>
              </w:rPr>
              <w:lastRenderedPageBreak/>
              <w:t>Annex B</w:t>
            </w:r>
            <w:r w:rsidRPr="00E07CB1">
              <w:rPr>
                <w:rFonts w:eastAsia="Calibri"/>
                <w:bCs/>
                <w:szCs w:val="22"/>
              </w:rPr>
              <w:t xml:space="preserve">                                                           (informative)</w:t>
            </w:r>
          </w:p>
          <w:p w:rsidR="00E07CB1" w:rsidRPr="00E07CB1" w:rsidRDefault="00E07CB1" w:rsidP="00E07CB1">
            <w:pPr>
              <w:tabs>
                <w:tab w:val="left" w:pos="0"/>
              </w:tabs>
              <w:ind w:left="0" w:firstLine="0"/>
              <w:rPr>
                <w:rFonts w:eastAsia="Calibri"/>
                <w:b/>
                <w:bCs/>
                <w:szCs w:val="22"/>
              </w:rPr>
            </w:pPr>
            <w:r w:rsidRPr="00E07CB1">
              <w:rPr>
                <w:rFonts w:eastAsia="Calibri"/>
                <w:b/>
                <w:bCs/>
                <w:szCs w:val="22"/>
              </w:rPr>
              <w:t>SCL examples for direct PMU and PDC-oriented communication</w:t>
            </w:r>
          </w:p>
          <w:p w:rsidR="00E07CB1" w:rsidRPr="00E07CB1" w:rsidRDefault="00E07CB1" w:rsidP="00E07CB1">
            <w:pPr>
              <w:tabs>
                <w:tab w:val="left" w:pos="0"/>
              </w:tabs>
              <w:ind w:left="0" w:firstLine="0"/>
              <w:rPr>
                <w:rFonts w:eastAsia="Calibri"/>
                <w:b/>
                <w:bCs/>
                <w:szCs w:val="22"/>
              </w:rPr>
            </w:pPr>
            <w:r w:rsidRPr="00E07CB1">
              <w:rPr>
                <w:rFonts w:eastAsia="Calibri"/>
                <w:b/>
                <w:bCs/>
                <w:szCs w:val="22"/>
              </w:rPr>
              <w:t>B.1 Direct PMU communication example</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This describes an example SED file from the source substation AA1 to the center system  project (see </w:t>
            </w:r>
            <w:hyperlink w:anchor="_bookmark21" w:history="1">
              <w:r w:rsidRPr="00E07CB1">
                <w:rPr>
                  <w:rFonts w:eastAsia="Calibri"/>
                  <w:bCs/>
                  <w:szCs w:val="22"/>
                </w:rPr>
                <w:t xml:space="preserve">Figure 17 </w:t>
              </w:r>
            </w:hyperlink>
            <w:r w:rsidRPr="00E07CB1">
              <w:rPr>
                <w:rFonts w:eastAsia="Calibri"/>
                <w:bCs/>
                <w:szCs w:val="22"/>
              </w:rPr>
              <w:t xml:space="preserve">for the communication configuration, and </w:t>
            </w:r>
            <w:hyperlink w:anchor="_bookmark86" w:history="1">
              <w:r w:rsidRPr="00E07CB1">
                <w:rPr>
                  <w:rFonts w:eastAsia="Calibri"/>
                  <w:bCs/>
                  <w:szCs w:val="22"/>
                </w:rPr>
                <w:t xml:space="preserve">Figure A.1 </w:t>
              </w:r>
            </w:hyperlink>
            <w:r w:rsidRPr="00E07CB1">
              <w:rPr>
                <w:rFonts w:eastAsia="Calibri"/>
                <w:bCs/>
                <w:szCs w:val="22"/>
              </w:rPr>
              <w:t xml:space="preserve">for the bay single line). It just contains the phasor related interface information of the source substation, and the internal </w:t>
            </w:r>
            <w:r w:rsidRPr="00E07CB1">
              <w:rPr>
                <w:rFonts w:eastAsia="Calibri"/>
                <w:bCs/>
                <w:szCs w:val="22"/>
              </w:rPr>
              <w:lastRenderedPageBreak/>
              <w:t>reporting client needed to allocate correct report control blocks in case reporting shall also be used to the center. The SV control block indicates UDP based service (&lt;Protocol&gt; R- SV&lt;/Protocol&gt;). Observe the transfer of data flow engineering right at AA1FP1 to the center project.</w:t>
            </w:r>
          </w:p>
          <w:p w:rsidR="00E07CB1" w:rsidRPr="00E07CB1" w:rsidRDefault="00E07CB1" w:rsidP="00E07CB1">
            <w:pPr>
              <w:tabs>
                <w:tab w:val="left" w:pos="0"/>
              </w:tabs>
              <w:ind w:left="0" w:firstLine="0"/>
              <w:rPr>
                <w:rFonts w:eastAsia="Calibri"/>
                <w:bCs/>
                <w:szCs w:val="22"/>
              </w:rPr>
            </w:pPr>
            <w:r w:rsidRPr="00E07CB1">
              <w:rPr>
                <w:rFonts w:eastAsia="Calibri"/>
                <w:bCs/>
                <w:szCs w:val="22"/>
              </w:rPr>
              <w:t>&lt;xml version="1.0"&gt;</w:t>
            </w:r>
          </w:p>
          <w:p w:rsidR="00E07CB1" w:rsidRPr="00E07CB1" w:rsidRDefault="00E07CB1" w:rsidP="00E07CB1">
            <w:pPr>
              <w:tabs>
                <w:tab w:val="left" w:pos="0"/>
                <w:tab w:val="left" w:pos="1186"/>
                <w:tab w:val="left" w:pos="2594"/>
                <w:tab w:val="left" w:pos="3331"/>
                <w:tab w:val="left" w:pos="5698"/>
                <w:tab w:val="left" w:pos="7722"/>
                <w:tab w:val="left" w:pos="9085"/>
              </w:tabs>
              <w:ind w:left="0" w:right="403" w:firstLine="0"/>
              <w:rPr>
                <w:rFonts w:eastAsia="Calibri"/>
                <w:bCs/>
                <w:szCs w:val="22"/>
              </w:rPr>
            </w:pPr>
            <w:r w:rsidRPr="00E07CB1">
              <w:rPr>
                <w:rFonts w:eastAsia="Calibri"/>
                <w:bCs/>
                <w:szCs w:val="22"/>
              </w:rPr>
              <w:t>&lt;SCL</w:t>
            </w:r>
            <w:r w:rsidRPr="00E07CB1">
              <w:rPr>
                <w:rFonts w:eastAsia="Calibri"/>
                <w:bCs/>
                <w:szCs w:val="22"/>
              </w:rPr>
              <w:tab/>
              <w:t>xmlns:sxy</w:t>
            </w:r>
            <w:r w:rsidRPr="00E07CB1">
              <w:rPr>
                <w:rFonts w:eastAsia="Calibri"/>
                <w:bCs/>
                <w:szCs w:val="22"/>
              </w:rPr>
              <w:tab/>
              <w:t>=</w:t>
            </w:r>
            <w:r w:rsidRPr="00E07CB1">
              <w:rPr>
                <w:rFonts w:eastAsia="Calibri"/>
                <w:bCs/>
                <w:szCs w:val="22"/>
              </w:rPr>
              <w:tab/>
              <w:t>"</w:t>
            </w:r>
            <w:hyperlink r:id="rId108">
              <w:r w:rsidRPr="00E07CB1">
                <w:rPr>
                  <w:rFonts w:eastAsia="Calibri"/>
                  <w:bCs/>
                  <w:szCs w:val="22"/>
                </w:rPr>
                <w:t>http://www.iec.ch/61850/2003/SCLcoordinates</w:t>
              </w:r>
            </w:hyperlink>
            <w:r w:rsidRPr="00E07CB1">
              <w:rPr>
                <w:rFonts w:eastAsia="Calibri"/>
                <w:bCs/>
                <w:szCs w:val="22"/>
              </w:rPr>
              <w:t>"</w:t>
            </w:r>
            <w:r w:rsidRPr="00E07CB1">
              <w:rPr>
                <w:rFonts w:eastAsia="Calibri"/>
                <w:bCs/>
                <w:szCs w:val="22"/>
              </w:rPr>
              <w:tab/>
              <w:t>xmlns:xsi</w:t>
            </w:r>
            <w:r w:rsidRPr="00E07CB1">
              <w:rPr>
                <w:rFonts w:eastAsia="Calibri"/>
                <w:bCs/>
                <w:szCs w:val="22"/>
              </w:rPr>
              <w:tab/>
              <w:t>= "</w:t>
            </w:r>
            <w:hyperlink r:id="rId109">
              <w:r w:rsidRPr="00E07CB1">
                <w:rPr>
                  <w:rFonts w:eastAsia="Calibri"/>
                  <w:bCs/>
                  <w:szCs w:val="22"/>
                </w:rPr>
                <w:t>http://www.w3.org/2001/XMLSchema-instance"</w:t>
              </w:r>
            </w:hyperlink>
            <w:r w:rsidRPr="00E07CB1">
              <w:rPr>
                <w:rFonts w:eastAsia="Calibri"/>
                <w:bCs/>
                <w:szCs w:val="22"/>
              </w:rPr>
              <w:tab/>
              <w:t>xsi:schemaLocation</w:t>
            </w:r>
            <w:r w:rsidRPr="00E07CB1">
              <w:rPr>
                <w:rFonts w:eastAsia="Calibri"/>
                <w:bCs/>
                <w:szCs w:val="22"/>
              </w:rPr>
              <w:tab/>
            </w:r>
            <w:r w:rsidRPr="00E07CB1">
              <w:rPr>
                <w:rFonts w:eastAsia="Calibri"/>
                <w:bCs/>
                <w:szCs w:val="22"/>
              </w:rPr>
              <w:tab/>
              <w:t>= "http://www.iec.ch/61850/2003/SCL;C:\Data\data\IECTC57\SCL-XML\Schema2007\SCL2.0\SCL.xsd" xmlns = "</w:t>
            </w:r>
            <w:hyperlink r:id="rId110">
              <w:r w:rsidRPr="00E07CB1">
                <w:rPr>
                  <w:rFonts w:eastAsia="Calibri"/>
                  <w:bCs/>
                  <w:szCs w:val="22"/>
                </w:rPr>
                <w:t>http://www.iec.ch/61850/2003/SCL"</w:t>
              </w:r>
            </w:hyperlink>
            <w:r w:rsidRPr="00E07CB1">
              <w:rPr>
                <w:rFonts w:eastAsia="Calibri"/>
                <w:bCs/>
                <w:szCs w:val="22"/>
              </w:rPr>
              <w: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&lt;Header id = "SynchroPhasor AA1 SED" toolID = "SSI-Tool" nameStructure = "IEDName"/&gt;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&lt;Substation name = "AA1" desc = "Substation".&gt;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&lt;VoltageLevel name = "D1" desc = "Voltage Level"&gt;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 name = "Q1" desc = "Bay" sxy:x = "55" sxy:y = "62"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"MMXU" lnInst = "1"/&gt;</w:t>
            </w:r>
          </w:p>
          <w:p w:rsidR="00E07CB1" w:rsidRPr="00E07CB1" w:rsidRDefault="00E07CB1" w:rsidP="00E07CB1">
            <w:pPr>
              <w:tabs>
                <w:tab w:val="left" w:pos="0"/>
              </w:tabs>
              <w:ind w:left="0" w:right="399" w:firstLine="0"/>
              <w:rPr>
                <w:rFonts w:eastAsia="Calibri"/>
                <w:bCs/>
                <w:szCs w:val="22"/>
              </w:rPr>
            </w:pPr>
            <w:r w:rsidRPr="00E07CB1">
              <w:rPr>
                <w:rFonts w:eastAsia="Calibri"/>
                <w:bCs/>
                <w:szCs w:val="22"/>
              </w:rPr>
              <w:t>&lt;ConductingEquipment name = "BI1" desc = "Current Transformer" type = "CTR"  sxy:x =  "8"  sxy:y =  "15" sxy:dir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"TCTR" lnInst = "1"/&gt;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"AA1D1Q1N2" connectivityNode = "AA1/D1/Q1/N2" substationName = "AA1" voltageLevelName = "D1" bayName = "Q1" cNodeName ="N2"/&gt;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lastRenderedPageBreak/>
              <w:t>&lt;Terminal name = "AA1D1Q1N3" connectivityNode = "AA1/D1/Q1/N3" substationName = "AA1" voltageLevelName = "D1" bayName = "Q1" cNodeName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"QC2" desc = "Isolator" type = "DIS" sxy:x = "10" sxy:y = "21"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"AA1D1Q1N6" connectivityNode = "AA1/D1/Q1/N6" substationName = "AA1" voltageLevelName = "D1" bayName = "Q1" cNodeName = "N6"/&gt;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"BU2" desc = "Voltage Transformer 3Phase" type = "VTR" sxy:x = "12" sxy:y</w:t>
            </w:r>
          </w:p>
          <w:p w:rsidR="00E07CB1" w:rsidRPr="00E07CB1" w:rsidRDefault="00E07CB1" w:rsidP="00E07CB1">
            <w:pPr>
              <w:tabs>
                <w:tab w:val="left" w:pos="0"/>
              </w:tabs>
              <w:ind w:left="0" w:firstLine="0"/>
              <w:rPr>
                <w:rFonts w:eastAsia="Calibri"/>
                <w:bCs/>
                <w:szCs w:val="22"/>
              </w:rPr>
            </w:pPr>
            <w:r w:rsidRPr="00E07CB1">
              <w:rPr>
                <w:rFonts w:eastAsia="Calibri"/>
                <w:bCs/>
                <w:szCs w:val="22"/>
              </w:rPr>
              <w:t>= "14"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"TVTR" lnInst = "1"/&gt;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"AA1D1Q1N3" connectivityNode = "AA1/D1/Q1/N3" substationName = "AA1" voltageLevelName = "D1" bayName = "Q1" cNodeName =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"QB2" desc = "Isolator" type = "DIS" sxy:x = "12" sxy:y =  "4"  sxy:dir  =  "vertical"&gt;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&lt;Terminal name = "AA1D1QBBN4" connectivityNode = "AA1/D1/QBB/N4" substationName = "AA1" voltageLevelName = "D1" bayName = "QBB" cNodeName = "N4"/&gt;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lastRenderedPageBreak/>
              <w:t>&lt;Terminal name = "AA1D1Q1N5" connectivityNode = "AA1/D1/Q1/N5" substationName = "AA1" voltageLevelName = "D1" bayName = "Q1" cNodeName =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"QC1" desc = "Isolator" type = "DIS" sxy:x = "10" sxy:y =  "8"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&lt;Terminal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"BI3" desc = "Current Transformer" type = "CTR"  sxy:x =  "8"  sxy:y =  "19" sxy:dir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&lt;Terminalname=”AA1D1Q1N5” connectivityMode = AA1/D1/Q1/N6”substataionName=”AA1” voltageLevelName=D1”bavName=”Q1” cNooeName=”N6”/&gt;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"AA1D1Q1N4" connectivityNode = "AA1/D1/Q1/N4" substationName = "AA1" voltageLevelName = "D1" bayName = "Q1" cNodeName =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08" w:firstLine="0"/>
              <w:rPr>
                <w:rFonts w:eastAsia="Calibri"/>
                <w:bCs/>
                <w:szCs w:val="22"/>
              </w:rPr>
            </w:pPr>
            <w:r w:rsidRPr="00E07CB1">
              <w:rPr>
                <w:rFonts w:eastAsia="Calibri"/>
                <w:bCs/>
                <w:szCs w:val="22"/>
              </w:rPr>
              <w:t>&lt;ConductingEquipment name = "QA1" desc = "Circuit Breaker" type = "CBR" sxy:x = "8" sxy:y = "11"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 xml:space="preserve">&lt;Terminal name = "AA1D1Q1N3" connectivityNode = "AA1/D1/Q1/N3" </w:t>
            </w:r>
            <w:r w:rsidRPr="00E07CB1">
              <w:rPr>
                <w:rFonts w:eastAsia="Calibri"/>
                <w:bCs/>
                <w:szCs w:val="22"/>
              </w:rPr>
              <w:lastRenderedPageBreak/>
              <w:t>substationName = "AA1" voltageLevelName = "D1" bayName = "Q1" cNodeName ="N3"/&gt;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"AA1D1Q1N5" connectivityNode = "AA1/D1/Q1/N5" substationName = "AA1" voltageLevelName = "D1" bayName = "Q1" cNodeName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"BI2" desc = "Current Transformer" type = "CTR"  sxy:x =  "8"  sxy:y =  "17" sxy:dir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"AA1D1Q1N2" connectivityNode = "AA1/D1/Q1/N2" substationName = "AA1" voltageLevelName = "D1" bayName = "Q1" cNodeName ="N2"/&gt;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"AA1D1Q1N4" connectivityNode = "AA1/D1/Q1/N4" substationName = "AA1" voltageLevelName = "D1" bayName = "Q1" cNodeName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"QB1" desc = "Isolator" type = "DIS" sxy:x  =  "6"  sxy:y  =  "4"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&lt;Terminal name = "AA1D1QBBN1" connectivityNode = "AA1/D1/QBB/N1" substationName = "AA1" voltageLevelName = "D1" bayName = "QBB" cNodeName = "N1"/&gt;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"QB4" desc = "Isolator" type = "DIS" sxy:x = "8" sxy:y =  "23"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lastRenderedPageBreak/>
              <w:t>&lt;Terminal name = "AA1D1Q1N1" connectivityNode = "AA1/D1/Q1/N1" substationName = "AA1" voltageLevelName = "D1" bayName = "Q1" cNodeName ="N1"/&gt;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"AA1D1Q1N6" connectivityNode = "AA1/D1/Q1/N6" substationName = "AA1" voltageLevelName = "D1" bayName = "Q1" cNodeName ="N6"/&gt;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&lt;ConductingEquipment name = "QC3" desc = "Isolator" type = "DIS" sxy:x = "10" sxy:y = "35"  sxy:dir  =  "vertical"&gt;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&lt;Terminal name = "AA1D1Q1N1" connectivityNode = "AA1/D1/Q1/N1" substationName = "AA1" voltageLevelName = "D1" bayName = "Q1" cNodeName = "N1"/&gt;</w:t>
            </w:r>
          </w:p>
          <w:p w:rsidR="00E07CB1" w:rsidRPr="00E07CB1" w:rsidRDefault="00E07CB1" w:rsidP="00E07CB1">
            <w:pPr>
              <w:tabs>
                <w:tab w:val="left" w:pos="0"/>
              </w:tabs>
              <w:ind w:left="0" w:right="378" w:firstLine="0"/>
              <w:rPr>
                <w:rFonts w:eastAsia="Calibri"/>
                <w:bCs/>
                <w:szCs w:val="22"/>
              </w:rPr>
            </w:pPr>
            <w:r w:rsidRPr="00E07CB1">
              <w:rPr>
                <w:rFonts w:eastAsia="Calibri"/>
                <w:bCs/>
                <w:szCs w:val="22"/>
              </w:rPr>
              <w:t>&lt;Terminal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"N1" pathName =  "AA1/D1/Q1/N1" sxy:x =  "8" sxy:y = "31"/&gt;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"N2" pathName =  "AA1/D1/Q1/N2" sxy:x =  "8" sxy:y = "16"/&gt;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"N3" pathName =  "AA1/D1/Q1/N3" sxy:x =  "9" sxy:y = "13"/&gt;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"N6" pathName =  "AA1/D1/Q1/N6" sxy:x =  "8" sxy:y = "21"/&gt;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"N5" pathName = "AA1/D1/Q1/N5" sxy:x = "9" sxy:y = "6"/&gt;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&lt;ConnectivityNode name = "N4" pathName = "AA1/D1/Q1/N4" sxy:x = "8" sxy:y = "18"/&gt;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 name = "QBB" desc = "Bay" sxy:x = "63" sxy:y = "36"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"N3" pathName =  "AA1/D1/QBB/N3" sxy:x =  "48" sxy:y = "12"/&gt;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"N2" pathName =  "AA1/D1/QBB/N2" sxy:x =  "47" sxy:y = "17"/&gt;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"N4" pathName =  "AA1/D1/QBB/N4" sxy:x =  "25" sxy:y = "18"/&gt;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"N1" pathName =  "AA1/D1/QBB/N1" sxy:x =  "22" sxy:y = "20"/&gt;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&lt;/VoltageLevel&gt;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&lt;/Substation&gt;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&lt;Communication&gt;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&lt;SubNetwork name = "AA1WA1" desc = "IEC61850 through both stations" type = "8-MMS"&gt;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 iedName = "AA1OPC1" apName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"SA"&lt;0&gt;/P&gt;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"IP"&lt;172.16.0.100&gt;/P&gt;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"IP-SUBNET"&lt;255.255.0.0&gt;/P&gt;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"OSI-AP-Title"&lt;1,3,9999,23&gt;/P&gt;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"OSI-AE-Qualifier"&lt;23&gt;/P&gt;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"OSI-TSEL"&lt;0001&gt;/P&gt;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"OSI-PSEL"&lt;00000001&gt;/P&gt;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"OSI-SSEL"&lt;0001&gt;/P&gt;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 iedName = "AA1FP1" apName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"SA"&lt;0&gt;/P&gt;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P type = "IP"&lt;172.16.1.3&gt;/P&gt;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&lt;Ptype="IP-SUBNET"&gt;255.</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"OSI-AP-Title"&lt;1,3,9999,23&gt;/P&gt;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"OSI-AE-Qualifier"&lt;23&gt;/P&gt;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"OSI-TSEL"&lt;0001&gt;/P&gt;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"OSI-PSEL"&lt;00000001&gt;/P&gt;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"OSI-SSEL"&lt;0001&gt;/P&gt;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 desc = "Phasor SVCB" ldInst = "PMU" cbName = "SyPh_SVCB1"&gt;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type="VLAN-ID"&lt;004&gt;/P&gt;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type="VLAN-PRIORITY"&lt;4&gt;/P&gt;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type="APPID"&lt;3001&gt;/P&gt;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"IP"&lt;172.16.0.100&gt;/P&gt;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"IP-SUBNET"&lt;255.255.0.0&gt;/P&gt;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&lt;/SubNetwork&gt;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&lt;/Communication&gt;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&lt;IED name = "AA1OPC1" desc = "OPC Server" type = "OPCServer" manufacturer = "Whatever"  configVersion =  "1.0" engRight = "fix" owner ="AA1"&gt;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 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"IHMI" lnType = "IHMI_OPCServer_IEC61850"/&gt;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&lt;/IED&gt;</w:t>
            </w:r>
          </w:p>
          <w:p w:rsidR="00E07CB1" w:rsidRPr="00E07CB1" w:rsidRDefault="00E07CB1" w:rsidP="00E07CB1">
            <w:pPr>
              <w:tabs>
                <w:tab w:val="left" w:pos="0"/>
              </w:tabs>
              <w:ind w:left="0" w:right="2620" w:firstLine="0"/>
              <w:rPr>
                <w:rFonts w:eastAsia="Calibri"/>
                <w:bCs/>
                <w:szCs w:val="22"/>
              </w:rPr>
            </w:pPr>
            <w:r w:rsidRPr="00E07CB1">
              <w:rPr>
                <w:rFonts w:eastAsia="Calibri"/>
                <w:bCs/>
                <w:szCs w:val="22"/>
              </w:rPr>
              <w:t>&lt;IED name = "AA1FP1" type = "PMU" manufacturer = "Whatever" configVersion = "1.0" engRight = "dataflow" owner = "AA1"&gt;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&lt;Services&gt;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&lt;DynAssociation/&gt;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&lt;SettingGroups&gt;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&lt;SGEdit/&gt;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&lt;/SettingGroups&gt;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&lt;GetDirectory/&gt;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&lt;GetDataObjectDefinition/&gt;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&lt;DataObjectDirectory/&gt;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&lt;GetDataSetValue/&gt;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&lt;ConfDataSet max = "50" maxAttributes = "240"/&gt;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&lt;ReadWrite/&gt;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&lt;ConfReportControl max = "100"/&gt;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&lt;GetCBValues/&gt;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&lt;ReportSettings datSet = "Conf" rptID = "Dyn" optFields = "Dyn" bufTime = "Dyn"  trgOps  =  "Dyn"  intgPd = "Dyn"/&gt;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&lt;SMVSettings datSet = "Conf"/&gt;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&lt;/Services&gt;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 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&lt;Server&gt;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&lt;Authentication none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&lt;LDevice inst = "PMU"&gt;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&lt;LN0 inst = "" lnClass = "LLN0" lnType = "LLN0_RELx_IEC61850"&gt;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 name = "PMUdata"&gt;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"A.phsA"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"A.phsB"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"A.phsC"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"LPHD" lnInst = "1" doName = "PhyHealth"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&lt;/DataSet&gt;</w:t>
            </w:r>
          </w:p>
          <w:p w:rsidR="00E07CB1" w:rsidRPr="00E07CB1" w:rsidRDefault="00E07CB1" w:rsidP="00E07CB1">
            <w:pPr>
              <w:tabs>
                <w:tab w:val="left" w:pos="0"/>
              </w:tabs>
              <w:ind w:left="0" w:right="496" w:firstLine="0"/>
              <w:rPr>
                <w:rFonts w:eastAsia="Calibri"/>
                <w:bCs/>
                <w:szCs w:val="22"/>
              </w:rPr>
            </w:pPr>
            <w:r w:rsidRPr="00E07CB1">
              <w:rPr>
                <w:rFonts w:eastAsia="Calibri"/>
                <w:bCs/>
                <w:szCs w:val="22"/>
              </w:rPr>
              <w:t xml:space="preserve">&lt;DataSet name = "StatUrgentA" desc = "Status Data used to update </w:t>
            </w:r>
            <w:r w:rsidRPr="00E07CB1">
              <w:rPr>
                <w:rFonts w:eastAsia="Calibri"/>
                <w:bCs/>
                <w:szCs w:val="22"/>
              </w:rPr>
              <w:lastRenderedPageBreak/>
              <w:t>process pictures and to generate alarms."&gt;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"LPHD" lnInst = "1" doName = "PhyHealth"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"TVTR" lnInst = "1" doName = "FuFail"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"LLN0" doName = "Mod"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&lt;ReportControl name = "rcb_A" datSet = "StatUrgentA" confRev = "2" bufTime = "100" buffered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&lt;TrgOps dchg = "true" qchg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&lt;OptFields/&gt;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&lt;RptEnabled max = "5"&gt;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&lt;ClientLN iedName = "AA1OPC1" ldInst = "none" lnInst = "1" lnClass = "IHMI"/&gt;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&lt;/RptEnabled&gt;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&lt;/ReportControl&gt;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&lt;SampledValueControl name = "SyPh_SVCB1" desc = "Phasor SVCB" datSet = "PMUdata" confRev = "1" smvID = "MyPhasors AA1" smpRate = "2" nofASDU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&lt;Protocol mustUnderstand=”true”&lt;R-SV&gt;/Protocol&gt;</w:t>
            </w:r>
          </w:p>
          <w:p w:rsidR="00E07CB1" w:rsidRPr="00E07CB1" w:rsidRDefault="00E07CB1" w:rsidP="00E07CB1">
            <w:pPr>
              <w:tabs>
                <w:tab w:val="left" w:pos="0"/>
                <w:tab w:val="left" w:pos="2400"/>
                <w:tab w:val="left" w:pos="4077"/>
                <w:tab w:val="left" w:pos="4915"/>
                <w:tab w:val="left" w:pos="6091"/>
                <w:tab w:val="left" w:pos="7763"/>
                <w:tab w:val="left" w:pos="8601"/>
              </w:tabs>
              <w:ind w:left="0" w:firstLine="0"/>
              <w:rPr>
                <w:rFonts w:eastAsia="Calibri"/>
                <w:bCs/>
                <w:szCs w:val="22"/>
              </w:rPr>
            </w:pPr>
            <w:r w:rsidRPr="00E07CB1">
              <w:rPr>
                <w:rFonts w:eastAsia="Calibri"/>
                <w:bCs/>
                <w:szCs w:val="22"/>
              </w:rPr>
              <w:t>&lt;SmvOpts</w:t>
            </w:r>
            <w:r w:rsidRPr="00E07CB1">
              <w:rPr>
                <w:rFonts w:eastAsia="Calibri"/>
                <w:bCs/>
                <w:szCs w:val="22"/>
              </w:rPr>
              <w:tab/>
              <w:t>refreshTime</w:t>
            </w:r>
            <w:r w:rsidRPr="00E07CB1">
              <w:rPr>
                <w:rFonts w:eastAsia="Calibri"/>
                <w:bCs/>
                <w:szCs w:val="22"/>
              </w:rPr>
              <w:tab/>
              <w:t>=</w:t>
            </w:r>
            <w:r w:rsidRPr="00E07CB1">
              <w:rPr>
                <w:rFonts w:eastAsia="Calibri"/>
                <w:bCs/>
                <w:szCs w:val="22"/>
              </w:rPr>
              <w:tab/>
              <w:t>"true"</w:t>
            </w:r>
            <w:r w:rsidRPr="00E07CB1">
              <w:rPr>
                <w:rFonts w:eastAsia="Calibri"/>
                <w:bCs/>
                <w:szCs w:val="22"/>
              </w:rPr>
              <w:tab/>
              <w:t>sampleRate</w:t>
            </w:r>
            <w:r w:rsidRPr="00E07CB1">
              <w:rPr>
                <w:rFonts w:eastAsia="Calibri"/>
                <w:bCs/>
                <w:szCs w:val="22"/>
              </w:rPr>
              <w:tab/>
              <w:t>=</w:t>
            </w:r>
            <w:r w:rsidRPr="00E07CB1">
              <w:rPr>
                <w:rFonts w:eastAsia="Calibri"/>
                <w:bCs/>
                <w:szCs w:val="22"/>
              </w:rPr>
              <w:tab/>
              <w:t>"true"/</w:t>
            </w: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&lt;IEDName&lt;AA1OPC1&lt;/IEDName&gt;&gt;!-- the destination IED --&gt;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&lt;/SampledValueControl&gt;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"LPHD" lnType = "Physical Device_RELx_IEC61850"/&gt;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"TCTR" lnType = "CT_RELx_IEC61850"/&gt;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"TVTR" lnType = "VT_RELx_IEC61850"/</w:t>
            </w: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&lt;LN inst = "1" desc = "Synchrophasor measurements" lnClass = "MMXU" lnType = "Syph_RELx_IEC61850"&gt;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 name = "PhV"&gt;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"phsB"&gt;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"phsC"&gt;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 name = "A"&gt;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"phsB"&gt;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"phsC"&gt;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&lt;/LDevice&gt;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&lt;/Server&gt;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&lt;DataTypeTemplates&gt;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"Syph_RELx_IEC61850" lnClass = "MMXU"&gt;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"tcLPL_RECx_IEC61850"/в&gt;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"PhV" desc = "Voltage phasors" type = "tcSyphWYE"/&gt;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"A" desc = "Current phasors" type = "tcSyphWYE"/&gt;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"CT_RELx_IEC61850" lnClass = "TCTR"&gt;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"VT_RELx_IEC61850" lnClass = "TVTR"&gt;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"FuFail" desc = "VT supply failure (MCB)" type = "tcSPS_RECx_IEC61850"/ &gt;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&lt;LNodeType id = "Physical Device_RELx_IEC61850" lnClass = "LPHD"&gt;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"PhyHealth" desc = "Relay ready" type = "tcHealth_RELx_IEC61850"/&gt;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"Proxy" type = "tcSPS_RELx_IEC61850"/&gt;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 id = "ABB_aWYECMV" cdc = "CMV"&gt;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"cVal" fc = "MX" dchg = "true" bType = "Struct" type = "ABB_aVector"/&gt;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"q" fc = "MX" qchg = "true" bType = "Quality"/&gt;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"t" fc = "MX" bType = "Timestamp"/&gt;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"angRef" fc = "CF" bType = "Enum" type = "angid"/&gt;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 id = "tcSyphWYE" cdc = "WYE"&gt;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"phsA" type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"phsB" type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"phsC" type =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 id = "ABB_aVector"&gt;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"mag" bType = "Struct" type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"ang" bType = "Struct" type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 id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"f" bType = "FLOAT32"/&gt;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"ctlModel"&gt;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&lt;EnumVal ord = "0"&lt;status-only&gt;/EnumVal&gt;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"1"&lt;direct-with-normal-security&gt;/EnumVal&gt;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"2"&lt;sbo-with-normal-security&gt;/EnumVal&gt;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"3"&lt;direct-with-enhanced-security&gt;/EnumVal&gt;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"4"&lt;sbo-with-enhanced-security&gt;/EnumVal&gt;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"Beh"&gt;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"1"&lt;on&gt;/EnumVal&gt;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"3"&lt;test&gt;/EnumVal&gt;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"4"&lt;test/blocked&gt;/EnumVal&gt;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"5"&lt;off&gt;/EnumVal&gt;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"Health"&gt;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"1"&lt;Ok&gt;/EnumVal&gt;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"2"&lt;Warning&gt;/EnumVal&gt;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"3"&lt;Alarm&gt;/EnumVal&gt;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"Mod"&gt;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"1"&lt;on&gt;/EnumVal&gt;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"3"&lt;test&gt;/EnumVal&gt;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"4"&lt;test/blocked&gt;/EnumVal&gt;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"5"&lt;off</w:t>
            </w:r>
            <w:r w:rsidRPr="00E07CB1">
              <w:rPr>
                <w:rFonts w:eastAsia="Calibri"/>
                <w:bCs/>
                <w:szCs w:val="22"/>
              </w:rPr>
              <w: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"angid"&gt;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"0"&lt;Va&gt;/EnumVal&gt;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"1"&lt;Vb&gt;/EnumVal&gt;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"2"&lt;Vc&gt;/EnumVal&gt;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"3"&lt;Aa&gt;/EnumVal&gt;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"4"&lt;Ab&gt;/EnumVal&gt;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"5"&lt;Ac&gt;/EnumVal&gt;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"6"&lt;Vab&gt;/EnumVal&gt;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"7"&lt;Vbc&gt;/EnumVal&gt;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"8"&lt;Vca&gt;/EnumVal&gt;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&lt;EnumVal ord = "9"&lt;Vother&gt;/EnumVal&gt;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"10"&lt;Aother&gt;/EnumVal&gt;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w:t>
            </w:r>
            <w:r>
              <w:rPr>
                <w:rFonts w:eastAsia="Calibri"/>
                <w:bCs/>
                <w:szCs w:val="22"/>
              </w:rPr>
              <w:t>numVal ord = "11"&lt;Synchrophasor</w:t>
            </w:r>
            <w:r>
              <w:rPr>
                <w:rFonts w:eastAsia="Calibri"/>
                <w:bCs/>
                <w:szCs w:val="22"/>
                <w:lang w:val="en-US"/>
              </w:rPr>
              <w:t>&lt;</w:t>
            </w:r>
            <w:r w:rsidRPr="00E07CB1">
              <w:rPr>
                <w:rFonts w:eastAsia="Calibri"/>
                <w:bCs/>
                <w:szCs w:val="22"/>
              </w:rPr>
              <w: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&lt;/DataTypeTemplates&gt;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&lt;/SCL&gt;</w:t>
            </w:r>
          </w:p>
          <w:p w:rsidR="00E07CB1" w:rsidRPr="00E07CB1" w:rsidRDefault="00E07CB1" w:rsidP="00E07CB1">
            <w:pPr>
              <w:ind w:left="0" w:firstLine="0"/>
              <w:rPr>
                <w:rFonts w:eastAsia="Calibri"/>
                <w:bCs/>
                <w:szCs w:val="22"/>
              </w:rPr>
            </w:pPr>
            <w:r w:rsidRPr="00E07CB1">
              <w:rPr>
                <w:rFonts w:eastAsia="Calibri"/>
                <w:bCs/>
                <w:szCs w:val="22"/>
              </w:rPr>
              <w:t>,,</w:t>
            </w:r>
          </w:p>
        </w:tc>
      </w:tr>
    </w:tbl>
    <w:p w:rsidR="00474E8E" w:rsidRDefault="00474E8E" w:rsidP="00CD1812">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E07CB1" w:rsidTr="00E07CB1">
        <w:tc>
          <w:tcPr>
            <w:tcW w:w="4672" w:type="dxa"/>
          </w:tcPr>
          <w:p w:rsidR="00E07CB1" w:rsidRPr="00E07CB1" w:rsidRDefault="00E07CB1" w:rsidP="00E07CB1">
            <w:pPr>
              <w:tabs>
                <w:tab w:val="left" w:pos="0"/>
              </w:tabs>
              <w:ind w:left="0" w:firstLine="0"/>
              <w:rPr>
                <w:rFonts w:eastAsia="Calibri"/>
                <w:b/>
                <w:bCs/>
                <w:szCs w:val="22"/>
              </w:rPr>
            </w:pPr>
            <w:r w:rsidRPr="00E07CB1">
              <w:rPr>
                <w:rFonts w:eastAsia="Calibri"/>
                <w:b/>
                <w:bCs/>
                <w:szCs w:val="22"/>
              </w:rPr>
              <w:t>B.1 PDC мэдээлэл дамжуулах жишээ</w:t>
            </w:r>
          </w:p>
          <w:p w:rsidR="00E07CB1" w:rsidRPr="00E07CB1" w:rsidRDefault="00E07CB1" w:rsidP="00E07CB1">
            <w:pPr>
              <w:tabs>
                <w:tab w:val="left" w:pos="0"/>
              </w:tabs>
              <w:ind w:left="0" w:firstLine="0"/>
              <w:rPr>
                <w:rFonts w:eastAsia="Calibri"/>
                <w:bCs/>
                <w:szCs w:val="22"/>
              </w:rPr>
            </w:pPr>
            <w:r w:rsidRPr="00E07CB1">
              <w:rPr>
                <w:rFonts w:eastAsia="Calibri"/>
                <w:bCs/>
                <w:szCs w:val="22"/>
              </w:rPr>
              <w:t>Энэ жишээ SCD файл нь IED AA1TH1 бүхий Зураг 18-ийн төв төслийг AA1F1 ба AA10F1-д PDC болгон тодорхойлдог. Синхрофазорын өгөгдөл нь гаргалага AA1D1Q1-т хамаарахба нэг шугамыг Зураг A.1-д харуулав. Эндээс харахад AA1TH1-ийн IID файл ямар харагдахыг харахад хялбар болно (ердөө AA10KA1 ба түүнтэй холбоотой бүх тайлбарыгхасна уу).</w:t>
            </w:r>
          </w:p>
          <w:p w:rsidR="00E07CB1" w:rsidRPr="00E07CB1" w:rsidRDefault="00E07CB1" w:rsidP="00E07CB1">
            <w:pPr>
              <w:tabs>
                <w:tab w:val="left" w:pos="0"/>
              </w:tabs>
              <w:ind w:left="0" w:firstLine="0"/>
              <w:rPr>
                <w:rFonts w:eastAsia="Calibri"/>
                <w:bCs/>
                <w:szCs w:val="22"/>
              </w:rPr>
            </w:pPr>
            <w:r w:rsidRPr="00E07CB1">
              <w:rPr>
                <w:rFonts w:eastAsia="Calibri"/>
                <w:bCs/>
                <w:szCs w:val="22"/>
              </w:rPr>
              <w:t>&lt;xml version="1.0"&gt;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&lt;SCL</w:t>
            </w:r>
            <w:r w:rsidRPr="00E07CB1">
              <w:rPr>
                <w:rFonts w:eastAsia="Calibri"/>
                <w:bCs/>
                <w:szCs w:val="22"/>
              </w:rPr>
              <w:tab/>
              <w:t>xmlns:sxy</w:t>
            </w:r>
            <w:r w:rsidRPr="00E07CB1">
              <w:rPr>
                <w:rFonts w:eastAsia="Calibri"/>
                <w:bCs/>
                <w:szCs w:val="22"/>
              </w:rPr>
              <w:tab/>
              <w:t>=</w:t>
            </w:r>
            <w:r w:rsidRPr="00E07CB1">
              <w:rPr>
                <w:rFonts w:eastAsia="Calibri"/>
                <w:bCs/>
                <w:szCs w:val="22"/>
              </w:rPr>
              <w:tab/>
              <w:t>"</w:t>
            </w:r>
            <w:hyperlink r:id="rId111">
              <w:r w:rsidRPr="00E07CB1">
                <w:rPr>
                  <w:rFonts w:eastAsia="Calibri"/>
                  <w:bCs/>
                  <w:szCs w:val="22"/>
                </w:rPr>
                <w:t>http://www.iec.ch/61850/2003/SCLcoordinates</w:t>
              </w:r>
            </w:hyperlink>
            <w:r w:rsidRPr="00E07CB1">
              <w:rPr>
                <w:rFonts w:eastAsia="Calibri"/>
                <w:bCs/>
                <w:szCs w:val="22"/>
              </w:rPr>
              <w:t>"</w:t>
            </w:r>
            <w:r w:rsidRPr="00E07CB1">
              <w:rPr>
                <w:rFonts w:eastAsia="Calibri"/>
                <w:bCs/>
                <w:szCs w:val="22"/>
              </w:rPr>
              <w:tab/>
              <w:t>xmlns:xsi</w:t>
            </w:r>
            <w:r w:rsidRPr="00E07CB1">
              <w:rPr>
                <w:rFonts w:eastAsia="Calibri"/>
                <w:bCs/>
                <w:szCs w:val="22"/>
              </w:rPr>
              <w:tab/>
              <w:t>= "</w:t>
            </w:r>
            <w:hyperlink r:id="rId112">
              <w:r w:rsidRPr="00E07CB1">
                <w:rPr>
                  <w:rFonts w:eastAsia="Calibri"/>
                  <w:bCs/>
                  <w:szCs w:val="22"/>
                </w:rPr>
                <w:t>http://www.w3.org/2001/XMLSchema-instance"</w:t>
              </w:r>
            </w:hyperlink>
            <w:r w:rsidRPr="00E07CB1">
              <w:rPr>
                <w:rFonts w:eastAsia="Calibri"/>
                <w:bCs/>
                <w:szCs w:val="22"/>
              </w:rPr>
              <w:tab/>
              <w:t>xsi:schemaLocation</w:t>
            </w:r>
            <w:r w:rsidRPr="00E07CB1">
              <w:rPr>
                <w:rFonts w:eastAsia="Calibri"/>
                <w:bCs/>
                <w:szCs w:val="22"/>
              </w:rPr>
              <w:tab/>
            </w:r>
            <w:r w:rsidRPr="00E07CB1">
              <w:rPr>
                <w:rFonts w:eastAsia="Calibri"/>
                <w:bCs/>
                <w:szCs w:val="22"/>
              </w:rPr>
              <w:tab/>
              <w:t>= "http://www.iec.ch/61850/2003/SCL;C:\Data\data\IECTC57\SCL-XML\Schema2007\SCL2.0\SCL.xsd" xmlns = "</w:t>
            </w:r>
            <w:hyperlink r:id="rId113">
              <w:r w:rsidRPr="00E07CB1">
                <w:rPr>
                  <w:rFonts w:eastAsia="Calibri"/>
                  <w:bCs/>
                  <w:szCs w:val="22"/>
                </w:rPr>
                <w:t>http://www.iec.ch/61850/2003/SCL"</w:t>
              </w:r>
            </w:hyperlink>
            <w:r w:rsidRPr="00E07CB1">
              <w:rPr>
                <w:rFonts w:eastAsia="Calibri"/>
                <w:bCs/>
                <w:szCs w:val="22"/>
              </w:rPr>
              <w: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&lt;Header id = "SynchroPhasor AA1 SED" toolID = "SSI-Tool" nameStructure = "IEDName"/&gt;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&lt;Substation name = "AA1" desc = "Substation".&gt;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&lt;VoltageLevel name = "D1" desc = "Voltage Level"&gt;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 name = "Q1" desc = "Bay" sxy:x = "55" sxy:y = "62"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"MMXU" lnInst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"BI1" desc = "Current Transformer" type = "CTR"  sxy:x =  "8"  sxy:y =  "15" sxy:dir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"TCTR" lnInst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"AA1D1Q1N2" connectivityNode = "AA1/D1/Q1/N2" substationName = "AA1" voltageLevelName = "D1" bayName = "Q1" cNodeName ="N2"/&gt;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"AA1D1Q1N3" connectivityNode = "AA1/D1/Q1/N3" substationName = "AA1" voltageLevelName = "D1" bayName = "Q1" cNodeName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"QC2" desc = "Isolator" type = "DIS" sxy:x = "10" sxy:y = "21"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"AA1D1Q1N6" connectivityNode = "AA1/D1/Q1/N6" substationName = "AA1" voltageLevelName = "D1" bayName = "Q1" cNodeName = "N6"/&gt;</w:t>
            </w:r>
          </w:p>
          <w:p w:rsidR="00E07CB1" w:rsidRPr="00E07CB1" w:rsidRDefault="00E07CB1" w:rsidP="00E07CB1">
            <w:pPr>
              <w:tabs>
                <w:tab w:val="left" w:pos="0"/>
              </w:tabs>
              <w:ind w:left="0" w:firstLine="0"/>
              <w:rPr>
                <w:rFonts w:eastAsia="Calibri"/>
                <w:bCs/>
                <w:szCs w:val="22"/>
              </w:rPr>
            </w:pPr>
            <w:r w:rsidRPr="00E07CB1">
              <w:rPr>
                <w:rFonts w:eastAsia="Calibri"/>
                <w:bCs/>
                <w:szCs w:val="22"/>
              </w:rPr>
              <w: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"BU2" desc = "Voltage Transformer 3Phase" type = "VTR" sxy:x = "12" sxy:y</w:t>
            </w:r>
          </w:p>
          <w:p w:rsidR="00E07CB1" w:rsidRPr="00E07CB1" w:rsidRDefault="00E07CB1" w:rsidP="00E07CB1">
            <w:pPr>
              <w:tabs>
                <w:tab w:val="left" w:pos="0"/>
              </w:tabs>
              <w:ind w:left="0" w:firstLine="0"/>
              <w:rPr>
                <w:rFonts w:eastAsia="Calibri"/>
                <w:bCs/>
                <w:szCs w:val="22"/>
              </w:rPr>
            </w:pPr>
            <w:r w:rsidRPr="00E07CB1">
              <w:rPr>
                <w:rFonts w:eastAsia="Calibri"/>
                <w:bCs/>
                <w:szCs w:val="22"/>
              </w:rPr>
              <w:t>= "14"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"TVTR" lnInst = "1"/&gt;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&lt;Terminal name = "AA1D1Q1N3" connectivityNode = "AA1/D1/Q1/N3" substationName = "AA1" voltageLevelName = "D1" bayName = "Q1" cNodeName =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"QB2" desc = "Isolator" type = "DIS" sxy:x = "12" sxy:y =  "4"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"AA1D1QBBN4" connectivityNode = "AA1/D1/QBB/N4" substationName = "AA1" voltageLevelName = "D1" bayName = "QBB" cNodeName =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"QC1" desc = "Isolator" type = "DIS" sxy:x = "10" sxy:y =  "8"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"BI3" desc = "Current Transformer" type = "CTR"  sxy:x =  "8"  sxy:y =  "19" sxy:dir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&lt;Terminalname=”AA1D1Q1N5” connectivityMode = AA1/D1/Q1/N6”substataionName=”AA1” voltageLevelName=D1”bavName=”Q1” cNooeName=”N6”/&gt;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&lt;Terminal name = "AA1D1Q1N4" connectivityNode = "AA1/D1/Q1/N4" substationName = "AA1" voltageLevelName = "D1" bayName = "Q1" cNodeName =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"QA1" desc = "Circuit Breaker" type = "CBR" sxy:x = "8" sxy:y = "11"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"AA1D1Q1N3" connectivityNode = "AA1/D1/Q1/N3" substationName = "AA1" voltageLevelName = "D1" bayName = "Q1" cNodeName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"AA1D1Q1N5" connectivityNode = "AA1/D1/Q1/N5" substationName = "AA1" voltageLevelName = "D1" bayName = "Q1" cNodeName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"BI2" desc = "Current Transformer" type = "CTR"  sxy:x =  "8"  sxy:y =  "17" sxy:dir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"AA1D1Q1N2" connectivityNode = "AA1/D1/Q1/N2" substationName = "AA1" voltageLevelName = "D1" bayName = "Q1" cNodeName ="N2"/&gt;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"AA1D1Q1N4" connectivityNode = "AA1/D1/Q1/N4" substationName = "AA1" voltageLevelName = "D1" bayName = "Q1" cNodeName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"QB1" desc = "Isolator" type = "DIS" sxy:x  =  "6"  sxy:y  =  "4"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&lt;Terminal name = "AA1D1QBBN1" connectivityNode = "AA1/D1/QBB/N1" substationName = "AA1" voltageLevelName = "D1" bayName = "QBB" cNodeName = "N1"/&gt;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"QB4" desc = "Isolator" type = "DIS" sxy:x = "8" sxy:y =  "23"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"AA1D1Q1N1" connectivityNode = "AA1/D1/Q1/N1" substationName = "AA1" voltageLevelName = "D1" bayName = "Q1" cNodeName ="N1"/&gt;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"AA1D1Q1N6" connectivityNode = "AA1/D1/Q1/N6" substationName = "AA1" voltageLevelName = "D1" bayName = "Q1" cNodeName ="N6"/&gt;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"QC3" desc = "Isolator" type = "DIS" sxy:x = "10" sxy:y = "35"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"AA1D1Q1N1" connectivityNode = "AA1/D1/Q1/N1" substationName = "AA1" voltageLevelName = "D1" bayName = "Q1" cNodeName = "N1"/&gt;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"N1" pathName =  "AA1/D1/Q1/N1" sxy:x =  "8" sxy:y = "31"/&gt;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"N2" pathName =  "AA1/D1/Q1/N2" sxy:x =  "8" sxy:y = "16"/&gt;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"N3" pathName =  "AA1/D1/Q1/N3" sxy:x =  "9" sxy:y = "13"/&gt;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&lt;ConnectivityNode name =  "N6" pathName =  "AA1/D1/Q1/N6" sxy:x =  "8" sxy:y = "21"/&gt;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"N5" pathName = "AA1/D1/Q1/N5" sxy:x = "9" sxy:y = "6"/&gt;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"N4" pathName = "AA1/D1/Q1/N4" sxy:x = "8" sxy:y = "18"/&gt;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 name = "QBB" desc = "Bay" sxy:x = "63" sxy:y = "36"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"N3" pathName =  "AA1/D1/QBB/N3" sxy:x =  "48" sxy:y = "12"/&gt;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"N2" pathName =  "AA1/D1/QBB/N2" sxy:x =  "47" sxy:y = "17"/&gt;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"N4" pathName =  "AA1/D1/QBB/N4" sxy:x =  "25" sxy:y = "18"/&gt;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"N1" pathName =  "AA1/D1/QBB/N1" sxy:x =  "22" sxy:y = "20"/&gt;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&lt;/VoltageLevel&gt;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&lt;/Substation&gt;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&lt;Communication&gt;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&lt;SubNetwork name = "AA1WA1" desc = "IEC61850 through both stations" type = "8-MMS"&gt;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 iedName = "AA1OPC1" apName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"SA"&lt;0&gt;/P&gt;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"IP"&lt;172.16.0.100&gt;/P&gt;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"IP-SUBNET"&lt;255.255.0.0&gt;/P&gt;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"OSI-AP-Title"&lt;1,3,9999,23&gt;/P&gt;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"OSI-AE-Qualifier"&lt;23&gt;/P&gt;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"OSI-TSEL"&lt;0001&gt;/P&gt;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"OSI-PSEL"&lt;00000001&gt;/P&gt;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"OSI-SSEL"&lt;0001&gt;/P&gt;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 iedName = "AA1FP1" apName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"SA"&lt;0&gt;/P&gt;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P type = "IP"&lt;172.16.1.3&gt;/P&gt;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&lt;Ptype="IP-SUBNET"&gt;255.</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"OSI-AP-Title"&lt;1,3,9999,23&gt;/P&gt;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"OSI-AE-Qualifier"&lt;23&gt;/P&gt;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"OSI-TSEL"&lt;0001&gt;/P&gt;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"OSI-PSEL"&lt;00000001&gt;/P&gt;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"OSI-SSEL"&lt;0001&gt;/P&gt;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 desc = "Phasor SVCB" ldInst = "PMU" cbName = "SyPh_SVCB1"&gt;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type="VLAN-ID"&lt;004&gt;/P&gt;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type="VLAN-PRIORITY"&lt;4&gt;/P&gt;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type="APPID"&lt;3001&gt;/P&gt;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"IP"&lt;172.16.0.100&gt;/P&gt;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"IP-SUBNET"&lt;255.255.0.0&gt;/P&gt;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&lt;/SubNetwork&gt;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&lt;/Communication&gt;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 name = "AA1OPC1" desc = "OPC Server" type = "OPCServer" manufacturer = "Whatever"  configVersion =  "1.0" engRight = "fix" owner ="AA1"&gt;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 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"IHMI" lnType = "IHMI_OPCServer_IEC61850"/&gt;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 name = "AA1FP1" type = "PMU" manufacturer = "Whatever" configVersion = "1.0" engRight = "dataflow" owner = "AA1"&gt;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&lt;Services&gt;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&lt;DynAssociation/&gt;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&lt;SettingGroups&gt;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&lt;SGEdit/&gt;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&lt;/SettingGroups&gt;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&lt;GetDirectory/&gt;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&lt;GetDataObjectDefinition/&gt;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&lt;DataObjectDirectory/&gt;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&lt;GetDataSetValue/&gt;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&lt;ConfDataSet max = "50" maxAttributes = "240"/&gt;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&lt;ReadWrite/&gt;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&lt;ConfReportControl max = "100"/&gt;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&lt;GetCBValues/&gt;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&lt;ReportSettings datSet = "Conf" rptID = "Dyn" optFields = "Dyn" bufTime = "Dyn"  trgOps  =  "Dyn"  intgPd = "Dyn"/&gt;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&lt;SMVSettings datSet = "Conf"/&gt;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&lt;/Services&gt;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 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&lt;Server&gt;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&lt;Authentication none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&lt;LDevice inst = "PMU"&gt;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&lt;LN0 inst = "" lnClass = "LLN0" lnType = "LLN0_RELx_IEC61850"&gt;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 name = "PMUdata"&gt;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"A.phsA"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"A.phsB"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"A.phsC"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"LPHD" lnInst = "1" doName = "PhyHealth"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 name = "StatUrgentA" desc = "Status Data used to update process pictures and to generate alarms."&gt;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&lt;FCDA ldInst = "PMU" prefix = "" lnClass = "LPHD" lnInst = "1" doName = "PhyHealth"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"TVTR" lnInst = "1" doName = "FuFail"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"LLN0" doName = "Mod"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&lt;ReportControl name = "rcb_A" datSet = "StatUrgentA" confRev = "2" bufTime = "100" buffered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&lt;TrgOps dchg = "true" qchg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&lt;OptFields/&gt;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&lt;RptEnabled max = "5"&gt;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&lt;ClientLN iedName = "AA1OPC1" ldInst = "none" lnInst = "1" lnClass = "IHMI"/&gt;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&lt;/RptEnabled&gt;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&lt;/ReportControl&gt;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&lt;SampledValueControl name = "SyPh_SVCB1" desc = "Phasor SVCB" datSet = "PMUdata" confRev = "1" smvID = "MyPhasors AA1" smpRate = "2" nofASDU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&lt;Protocol mustUnderstand=”true”&lt;R-SV&gt;/Protocol&gt;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&lt;SmvOpts</w:t>
            </w:r>
            <w:r w:rsidRPr="00E07CB1">
              <w:rPr>
                <w:rFonts w:eastAsia="Calibri"/>
                <w:bCs/>
                <w:szCs w:val="22"/>
              </w:rPr>
              <w:tab/>
              <w:t>refreshTime</w:t>
            </w:r>
            <w:r w:rsidRPr="00E07CB1">
              <w:rPr>
                <w:rFonts w:eastAsia="Calibri"/>
                <w:bCs/>
                <w:szCs w:val="22"/>
              </w:rPr>
              <w:tab/>
              <w:t>=</w:t>
            </w:r>
            <w:r w:rsidRPr="00E07CB1">
              <w:rPr>
                <w:rFonts w:eastAsia="Calibri"/>
                <w:bCs/>
                <w:szCs w:val="22"/>
              </w:rPr>
              <w:tab/>
              <w:t>"true"</w:t>
            </w:r>
            <w:r w:rsidRPr="00E07CB1">
              <w:rPr>
                <w:rFonts w:eastAsia="Calibri"/>
                <w:bCs/>
                <w:szCs w:val="22"/>
              </w:rPr>
              <w:tab/>
              <w:t>sampleRate</w:t>
            </w:r>
            <w:r w:rsidRPr="00E07CB1">
              <w:rPr>
                <w:rFonts w:eastAsia="Calibri"/>
                <w:bCs/>
                <w:szCs w:val="22"/>
              </w:rPr>
              <w:tab/>
              <w:t>=</w:t>
            </w:r>
            <w:r w:rsidRPr="00E07CB1">
              <w:rPr>
                <w:rFonts w:eastAsia="Calibri"/>
                <w:bCs/>
                <w:szCs w:val="22"/>
              </w:rPr>
              <w:tab/>
              <w:t>"true"/</w:t>
            </w: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&lt;IEDName&lt;AA1OPC1&lt;/IEDName&gt;&gt;!-- the destination IED --&gt;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&lt;/SampledValueControl&gt;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"LPHD" lnType = "Physical Device_RELx_IEC61850"/&gt;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"TCTR" lnType = "CT_RELx_IEC61850"/&gt;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"TVTR" lnType = "VT_RELx_IEC61850"/</w:t>
            </w: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desc = "Synchrophasor measurements" lnClass = "MMXU" lnType = "Syph_RELx_IEC61850"&gt;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 name = "PhV"&gt;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"phsA"&gt;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"phsB"&gt;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"phsC"&gt;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&lt;/SDI&gt;&lt;/DOO&gt;</w:t>
            </w:r>
          </w:p>
          <w:p w:rsidR="00E07CB1" w:rsidRPr="00E07CB1" w:rsidRDefault="00E07CB1" w:rsidP="00E07CB1">
            <w:pPr>
              <w:tabs>
                <w:tab w:val="left" w:pos="0"/>
              </w:tabs>
              <w:ind w:left="0" w:firstLine="0"/>
              <w:rPr>
                <w:rFonts w:eastAsia="Calibri"/>
                <w:bCs/>
                <w:szCs w:val="22"/>
              </w:rPr>
            </w:pPr>
          </w:p>
          <w:p w:rsidR="00E07CB1" w:rsidRPr="00E07CB1" w:rsidRDefault="00E07CB1" w:rsidP="00E07CB1">
            <w:pPr>
              <w:tabs>
                <w:tab w:val="left" w:pos="0"/>
              </w:tabs>
              <w:ind w:left="0" w:firstLine="0"/>
              <w:rPr>
                <w:rFonts w:eastAsia="Calibri"/>
                <w:bCs/>
                <w:szCs w:val="22"/>
              </w:rPr>
            </w:pPr>
            <w:r w:rsidRPr="00E07CB1">
              <w:rPr>
                <w:rFonts w:eastAsia="Calibri"/>
                <w:bCs/>
                <w:szCs w:val="22"/>
              </w:rPr>
              <w:t>&lt;DOI name = "A"&gt;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"phsB"&gt;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"phsC"&gt;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&lt;/SDI&gt;&lt;/DOI&gt;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&lt;/LDevice&gt;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&lt;/Server&gt;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&lt;DataTypeTemplates&gt;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"Syph_RELx_IEC61850" lnClass = "MMXU"&gt;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"tcLPL_RECx_IEC61850"/в&gt;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"PhV" desc = "Voltage phasors" type = "tcSyphWYE"/&gt;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"A" desc = "Current phasors" type = "tcSyphWYE"/&gt;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"CT_RELx_IEC61850" lnClass = "TCTR"&gt;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"VT_RELx_IEC61850" lnClass = "TVTR"&gt;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"FuFail" desc = "VT supply failure (MCB)" type = "tcSPS_RECx_IEC61850"/ &gt;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"Physical Device_RELx_IEC61850" lnClass = "LPHD"&gt;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&lt;DO name = "PhyHealth" desc = "Relay ready" type = "tcHealth_RELx_IEC61850"/&gt;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"Proxy" type = "tcSPS_RELx_IEC61850"/&gt;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 id = "ABB_aWYECMV" cdc = "CMV"&gt;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"cVal" fc = "MX" dchg = "true" bType = "Struct" type = "ABB_aVector"/&gt;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"q" fc = "MX" qchg = "true" bType = "Quality"/&gt;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"t" fc = "MX" bType = "Timestamp"/&gt;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"angRef" fc = "CF" bType = "Enum" type = "angid"/&gt;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 id = "tcSyphWYE" cdc = "WYE"&gt;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"phsA" type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"phsB" type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"phsC" type =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 id = "ABB_aVector"&gt;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"mag" bType = "Struct" type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"ang" bType = "Struct" type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 id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"f" bType = "FLOAT32"/&gt;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"ctlModel"&gt;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"0"&lt;status-only&gt;/EnumVal&gt;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"1"&lt;direct-with-normal-security&gt;/EnumVal&gt;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"2"&lt;sbo-with-normal-security&gt;/EnumVal&gt;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&lt;EnumVal ord = "3"&lt;direct-with-enhanced-security&gt;/EnumVal&gt;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"4"&lt;sbo-with-enhanced-security&gt;/EnumVal&gt;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"Beh"&gt;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"1"&lt;on&gt;/EnumVal&gt;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"3"&lt;test&gt;/EnumVal&gt;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"4"&lt;test/blocked&gt;/EnumVal&gt;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"5"&lt;off&gt;/EnumVal&gt;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"Health"&gt;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"1"&lt;Ok&gt;/EnumVal&gt;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"2"&lt;Warning&gt;/EnumVal&gt;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"3"&lt;Alarm&gt;/EnumVal&gt;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"Mod"&gt;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"1"&lt;on&gt;/EnumVal&gt;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"3"&lt;test&gt;/EnumVal&gt;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"4"&lt;test/blocked&gt;/EnumVal&gt;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"5"&lt;off</w:t>
            </w:r>
            <w:r w:rsidRPr="00E07CB1">
              <w:rPr>
                <w:rFonts w:eastAsia="Calibri"/>
                <w:bCs/>
                <w:szCs w:val="22"/>
              </w:rPr>
              <w: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"angid"&gt;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"0"&lt;Va&gt;/EnumVal&gt;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"1"&lt;Vb&gt;/EnumVal&gt;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"2"&lt;Vc&gt;/EnumVal&gt;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"3"&lt;Aa&gt;/EnumVal&gt;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"4"&lt;Ab&gt;/EnumVal&gt;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"5"&lt;Ac&gt;/EnumVal&gt;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"6"&lt;Vab&gt;/EnumVal&gt;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"7"&lt;Vbc&gt;/EnumVal&gt;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"8"&lt;Vca&gt;/EnumVal&gt;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"9"&lt;Vother&gt;/EnumVal&gt;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"10"&lt;Aother&gt;/EnumVal&gt;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"11"&lt;Synchrophasor</w:t>
            </w:r>
            <w:r w:rsidRPr="00E07CB1">
              <w:rPr>
                <w:rFonts w:eastAsia="Calibri"/>
                <w:bCs/>
                <w:szCs w:val="22"/>
              </w:rPr>
              <w: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&lt;/DataTypeTemplates&gt;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&lt;/SCL&gt;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tc>
        <w:tc>
          <w:tcPr>
            <w:tcW w:w="4672" w:type="dxa"/>
          </w:tcPr>
          <w:p w:rsidR="00E07CB1" w:rsidRPr="00E07CB1" w:rsidRDefault="00E07CB1" w:rsidP="00E07CB1">
            <w:pPr>
              <w:tabs>
                <w:tab w:val="left" w:pos="0"/>
              </w:tabs>
              <w:ind w:left="0" w:firstLine="0"/>
              <w:rPr>
                <w:rFonts w:eastAsia="Calibri"/>
                <w:b/>
                <w:bCs/>
                <w:szCs w:val="22"/>
              </w:rPr>
            </w:pPr>
            <w:r w:rsidRPr="00E07CB1">
              <w:rPr>
                <w:rFonts w:eastAsia="Calibri"/>
                <w:b/>
                <w:bCs/>
                <w:szCs w:val="22"/>
                <w:lang w:val="en-US"/>
              </w:rPr>
              <w:lastRenderedPageBreak/>
              <w:t xml:space="preserve">B.1 </w:t>
            </w:r>
            <w:r w:rsidRPr="00E07CB1">
              <w:rPr>
                <w:rFonts w:eastAsia="Calibri"/>
                <w:b/>
                <w:bCs/>
                <w:szCs w:val="22"/>
              </w:rPr>
              <w:t>PDC communication example</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This example SCD file describes the center project of </w:t>
            </w:r>
            <w:hyperlink w:anchor="_bookmark22" w:history="1">
              <w:r w:rsidRPr="00E07CB1">
                <w:rPr>
                  <w:rFonts w:eastAsia="Calibri"/>
                  <w:bCs/>
                  <w:szCs w:val="22"/>
                </w:rPr>
                <w:t xml:space="preserve">Figure 18 </w:t>
              </w:r>
            </w:hyperlink>
            <w:r w:rsidRPr="00E07CB1">
              <w:rPr>
                <w:rFonts w:eastAsia="Calibri"/>
                <w:bCs/>
                <w:szCs w:val="22"/>
              </w:rPr>
              <w:t xml:space="preserve">with IED AA1TH1 as PDC for AA1F1 and AA10F1. The synchrphasor data belongs to bay AA1D1Q1, whose single line is shown in </w:t>
            </w:r>
            <w:hyperlink w:anchor="_bookmark86" w:history="1">
              <w:r w:rsidRPr="00E07CB1">
                <w:rPr>
                  <w:rFonts w:eastAsia="Calibri"/>
                  <w:bCs/>
                  <w:szCs w:val="22"/>
                </w:rPr>
                <w:t>Figure A.1.</w:t>
              </w:r>
            </w:hyperlink>
            <w:r w:rsidRPr="00E07CB1">
              <w:rPr>
                <w:rFonts w:eastAsia="Calibri"/>
                <w:bCs/>
                <w:szCs w:val="22"/>
              </w:rPr>
              <w:t xml:space="preserve"> From this, it is easily seen how the IID file for AA1TH1 would look like  (just remove AA10KA1 and all references to it).</w:t>
            </w:r>
          </w:p>
          <w:p w:rsidR="00E07CB1" w:rsidRPr="00E07CB1" w:rsidRDefault="00E07CB1" w:rsidP="00E07CB1">
            <w:pPr>
              <w:tabs>
                <w:tab w:val="left" w:pos="0"/>
              </w:tabs>
              <w:ind w:left="0" w:firstLine="0"/>
              <w:rPr>
                <w:rFonts w:eastAsia="Calibri"/>
                <w:bCs/>
                <w:szCs w:val="22"/>
              </w:rPr>
            </w:pPr>
            <w:r w:rsidRPr="00E07CB1">
              <w:rPr>
                <w:rFonts w:eastAsia="Calibri"/>
                <w:bCs/>
                <w:szCs w:val="22"/>
              </w:rPr>
              <w:t>&lt;xml version="1.0"&gt;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&lt;SCL</w:t>
            </w:r>
            <w:r w:rsidRPr="00E07CB1">
              <w:rPr>
                <w:rFonts w:eastAsia="Calibri"/>
                <w:bCs/>
                <w:szCs w:val="22"/>
              </w:rPr>
              <w:tab/>
              <w:t>xmlns:sxy</w:t>
            </w:r>
            <w:r w:rsidRPr="00E07CB1">
              <w:rPr>
                <w:rFonts w:eastAsia="Calibri"/>
                <w:bCs/>
                <w:szCs w:val="22"/>
              </w:rPr>
              <w:tab/>
              <w:t>=</w:t>
            </w:r>
            <w:r w:rsidRPr="00E07CB1">
              <w:rPr>
                <w:rFonts w:eastAsia="Calibri"/>
                <w:bCs/>
                <w:szCs w:val="22"/>
              </w:rPr>
              <w:tab/>
              <w:t>"</w:t>
            </w:r>
            <w:hyperlink r:id="rId114">
              <w:r w:rsidRPr="00E07CB1">
                <w:rPr>
                  <w:rFonts w:eastAsia="Calibri"/>
                  <w:bCs/>
                  <w:szCs w:val="22"/>
                </w:rPr>
                <w:t>http://www.iec.ch/61850/2003/SCLcoordinates</w:t>
              </w:r>
            </w:hyperlink>
            <w:r w:rsidRPr="00E07CB1">
              <w:rPr>
                <w:rFonts w:eastAsia="Calibri"/>
                <w:bCs/>
                <w:szCs w:val="22"/>
              </w:rPr>
              <w:t>"</w:t>
            </w:r>
            <w:r w:rsidRPr="00E07CB1">
              <w:rPr>
                <w:rFonts w:eastAsia="Calibri"/>
                <w:bCs/>
                <w:szCs w:val="22"/>
              </w:rPr>
              <w:tab/>
              <w:t>xmlns:xsi</w:t>
            </w:r>
            <w:r w:rsidRPr="00E07CB1">
              <w:rPr>
                <w:rFonts w:eastAsia="Calibri"/>
                <w:bCs/>
                <w:szCs w:val="22"/>
              </w:rPr>
              <w:tab/>
              <w:t>= "</w:t>
            </w:r>
            <w:hyperlink r:id="rId115">
              <w:r w:rsidRPr="00E07CB1">
                <w:rPr>
                  <w:rFonts w:eastAsia="Calibri"/>
                  <w:bCs/>
                  <w:szCs w:val="22"/>
                </w:rPr>
                <w:t>http://www.w3.org/2001/XMLSchema-instance"</w:t>
              </w:r>
            </w:hyperlink>
            <w:r w:rsidRPr="00E07CB1">
              <w:rPr>
                <w:rFonts w:eastAsia="Calibri"/>
                <w:bCs/>
                <w:szCs w:val="22"/>
              </w:rPr>
              <w:tab/>
              <w:t>xsi:schemaLocation</w:t>
            </w:r>
            <w:r w:rsidRPr="00E07CB1">
              <w:rPr>
                <w:rFonts w:eastAsia="Calibri"/>
                <w:bCs/>
                <w:szCs w:val="22"/>
              </w:rPr>
              <w:tab/>
            </w:r>
            <w:r w:rsidRPr="00E07CB1">
              <w:rPr>
                <w:rFonts w:eastAsia="Calibri"/>
                <w:bCs/>
                <w:szCs w:val="22"/>
              </w:rPr>
              <w:tab/>
              <w:t>= "http://www.iec.ch/61850/2003/SCL;C:\Data\data\IECTC57\SCL-XML\Schema2007\SCL2.0\SCL.xsd" xmlns = "</w:t>
            </w:r>
            <w:hyperlink r:id="rId116">
              <w:r w:rsidRPr="00E07CB1">
                <w:rPr>
                  <w:rFonts w:eastAsia="Calibri"/>
                  <w:bCs/>
                  <w:szCs w:val="22"/>
                </w:rPr>
                <w:t>http://www.iec.ch/61850/2003/SCL"</w:t>
              </w:r>
            </w:hyperlink>
            <w:r w:rsidRPr="00E07CB1">
              <w:rPr>
                <w:rFonts w:eastAsia="Calibri"/>
                <w:bCs/>
                <w:szCs w:val="22"/>
              </w:rPr>
              <w: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&lt;Header id = "SynchroPhasor AA1 SED" toolID = "SSI-Tool" nameStructure = "IEDName"/&gt;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&lt;Substation name = "AA1" desc = "Substation".&gt;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&lt;VoltageLevel name = "D1" desc = "Voltage Level"&gt;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&lt;Bay name = "Q1" desc = "Bay" sxy:x = "55" sxy:y = "62"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"MMXU" lnInst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"BI1" desc = "Current Transformer" type = "CTR"  sxy:x =  "8"  sxy:y =  "15" sxy:dir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"TCTR" lnInst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"AA1D1Q1N2" connectivityNode = "AA1/D1/Q1/N2" substationName = "AA1" voltageLevelName = "D1" bayName = "Q1" cNodeName ="N2"/&gt;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"AA1D1Q1N3" connectivityNode = "AA1/D1/Q1/N3" substationName = "AA1" voltageLevelName = "D1" bayName = "Q1" cNodeName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"QC2" desc = "Isolator" type = "DIS" sxy:x = "10" sxy:y = "21"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"AA1D1Q1N6" connectivityNode = "AA1/D1/Q1/N6" substationName = "AA1" voltageLevelName = "D1" bayName = "Q1" cNodeName = "N6"/&gt;</w:t>
            </w:r>
          </w:p>
          <w:p w:rsidR="00E07CB1" w:rsidRPr="00E07CB1" w:rsidRDefault="00E07CB1" w:rsidP="00E07CB1">
            <w:pPr>
              <w:tabs>
                <w:tab w:val="left" w:pos="0"/>
              </w:tabs>
              <w:ind w:left="0" w:firstLine="0"/>
              <w:rPr>
                <w:rFonts w:eastAsia="Calibri"/>
                <w:bCs/>
                <w:szCs w:val="22"/>
              </w:rPr>
            </w:pPr>
            <w:r w:rsidRPr="00E07CB1">
              <w:rPr>
                <w:rFonts w:eastAsia="Calibri"/>
                <w:bCs/>
                <w:szCs w:val="22"/>
              </w:rPr>
              <w: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"BU2" desc = "Voltage Transformer 3Phase" type = "VTR" sxy:x = "12" sxy:y</w:t>
            </w:r>
          </w:p>
          <w:p w:rsidR="00E07CB1" w:rsidRPr="00E07CB1" w:rsidRDefault="00E07CB1" w:rsidP="00E07CB1">
            <w:pPr>
              <w:tabs>
                <w:tab w:val="left" w:pos="0"/>
              </w:tabs>
              <w:ind w:left="0" w:firstLine="0"/>
              <w:rPr>
                <w:rFonts w:eastAsia="Calibri"/>
                <w:bCs/>
                <w:szCs w:val="22"/>
              </w:rPr>
            </w:pPr>
            <w:r w:rsidRPr="00E07CB1">
              <w:rPr>
                <w:rFonts w:eastAsia="Calibri"/>
                <w:bCs/>
                <w:szCs w:val="22"/>
              </w:rPr>
              <w:t>= "14"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 iedName = "AA1FP1" ldInst = "PMU" lnClass = "TVTR" lnInst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&lt;Terminal name = "AA1D1Q1N3" connectivityNode = "AA1/D1/Q1/N3" </w:t>
            </w:r>
            <w:r w:rsidRPr="00E07CB1">
              <w:rPr>
                <w:rFonts w:eastAsia="Calibri"/>
                <w:bCs/>
                <w:szCs w:val="22"/>
              </w:rPr>
              <w:lastRenderedPageBreak/>
              <w:t>substationName = "AA1" voltageLevelName = "D1" bayName = "Q1" cNodeName =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"QB2" desc = "Isolator" type = "DIS" sxy:x = "12" sxy:y =  "4"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"AA1D1QBBN4" connectivityNode = "AA1/D1/QBB/N4" substationName = "AA1" voltageLevelName = "D1" bayName = "QBB" cNodeName =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"QC1" desc = "Isolator" type = "DIS" sxy:x = "10" sxy:y =  "8"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"BI3" desc = "Current Transformer" type = "CTR"  sxy:x =  "8"  sxy:y =  "19" sxy:dir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&lt;Terminalname=”AA1D1Q1N5” connectivityMode = AA1/D1/Q1/N6”substataionName=”AA1” voltageLevelName=D1”bavName=”Q1” cNooeName=”N6”/&gt;</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&lt;Terminal name = "AA1D1Q1N4" connectivityNode = "AA1/D1/Q1/N4" </w:t>
            </w:r>
            <w:r w:rsidRPr="00E07CB1">
              <w:rPr>
                <w:rFonts w:eastAsia="Calibri"/>
                <w:bCs/>
                <w:szCs w:val="22"/>
              </w:rPr>
              <w:lastRenderedPageBreak/>
              <w:t>substationName = "AA1" voltageLevelName = "D1" bayName = "Q1" cNodeName =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"QA1" desc = "Circuit Breaker" type = "CBR" sxy:x = "8" sxy:y = "11"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"AA1D1Q1N3" connectivityNode = "AA1/D1/Q1/N3" substationName = "AA1" voltageLevelName = "D1" bayName = "Q1" cNodeName ="N3"/&gt;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"AA1D1Q1N5" connectivityNode = "AA1/D1/Q1/N5" substationName = "AA1" voltageLevelName = "D1" bayName = "Q1" cNodeName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"BI2" desc = "Current Transformer" type = "CTR"  sxy:x =  "8"  sxy:y =  "17" sxy:dir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"AA1D1Q1N2" connectivityNode = "AA1/D1/Q1/N2" substationName = "AA1" voltageLevelName = "D1" bayName = "Q1" cNodeName ="N2"/&gt;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"AA1D1Q1N4" connectivityNode = "AA1/D1/Q1/N4" substationName = "AA1" voltageLevelName = "D1" bayName = "Q1" cNodeName ="N4"/&gt;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"QB1" desc = "Isolator" type = "DIS" sxy:x  =  "6"  sxy:y  =  "4"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"AA1D1Q1N5" connectivityNode = "AA1/D1/Q1/N5" substationName = "AA1" voltageLevelName = "D1" bayName = "Q1" cNodeName = "N5"/&gt;</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&lt;Terminal name = "AA1D1QBBN1" connectivityNode = "AA1/D1/QBB/N1" substationName = "AA1" </w:t>
            </w:r>
            <w:r w:rsidRPr="00E07CB1">
              <w:rPr>
                <w:rFonts w:eastAsia="Calibri"/>
                <w:bCs/>
                <w:szCs w:val="22"/>
              </w:rPr>
              <w:lastRenderedPageBreak/>
              <w:t>voltageLevelName = "D1" bayName = "QBB" cNodeName = "N1"/&gt;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"QB4" desc = "Isolator" type = "DIS" sxy:x = "8" sxy:y =  "23"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"AA1D1Q1N1" connectivityNode = "AA1/D1/Q1/N1" substationName = "AA1" voltageLevelName = "D1" bayName = "Q1" cNodeName ="N1"/&gt;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"AA1D1Q1N6" connectivityNode = "AA1/D1/Q1/N6" substationName = "AA1" voltageLevelName = "D1" bayName = "Q1" cNodeName ="N6"/&gt;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 name = "QC3" desc = "Isolator" type = "DIS" sxy:x = "10" sxy:y = "35"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"AA1D1Q1N1" connectivityNode = "AA1/D1/Q1/N1" substationName = "AA1" voltageLevelName = "D1" bayName = "Q1" cNodeName = "N1"/&gt;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&lt;Terminal name = "grounded" connectivityNode = "AA1/D1/Q1/grounded" substationName = "AA1" voltageLevelName = "D1" bayName = "Q1" cNodeName = "grounded"/&gt;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&lt;/ConductingEquipment&gt;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"N1" pathName =  "AA1/D1/Q1/N1" sxy:x =  "8" sxy:y = "31"/&gt;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"N2" pathName =  "AA1/D1/Q1/N2" sxy:x =  "8" sxy:y = "16"/&gt;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"N3" pathName =  "AA1/D1/Q1/N3" sxy:x =  "9" sxy:y = "13"/&gt;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"N6" pathName =  "AA1/D1/Q1/N6" sxy:x =  "8" sxy:y = "21"/&gt;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&lt;ConnectivityNode name = "N5" pathName = "AA1/D1/Q1/N5" sxy:x = "9" sxy:y = "6"/&gt;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"N4" pathName = "AA1/D1/Q1/N4" sxy:x = "8" sxy:y = "18"/&gt;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 name = "QBB" desc = "Bay" sxy:x = "63" sxy:y = "36" sxy:dir = "vertical"&gt;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"N3" pathName =  "AA1/D1/QBB/N3" sxy:x =  "48" sxy:y = "12"/&gt;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"N2" pathName =  "AA1/D1/QBB/N2" sxy:x =  "47" sxy:y = "17"/&gt;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"N4" pathName =  "AA1/D1/QBB/N4" sxy:x =  "25" sxy:y = "18"/&gt;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&lt;ConnectivityNode name =  "N1" pathName =  "AA1/D1/QBB/N1" sxy:x =  "22" sxy:y = "20"/&gt;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&lt;/Bay&gt;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&lt;/VoltageLevel&gt;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&lt;/Substation&gt;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&lt;Communication&gt;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&lt;SubNetwork name = "AA1WA1" desc = "IEC61850 through both stations" type = "8-MMS"&gt;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 iedName = "AA1OPC1" apName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"SA"&lt;0&gt;/P&gt;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"IP"&lt;172.16.0.100&gt;/P&gt;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"IP-SUBNET"&lt;255.255.0.0&gt;/P&gt;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"OSI-AP-Title"&lt;1,3,9999,23&gt;/P&gt;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"OSI-AE-Qualifier"&lt;23&gt;/P&gt;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"OSI-TSEL"&lt;0001&gt;/P&gt;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"OSI-PSEL"&lt;00000001&gt;/P&gt;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"OSI-SSEL"&lt;0001&gt;/P&gt;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&lt;ConnectedAP iedName = "AA1FP1" apName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"SA"&lt;0&gt;/P&gt;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P type = "IP"&lt;172.16.1.3&gt;/P&gt;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&lt;Ptype="IP-SUBNET"&gt;255.</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"OSI-AP-Title"&lt;1,3,9999,23&gt;/P&gt;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"OSI-AE-Qualifier"&lt;23&gt;/P&gt;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"OSI-TSEL"&lt;0001&gt;/P&gt;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"OSI-PSEL"&lt;00000001&gt;/P&gt;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"OSI-SSEL"&lt;0001&gt;/P&gt;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 desc = "Phasor SVCB" ldInst = "PMU" cbName = "SyPh_SVCB1"&gt;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type="VLAN-ID"&lt;004&gt;/P&gt;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type="VLAN-PRIORITY"&lt;4&gt;/P&gt;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type="APPID"&lt;3001&gt;/P&gt;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"IP"&lt;172.16.0.100&gt;/P&gt;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 type = "IP-SUBNET"&lt;255.255.0.0&gt;/P&gt;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&lt;/Address&gt;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&lt;/ConnectedAP&gt;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&lt;/SubNetwork&gt;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&lt;/Communication&gt;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 name = "AA1OPC1" desc = "OPC Server" type = "OPCServer" manufacturer = "Whatever"  configVersion =  "1.0" engRight = "fix" owner ="AA1"&gt;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 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"IHMI" lnType = "IHMI_OPCServer_IEC61850"/&gt;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 name = "AA1FP1" type = "PMU" manufacturer = "Whatever" configVersion = "1.0" engRight = "dataflow" owner = "AA1"&gt;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&lt;Services&gt;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&lt;DynAssociation/&gt;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&lt;SettingGroups&gt;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&lt;SGEdit/&gt;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&lt;/SettingGroups&gt;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&lt;GetDirectory/&gt;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&lt;GetDataObjectDefinition/&gt;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&lt;DataObjectDirectory/&gt;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&lt;GetDataSetValue/&gt;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&lt;ConfDataSet max = "50" maxAttributes = "240"/&gt;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&lt;ReadWrite/&gt;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&lt;ConfReportControl max = "100"/&gt;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&lt;GetCBValues/&gt;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&lt;ReportSettings datSet = "Conf" rptID = "Dyn" optFields = "Dyn" bufTime = "Dyn"  trgOps  =  "Dyn"  intgPd = "Dyn"/&gt;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&lt;SMVSettings datSet = "Conf"/&gt;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&lt;/Services&gt;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 name = "S1"&gt;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&lt;Server&gt;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&lt;Authentication none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&lt;LDevice inst = "PMU"&gt;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&lt;LN0 inst = "" lnClass = "LLN0" lnType = "LLN0_RELx_IEC61850"&gt;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 name = "PMUdata"&gt;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"A.phsA"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"A.phsB"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"A.phsC" fc ="MX"/&gt;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"MMXU" lnInst = "1" doName = "Health"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"LPHD" lnInst = "1" doName = "PhyHealth"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 name = "StatUrgentA" desc = "Status Data used to update process pictures and to generate alarms."&gt;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&lt;FCDA ldInst = "PMU" prefix = "" lnClass = "LPHD" lnInst = "1" doName = "PhyHealth"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"TVTR" lnInst = "1" doName = "FuFail"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&lt;FCDA ldInst = "PMU" prefix = "" lnClass = "LLN0" doName = "Mod" fc = "ST"/&gt;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&lt;/DataSet&gt;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&lt;ReportControl name = "rcb_A" datSet = "StatUrgentA" confRev = "2" bufTime = "100" buffered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&lt;TrgOps dchg = "true" qchg = "true"/&gt;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&lt;OptFields/&gt;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&lt;RptEnabled max = "5"&gt;</w:t>
            </w:r>
          </w:p>
          <w:p w:rsidR="00E07CB1" w:rsidRPr="00E07CB1" w:rsidRDefault="00E07CB1" w:rsidP="00E07CB1">
            <w:pPr>
              <w:tabs>
                <w:tab w:val="left" w:pos="0"/>
              </w:tabs>
              <w:ind w:left="0" w:firstLine="0"/>
              <w:rPr>
                <w:rFonts w:eastAsia="Calibri"/>
                <w:bCs/>
                <w:szCs w:val="22"/>
              </w:rPr>
            </w:pPr>
            <w:r w:rsidRPr="00E07CB1">
              <w:rPr>
                <w:rFonts w:eastAsia="Calibri"/>
                <w:bCs/>
                <w:szCs w:val="22"/>
              </w:rPr>
              <w:t>&lt;ClientLN iedName = "AA1OPC1" ldInst = "none" lnInst = "1" lnClass = "IHMI"/&gt;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&lt;/RptEnabled&gt;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&lt;/ReportControl&gt;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&lt;SampledValueControl name = "SyPh_SVCB1" desc = "Phasor SVCB" datSet = "PMUdata" confRev = "1" smvID = "MyPhasors AA1" smpRate = "2" nofASDU = "1"&gt;</w:t>
            </w:r>
          </w:p>
          <w:p w:rsidR="00E07CB1" w:rsidRPr="00E07CB1" w:rsidRDefault="00E07CB1" w:rsidP="00E07CB1">
            <w:pPr>
              <w:tabs>
                <w:tab w:val="left" w:pos="0"/>
              </w:tabs>
              <w:ind w:left="0" w:firstLine="0"/>
              <w:rPr>
                <w:rFonts w:eastAsia="Calibri"/>
                <w:bCs/>
                <w:szCs w:val="22"/>
              </w:rPr>
            </w:pPr>
            <w:r w:rsidRPr="00E07CB1">
              <w:rPr>
                <w:rFonts w:eastAsia="Calibri"/>
                <w:bCs/>
                <w:szCs w:val="22"/>
              </w:rPr>
              <w:t>&lt;Protocol mustUnderstand=”true”&lt;R-SV&gt;/Protocol&gt;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&lt;SmvOpts</w:t>
            </w:r>
            <w:r w:rsidRPr="00E07CB1">
              <w:rPr>
                <w:rFonts w:eastAsia="Calibri"/>
                <w:bCs/>
                <w:szCs w:val="22"/>
              </w:rPr>
              <w:tab/>
              <w:t>refreshTime</w:t>
            </w:r>
            <w:r w:rsidRPr="00E07CB1">
              <w:rPr>
                <w:rFonts w:eastAsia="Calibri"/>
                <w:bCs/>
                <w:szCs w:val="22"/>
              </w:rPr>
              <w:tab/>
              <w:t>=</w:t>
            </w:r>
            <w:r w:rsidRPr="00E07CB1">
              <w:rPr>
                <w:rFonts w:eastAsia="Calibri"/>
                <w:bCs/>
                <w:szCs w:val="22"/>
              </w:rPr>
              <w:tab/>
              <w:t>"true"</w:t>
            </w:r>
            <w:r w:rsidRPr="00E07CB1">
              <w:rPr>
                <w:rFonts w:eastAsia="Calibri"/>
                <w:bCs/>
                <w:szCs w:val="22"/>
              </w:rPr>
              <w:tab/>
              <w:t>sampleRate</w:t>
            </w:r>
            <w:r w:rsidRPr="00E07CB1">
              <w:rPr>
                <w:rFonts w:eastAsia="Calibri"/>
                <w:bCs/>
                <w:szCs w:val="22"/>
              </w:rPr>
              <w:tab/>
              <w:t>=</w:t>
            </w:r>
            <w:r w:rsidRPr="00E07CB1">
              <w:rPr>
                <w:rFonts w:eastAsia="Calibri"/>
                <w:bCs/>
                <w:szCs w:val="22"/>
              </w:rPr>
              <w:tab/>
              <w:t>"true"/</w:t>
            </w: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&lt;IEDName&lt;AA1OPC1&lt;/IEDName&gt;&gt;!-- the destination IED --&gt;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&lt;/SampledValueControl&gt;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"LPHD" lnType = "Physical Device_RELx_IEC61850"/&gt;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"TCTR" lnType = "CT_RELx_IEC61850"/&gt;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lnClass =  "TVTR" lnType = "VT_RELx_IEC61850"/</w:t>
            </w: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 inst = "1" desc = "Synchrophasor measurements" lnClass = "MMXU" lnType = "Syph_RELx_IEC61850"&gt;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 name = "PhV"&gt;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"phsA"&gt;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"phsB"&gt;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"phsC"&gt;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&lt;/SDI&gt;&lt;/DOO&gt;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&lt;DOI name = "A"&gt;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"phsA"&gt;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"phsB"&gt;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 name = "phsC"&gt;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 name = "angRef"&gt;</w:t>
            </w:r>
          </w:p>
          <w:p w:rsidR="00E07CB1" w:rsidRPr="00E07CB1" w:rsidRDefault="00E07CB1" w:rsidP="00E07CB1">
            <w:pPr>
              <w:tabs>
                <w:tab w:val="left" w:pos="0"/>
              </w:tabs>
              <w:ind w:left="0" w:firstLine="0"/>
              <w:rPr>
                <w:rFonts w:eastAsia="Calibri"/>
                <w:bCs/>
                <w:szCs w:val="22"/>
              </w:rPr>
            </w:pPr>
            <w:r w:rsidRPr="00E07CB1">
              <w:rPr>
                <w:rFonts w:eastAsia="Calibri"/>
                <w:bCs/>
                <w:szCs w:val="22"/>
              </w:rPr>
              <w:t>&lt;Val&lt;Synchrophasor&gt;/Val&gt;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&lt;/SDI&gt;&lt;/DOI&gt;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&lt;/LDevice&gt;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&lt;/Server&gt;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&lt;/AccessPoint&gt;</w:t>
            </w:r>
          </w:p>
          <w:p w:rsidR="00E07CB1" w:rsidRPr="00E07CB1" w:rsidRDefault="00E07CB1" w:rsidP="00E07CB1">
            <w:pPr>
              <w:tabs>
                <w:tab w:val="left" w:pos="0"/>
              </w:tabs>
              <w:ind w:left="0" w:firstLine="0"/>
              <w:rPr>
                <w:rFonts w:eastAsia="Calibri"/>
                <w:bCs/>
                <w:szCs w:val="22"/>
              </w:rPr>
            </w:pPr>
            <w:r w:rsidRPr="00E07CB1">
              <w:rPr>
                <w:rFonts w:eastAsia="Calibri"/>
                <w:bCs/>
                <w:szCs w:val="22"/>
              </w:rPr>
              <w:t>&lt;/IED&gt;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&lt;DataTypeTemplates&gt;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"Syph_RELx_IEC61850" lnClass = "MMXU"&gt;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"tcLPL_RECx_IEC61850"/в&gt;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"PhV" desc = "Voltage phasors" type = "tcSyphWYE"/&gt;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"A" desc = "Current phasors" type = "tcSyphWYE"/&gt;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"CT_RELx_IEC61850" lnClass = "TCTR"&gt;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"VT_RELx_IEC61850" lnClass = "TVTR"&gt;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"Health" type = "tcHealth_RECx_IEC61850"/&gt;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"Mod" type = "tcROMod_RECx_IEC61850"/&gt;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"NamPlt" type = "tcLPL_RECx_IEC61850"/&gt;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"FuFail" desc = "VT supply failure (MCB)" type = "tcSPS_RECx_IEC61850"/ &gt;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 id = "Physical Device_RELx_IEC61850" lnClass = "LPHD"&gt;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"Beh" type = "tcBeh_RELx_IEC61850"/&gt;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&lt;DO name = "PhyHealth" desc = "Relay ready" type = "tcHealth_RELx_IEC61850"/&gt;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 name = "Proxy" type = "tcSPS_RELx_IEC61850"/&gt;</w:t>
            </w:r>
          </w:p>
          <w:p w:rsidR="00E07CB1" w:rsidRPr="00E07CB1" w:rsidRDefault="00E07CB1" w:rsidP="00E07CB1">
            <w:pPr>
              <w:tabs>
                <w:tab w:val="left" w:pos="0"/>
              </w:tabs>
              <w:ind w:left="0" w:firstLine="0"/>
              <w:rPr>
                <w:rFonts w:eastAsia="Calibri"/>
                <w:bCs/>
                <w:szCs w:val="22"/>
              </w:rPr>
            </w:pPr>
            <w:r w:rsidRPr="00E07CB1">
              <w:rPr>
                <w:rFonts w:eastAsia="Calibri"/>
                <w:bCs/>
                <w:szCs w:val="22"/>
              </w:rPr>
              <w:t>&lt;/LNodeType&gt;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 id = "ABB_aWYECMV" cdc = "CMV"&gt;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"cVal" fc = "MX" dchg = "true" bType = "Struct" type = "ABB_aVector"/&gt;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"q" fc = "MX" qchg = "true" bType = "Quality"/&gt;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"t" fc = "MX" bType = "Timestamp"/&gt;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 name = "angRef" fc = "CF" bType = "Enum" type = "angid"/&gt;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 id = "tcSyphWYE" cdc = "WYE"&gt;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"phsA" type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"phsB" type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&lt;SDO name =  "phsC" type = "ABB_aWYECMV"/&gt;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&lt;/DOType&gt;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 id = "ABB_aVector"&gt;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"mag" bType = "Struct" type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"ang" bType = "Struct" type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 id = "ABB_aAnalogueValue"&gt;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&lt;BDA name = "f" bType = "FLOAT32"/&gt;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"ctlModel"&gt;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"0"&lt;status-only&gt;/EnumVal&gt;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"1"&lt;direct-with-normal-security&gt;/EnumVal&gt;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"2"&lt;sbo-with-normal-security&gt;/EnumVal&gt;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&lt;EnumVal ord = "3"&lt;direct-with-enhanced-security&gt;/EnumVal&gt;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"4"&lt;sbo-with-enhanced-security&gt;/EnumVal&gt;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"Beh"&gt;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"1"&lt;on&gt;/EnumVal&gt;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"3"&lt;test&gt;/EnumVal&gt;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"4"&lt;test/blocked&gt;/EnumVal&gt;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"5"&lt;off&gt;/EnumVal&gt;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"Health"&gt;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"1"&lt;Ok&gt;/EnumVal&gt;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"2"&lt;Warning&gt;/EnumVal&gt;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"3"&lt;Alarm&gt;/EnumVal&gt;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"Mod"&gt;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"1"&lt;on&gt;/EnumVal&gt;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"3"&lt;test&gt;/EnumVal&gt;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"4"&lt;test/blocked&gt;/EnumVal&gt;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"5"&lt;off</w:t>
            </w:r>
            <w:r w:rsidRPr="00E07CB1">
              <w:rPr>
                <w:rFonts w:eastAsia="Calibri"/>
                <w:bCs/>
                <w:szCs w:val="22"/>
              </w:rPr>
              <w:t>&gt;EnumVal&gt;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 id = "angid"&gt;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"0"&lt;Va&gt;/EnumVal&gt;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"1"&lt;Vb&gt;/EnumVal&gt;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"2"&lt;Vc&gt;/EnumVal&gt;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"3"&lt;Aa&gt;/EnumVal&gt;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"4"&lt;Ab&gt;/EnumVal&gt;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"5"&lt;Ac&gt;/EnumVal&gt;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"6"&lt;Vab&gt;/EnumVal&gt;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"7"&lt;Vbc&gt;/EnumVal&gt;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"8"&lt;Vca&gt;/EnumVal&gt;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"9"&lt;Vother&gt;/EnumVal&gt;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"10"&lt;Aother&gt;/EnumVal&gt;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&lt;EnumVal ord = "11"&lt;Synchrophasor</w:t>
            </w:r>
            <w:r w:rsidRPr="00E07CB1">
              <w:rPr>
                <w:rFonts w:eastAsia="Calibri"/>
                <w:bCs/>
                <w:szCs w:val="22"/>
              </w:rPr>
              <w:t>/EnumVal&gt;</w:t>
            </w:r>
          </w:p>
          <w:p w:rsidR="00E07CB1" w:rsidRPr="00E07CB1" w:rsidRDefault="00E07CB1" w:rsidP="00E07CB1">
            <w:pPr>
              <w:tabs>
                <w:tab w:val="left" w:pos="0"/>
              </w:tabs>
              <w:ind w:left="0" w:firstLine="0"/>
              <w:rPr>
                <w:rFonts w:eastAsia="Calibri"/>
                <w:bCs/>
                <w:szCs w:val="22"/>
              </w:rPr>
            </w:pPr>
            <w:r w:rsidRPr="00E07CB1">
              <w:rPr>
                <w:rFonts w:eastAsia="Calibri"/>
                <w:bCs/>
                <w:szCs w:val="22"/>
              </w:rPr>
              <w:t>&lt;/EnumType&gt;</w:t>
            </w:r>
          </w:p>
          <w:p w:rsidR="00E07CB1" w:rsidRPr="00E07CB1" w:rsidRDefault="00E07CB1" w:rsidP="00E07CB1">
            <w:pPr>
              <w:tabs>
                <w:tab w:val="left" w:pos="0"/>
              </w:tabs>
              <w:ind w:left="0" w:firstLine="0"/>
              <w:rPr>
                <w:rFonts w:eastAsia="Calibri"/>
                <w:bCs/>
                <w:szCs w:val="22"/>
              </w:rPr>
            </w:pPr>
            <w:r w:rsidRPr="00E07CB1">
              <w:rPr>
                <w:rFonts w:eastAsia="Calibri"/>
                <w:bCs/>
                <w:szCs w:val="22"/>
              </w:rPr>
              <w:t>&lt;/DataTypeTemplates&gt;</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&lt;/SCL&gt;</w:t>
            </w:r>
          </w:p>
          <w:p w:rsidR="00E07CB1" w:rsidRPr="00E07CB1" w:rsidRDefault="00E07CB1" w:rsidP="00E07CB1">
            <w:pPr>
              <w:tabs>
                <w:tab w:val="left" w:pos="0"/>
              </w:tabs>
              <w:ind w:left="0" w:firstLine="0"/>
              <w:rPr>
                <w:rFonts w:eastAsia="Calibri"/>
                <w:bCs/>
                <w:szCs w:val="22"/>
              </w:rPr>
            </w:pPr>
            <w:r w:rsidRPr="00E07CB1">
              <w:rPr>
                <w:rFonts w:eastAsia="Calibri"/>
                <w:bCs/>
                <w:szCs w:val="22"/>
              </w:rPr>
              <w:t>,,</w:t>
            </w:r>
          </w:p>
        </w:tc>
      </w:tr>
    </w:tbl>
    <w:p w:rsidR="00E07CB1" w:rsidRDefault="00E07CB1" w:rsidP="00CD1812">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E07CB1" w:rsidTr="00E07CB1">
        <w:tc>
          <w:tcPr>
            <w:tcW w:w="4672" w:type="dxa"/>
          </w:tcPr>
          <w:p w:rsidR="00E07CB1" w:rsidRPr="00E07CB1" w:rsidRDefault="00E07CB1" w:rsidP="00E07CB1">
            <w:pPr>
              <w:tabs>
                <w:tab w:val="left" w:pos="0"/>
              </w:tabs>
              <w:ind w:left="0" w:firstLine="0"/>
              <w:jc w:val="center"/>
              <w:rPr>
                <w:rFonts w:eastAsia="Calibri"/>
                <w:b/>
                <w:bCs/>
                <w:szCs w:val="22"/>
              </w:rPr>
            </w:pPr>
            <w:r w:rsidRPr="00E07CB1">
              <w:rPr>
                <w:rFonts w:eastAsia="Calibri"/>
                <w:b/>
                <w:bCs/>
                <w:szCs w:val="22"/>
              </w:rPr>
              <w:t>Хавсралт C</w:t>
            </w:r>
          </w:p>
          <w:p w:rsidR="00E07CB1" w:rsidRPr="00E07CB1" w:rsidRDefault="00E07CB1" w:rsidP="00E07CB1">
            <w:pPr>
              <w:tabs>
                <w:tab w:val="left" w:pos="0"/>
              </w:tabs>
              <w:ind w:left="0" w:firstLine="0"/>
              <w:jc w:val="center"/>
              <w:rPr>
                <w:rFonts w:eastAsia="Calibri"/>
                <w:bCs/>
                <w:szCs w:val="22"/>
              </w:rPr>
            </w:pPr>
            <w:r w:rsidRPr="00E07CB1">
              <w:rPr>
                <w:rFonts w:eastAsia="Calibri"/>
                <w:bCs/>
                <w:szCs w:val="22"/>
              </w:rPr>
              <w:t>(Мэдээллийн)</w:t>
            </w:r>
          </w:p>
          <w:p w:rsidR="00E07CB1" w:rsidRPr="00E07CB1" w:rsidRDefault="00E07CB1" w:rsidP="00E07CB1">
            <w:pPr>
              <w:tabs>
                <w:tab w:val="left" w:pos="0"/>
              </w:tabs>
              <w:ind w:left="0" w:firstLine="0"/>
              <w:rPr>
                <w:rFonts w:eastAsia="Calibri"/>
                <w:b/>
                <w:bCs/>
                <w:szCs w:val="22"/>
              </w:rPr>
            </w:pPr>
            <w:r w:rsidRPr="00E07CB1">
              <w:rPr>
                <w:rFonts w:eastAsia="Calibri"/>
                <w:b/>
                <w:bCs/>
                <w:szCs w:val="22"/>
              </w:rPr>
              <w:t>IEEE C37.118-ээс IEC 61850 руу шилжих</w:t>
            </w:r>
          </w:p>
          <w:p w:rsidR="00E07CB1" w:rsidRPr="00E07CB1" w:rsidRDefault="00E07CB1" w:rsidP="00E07CB1">
            <w:pPr>
              <w:tabs>
                <w:tab w:val="left" w:pos="0"/>
              </w:tabs>
              <w:ind w:left="0" w:firstLine="0"/>
              <w:rPr>
                <w:rFonts w:eastAsia="Calibri"/>
                <w:b/>
                <w:bCs/>
                <w:szCs w:val="22"/>
              </w:rPr>
            </w:pPr>
            <w:r w:rsidRPr="00E07CB1">
              <w:rPr>
                <w:rFonts w:eastAsia="Calibri"/>
                <w:b/>
                <w:bCs/>
                <w:szCs w:val="22"/>
              </w:rPr>
              <w:t xml:space="preserve">C.1 Ерөнхий </w:t>
            </w:r>
          </w:p>
          <w:p w:rsidR="00E07CB1" w:rsidRPr="00E07CB1" w:rsidRDefault="00E07CB1" w:rsidP="00E07CB1">
            <w:pPr>
              <w:tabs>
                <w:tab w:val="left" w:pos="0"/>
              </w:tabs>
              <w:ind w:left="0" w:firstLine="0"/>
              <w:rPr>
                <w:rFonts w:eastAsia="Calibri"/>
                <w:bCs/>
                <w:szCs w:val="22"/>
              </w:rPr>
            </w:pPr>
            <w:r w:rsidRPr="00E07CB1">
              <w:rPr>
                <w:rFonts w:eastAsia="Calibri"/>
                <w:bCs/>
                <w:szCs w:val="22"/>
              </w:rPr>
              <w:t>2005 онд эрчим хүчнийн системд IEEE C37.118 – синхронфаз нэврэтч эхэлсэн. Энэ стандартын хамрах хүрээ нь:</w:t>
            </w:r>
          </w:p>
          <w:p w:rsidR="00E07CB1" w:rsidRPr="00E07CB1" w:rsidRDefault="00E07CB1" w:rsidP="00E07CB1">
            <w:pPr>
              <w:tabs>
                <w:tab w:val="left" w:pos="0"/>
              </w:tabs>
              <w:ind w:left="0" w:firstLine="0"/>
              <w:rPr>
                <w:rFonts w:eastAsia="Calibri"/>
                <w:bCs/>
                <w:szCs w:val="22"/>
              </w:rPr>
            </w:pPr>
            <w:r w:rsidRPr="00E07CB1">
              <w:rPr>
                <w:rFonts w:eastAsia="Calibri"/>
                <w:bCs/>
                <w:szCs w:val="22"/>
              </w:rPr>
              <w:t>“Энэ нь эрчим хүчний систем дэх синхрончлогдсон фазор хэмжилтийн системийн стандарт юм. Энд синхрончлогдсон фазор тодорхойлолт, хугацааны синхрончлол, хугацааны хаягуудын хэрэглээ, хэмжилтийн стандартад нийцэж буй эсэхийг шалгах арга, фазорын хэмжих төхөөрөмжтөй (PMU)-тэй мэдээлэл дамжуулах мессежний формат зэргийг багтаасан. Энэ нөхцөлд PMU нь бие даасан физик нэгж эсвэл өөр нэг физик нэгж доторх функциональ нэгж байж болно. Энэхүү стандарт нь хэмжилтийн хариу хугацаа, шилжилтийн үеийн нарийвчлал, техник хангамж, программ хангамж буюу фазор тооцоолох аргачлалд хязгаарлалт тавигдаагүй.” [IEEE C37.118.1 -ээс]</w:t>
            </w:r>
          </w:p>
          <w:p w:rsidR="00E07CB1" w:rsidRPr="00E07CB1" w:rsidRDefault="00E07CB1" w:rsidP="00E07CB1">
            <w:pPr>
              <w:tabs>
                <w:tab w:val="left" w:pos="0"/>
              </w:tabs>
              <w:ind w:left="0" w:firstLine="0"/>
              <w:rPr>
                <w:rFonts w:eastAsia="Calibri"/>
                <w:bCs/>
                <w:szCs w:val="22"/>
              </w:rPr>
            </w:pPr>
            <w:r w:rsidRPr="00E07CB1">
              <w:rPr>
                <w:rFonts w:eastAsia="Calibri"/>
                <w:bCs/>
                <w:szCs w:val="22"/>
              </w:rPr>
              <w:t>Хамрах хүрээнд үндэслэн стандартад дараах хоёр зүйл байна:</w:t>
            </w:r>
          </w:p>
          <w:p w:rsidR="00E07CB1" w:rsidRPr="00E07CB1" w:rsidRDefault="00E07CB1" w:rsidP="00472036">
            <w:pPr>
              <w:pStyle w:val="ListParagraph"/>
              <w:numPr>
                <w:ilvl w:val="0"/>
                <w:numId w:val="38"/>
              </w:numPr>
              <w:tabs>
                <w:tab w:val="left" w:pos="0"/>
              </w:tabs>
              <w:spacing w:after="0"/>
              <w:ind w:left="0" w:firstLine="0"/>
              <w:rPr>
                <w:rFonts w:eastAsia="Calibri"/>
                <w:bCs/>
                <w:szCs w:val="22"/>
              </w:rPr>
            </w:pPr>
            <w:r w:rsidRPr="00E07CB1">
              <w:rPr>
                <w:rFonts w:eastAsia="Calibri"/>
                <w:bCs/>
                <w:szCs w:val="22"/>
              </w:rPr>
              <w:t>Синхрончлогдсон фазор хэмжилтийг хийх боломжийг олгодог хэмжилт, хугацааны хаяглалтынүзүүлэлтүүд;</w:t>
            </w:r>
          </w:p>
          <w:p w:rsidR="00E07CB1" w:rsidRPr="00E07CB1" w:rsidRDefault="00E07CB1" w:rsidP="00472036">
            <w:pPr>
              <w:pStyle w:val="ListParagraph"/>
              <w:numPr>
                <w:ilvl w:val="0"/>
                <w:numId w:val="38"/>
              </w:numPr>
              <w:tabs>
                <w:tab w:val="left" w:pos="0"/>
              </w:tabs>
              <w:spacing w:after="0"/>
              <w:ind w:left="0" w:firstLine="0"/>
              <w:rPr>
                <w:rFonts w:eastAsia="Calibri"/>
                <w:bCs/>
                <w:szCs w:val="22"/>
              </w:rPr>
            </w:pPr>
            <w:r w:rsidRPr="00E07CB1">
              <w:rPr>
                <w:rFonts w:eastAsia="Calibri"/>
                <w:bCs/>
                <w:szCs w:val="22"/>
              </w:rPr>
              <w:t>Хэмжсэн мэдээллийг дамжуулах мессежийн формат.</w:t>
            </w:r>
          </w:p>
          <w:p w:rsidR="00E07CB1" w:rsidRPr="00E07CB1" w:rsidRDefault="00E07CB1" w:rsidP="00E07CB1">
            <w:pPr>
              <w:pStyle w:val="ListParagraph"/>
              <w:tabs>
                <w:tab w:val="left" w:pos="0"/>
              </w:tabs>
              <w:spacing w:after="0"/>
              <w:ind w:left="0" w:firstLine="0"/>
              <w:rPr>
                <w:rFonts w:eastAsia="Calibri"/>
                <w:bCs/>
                <w:szCs w:val="22"/>
              </w:rPr>
            </w:pPr>
            <w:r w:rsidRPr="00E07CB1">
              <w:rPr>
                <w:rFonts w:eastAsia="Calibri"/>
                <w:bCs/>
                <w:szCs w:val="22"/>
              </w:rPr>
              <w:t>Энэ мессежний формат нь багцын (packet) бүтцийг тодорхойлдог боловч багц солилцох мэдээлэл дамжуулах профайлыг стандартчилдаггүй.</w:t>
            </w:r>
          </w:p>
          <w:p w:rsidR="00E07CB1" w:rsidRPr="00E07CB1" w:rsidRDefault="00E07CB1" w:rsidP="00E07CB1">
            <w:pPr>
              <w:pStyle w:val="ListParagraph"/>
              <w:tabs>
                <w:tab w:val="left" w:pos="0"/>
              </w:tabs>
              <w:spacing w:after="0"/>
              <w:ind w:left="0" w:firstLine="0"/>
              <w:rPr>
                <w:rFonts w:eastAsia="Calibri"/>
                <w:bCs/>
                <w:szCs w:val="22"/>
              </w:rPr>
            </w:pPr>
            <w:r w:rsidRPr="00E07CB1">
              <w:rPr>
                <w:rFonts w:eastAsia="Calibri"/>
                <w:bCs/>
                <w:szCs w:val="22"/>
              </w:rPr>
              <w:t xml:space="preserve">Стандартчиллын процесст IEC 61850-ийг "багц" бүтцэд ашиглах хувилбарын </w:t>
            </w:r>
            <w:r w:rsidRPr="00E07CB1">
              <w:rPr>
                <w:rFonts w:eastAsia="Calibri"/>
                <w:bCs/>
                <w:szCs w:val="22"/>
              </w:rPr>
              <w:lastRenderedPageBreak/>
              <w:t>талаар хэлэлцсэн. Гэсэн хэдий ч хугацааны хязгаарлалт, салбарын шахалтаас болж IEC 61850 стандарт анхны хэвлэлтэд ороогүй.</w:t>
            </w:r>
          </w:p>
          <w:p w:rsidR="00E07CB1" w:rsidRPr="00E07CB1" w:rsidRDefault="00E07CB1" w:rsidP="00E07CB1">
            <w:pPr>
              <w:tabs>
                <w:tab w:val="left" w:pos="0"/>
              </w:tabs>
              <w:ind w:left="0" w:firstLine="0"/>
              <w:rPr>
                <w:rFonts w:eastAsia="Calibri"/>
                <w:bCs/>
                <w:szCs w:val="22"/>
              </w:rPr>
            </w:pPr>
            <w:r w:rsidRPr="00E07CB1">
              <w:rPr>
                <w:rFonts w:eastAsia="Calibri"/>
                <w:bCs/>
                <w:szCs w:val="22"/>
              </w:rPr>
              <w:t>2008 оны сүүл 2009 оны эхээр IEEE нь IEEE C37.118 –тай холбоотой хамтарсан лого гаргахыг ОУЦТК-д хүссэн. Гэсэн хэдий ч IEEE C37.118-д тодорхойлсон хамрах хүрээний хувьд ийм хүсэлтийг хоёр өөр ОУЦТК техникийн хороо (TC) хооронд зохицуулах шаардлагатай болсон.</w:t>
            </w:r>
          </w:p>
          <w:p w:rsidR="00E07CB1" w:rsidRPr="00E07CB1" w:rsidRDefault="00E07CB1" w:rsidP="00E07CB1">
            <w:pPr>
              <w:tabs>
                <w:tab w:val="left" w:pos="0"/>
              </w:tabs>
              <w:ind w:left="0" w:firstLine="0"/>
              <w:rPr>
                <w:rFonts w:eastAsia="Calibri"/>
                <w:bCs/>
                <w:szCs w:val="22"/>
              </w:rPr>
            </w:pPr>
            <w:r w:rsidRPr="00E07CB1">
              <w:rPr>
                <w:rFonts w:eastAsia="Calibri"/>
                <w:bCs/>
                <w:szCs w:val="22"/>
              </w:rPr>
              <w:t>TC95 хамрах хүрээ: IEC-д хамрагдах цахилгааны инженерийн төрөл бүрийн талбарт хэрэглэдэг хамгаалалтын төхөөрөмжүүд ба хэмжүүрийн релений стандартчилал, эдгээр системд ашиглагддаг удирдлага, дүн-шинжилгээ ба процессын интерфейсийн төхөөрөмжийг багтаасан эрчим хүчний системийн хамгаалалтын схемийг бүрдүүлэх төхөөрөмжүүдийн хослолыг харгалзан үзсэн.</w:t>
            </w:r>
          </w:p>
          <w:p w:rsidR="00E07CB1" w:rsidRPr="00E07CB1" w:rsidRDefault="00E07CB1" w:rsidP="00E07CB1">
            <w:pPr>
              <w:tabs>
                <w:tab w:val="left" w:pos="0"/>
              </w:tabs>
              <w:ind w:left="0" w:firstLine="0"/>
              <w:rPr>
                <w:rFonts w:eastAsia="Calibri"/>
                <w:bCs/>
                <w:szCs w:val="22"/>
              </w:rPr>
            </w:pPr>
            <w:r w:rsidRPr="00E07CB1">
              <w:rPr>
                <w:rFonts w:eastAsia="Calibri"/>
                <w:bCs/>
                <w:szCs w:val="22"/>
              </w:rPr>
              <w:t>TC57 хамрах хүрээ: Эрчим хүчний системийг төлөвлөх, ашиглах болон засварлахад хэрэглэдэг бодит хугацаа болон бодит бус хугацааны холбоотой мэдээллийг солилцох, EMS (эрчим хүчний менежментийн системүүд), SCADA (Supervisory Control And Data Acquisition), түгээлтийн автоматжуулалт, teleprotection багтаасан систем болон эрчим хүчний системийг хянах төхөөрөмжийн олон улсын стандартуудыг бэлтгэх. Эрчим хүчний системийн менежмент нь TC57-ын хамрах хүрээнээс гадуур байж болох систем, мэдээллийн баазууд, интерфейсийн төхөөрөмж, теле-удирдлагыг багтаасан үндсэн төхөөрөмжийн биеэ даасан хэсгүүд, дэд станцууд болон удирдлагын төв доторх удирдлагыг агуулдаг.</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IEEE-ийн зохицуулалтыг ОУЦТК TC 2-той уялдуулж, синхрофазорын </w:t>
            </w:r>
            <w:r w:rsidRPr="00E07CB1">
              <w:rPr>
                <w:rFonts w:eastAsia="Calibri"/>
                <w:bCs/>
                <w:szCs w:val="22"/>
              </w:rPr>
              <w:lastRenderedPageBreak/>
              <w:t>мэдээллийг IEC 61850-ээр дамжуулан солилцох боломжийг олгохын тулд IEEE нь IEEE C37.118 стандартыг хоёр өөр хэсэгт хуваах зорилгоор 2010 онд Төслийн Эхлүүлэх хүсэлтийг (PAR) гаргасан.</w:t>
            </w:r>
          </w:p>
          <w:p w:rsidR="00E07CB1" w:rsidRPr="00E07CB1" w:rsidRDefault="00E07CB1" w:rsidP="00E07CB1">
            <w:pPr>
              <w:tabs>
                <w:tab w:val="left" w:pos="0"/>
              </w:tabs>
              <w:ind w:left="0" w:firstLine="0"/>
              <w:rPr>
                <w:rFonts w:eastAsia="Calibri"/>
                <w:bCs/>
                <w:szCs w:val="22"/>
              </w:rPr>
            </w:pPr>
            <w:r w:rsidRPr="00E07CB1">
              <w:rPr>
                <w:rFonts w:eastAsia="Calibri"/>
                <w:bCs/>
                <w:szCs w:val="22"/>
              </w:rPr>
              <w:t>IEEE C37.118.1 – Синхрончлогдсон фазор хэмжилт ба хугацааны хаяглалтын үзүүлэлтүүд, давтамж, давтамжийн өөрчлөлтийн хурд. Энэ хэсэг нь зөвхөн хэмжилтийг авч үзэх бөгөөд IEC TC95-ээр дамжуулж хос логоны статусыг зохицуулах зорилготой юм.</w:t>
            </w:r>
          </w:p>
          <w:p w:rsidR="00E07CB1" w:rsidRPr="00E07CB1" w:rsidRDefault="00E07CB1" w:rsidP="00E07CB1">
            <w:pPr>
              <w:tabs>
                <w:tab w:val="left" w:pos="0"/>
              </w:tabs>
              <w:ind w:left="0" w:firstLine="0"/>
              <w:rPr>
                <w:rFonts w:eastAsia="Calibri"/>
                <w:bCs/>
                <w:szCs w:val="22"/>
              </w:rPr>
            </w:pPr>
            <w:r w:rsidRPr="00E07CB1">
              <w:rPr>
                <w:rFonts w:eastAsia="Calibri"/>
                <w:bCs/>
                <w:szCs w:val="22"/>
              </w:rPr>
              <w:t>IEE С37.118.2 – хэмжсэн мэдээллийг дамжуулах мессежний формат. Энэ хэсэгт нь хуучин С37.118 форматыг дэмжих, IEE  стандарт хэвээр байна.</w:t>
            </w:r>
          </w:p>
          <w:p w:rsidR="00E07CB1" w:rsidRPr="00E07CB1" w:rsidRDefault="00E07CB1" w:rsidP="00E07CB1">
            <w:pPr>
              <w:tabs>
                <w:tab w:val="left" w:pos="0"/>
              </w:tabs>
              <w:ind w:left="0" w:firstLine="0"/>
              <w:rPr>
                <w:rFonts w:eastAsia="Calibri"/>
                <w:bCs/>
                <w:szCs w:val="22"/>
              </w:rPr>
            </w:pPr>
            <w:r w:rsidRPr="00E07CB1">
              <w:rPr>
                <w:rFonts w:eastAsia="Calibri"/>
                <w:bCs/>
                <w:szCs w:val="22"/>
              </w:rPr>
              <w:t>Хоёр стандартын зорилго нь IEEE C37.118: 2005 стандарттай нийцэх боломжийг хангах боловч зарим сайжруулалтуудыг агуулна. IEEE C37.118.1 –ийн хувьд динамик гүйцэтгэл/хэмжилтийн стандартчиллыг хангах түүнчлэн туршилт, тохируулгын стандартчиллаар хангах ихээхэн сайжруулалт хийгдэж байгаа.</w:t>
            </w:r>
          </w:p>
          <w:p w:rsidR="00E07CB1" w:rsidRPr="00E07CB1" w:rsidRDefault="00E07CB1" w:rsidP="00E07CB1">
            <w:pPr>
              <w:tabs>
                <w:tab w:val="left" w:pos="0"/>
              </w:tabs>
              <w:ind w:left="0" w:firstLine="0"/>
              <w:rPr>
                <w:rFonts w:eastAsia="Calibri"/>
                <w:bCs/>
                <w:szCs w:val="22"/>
              </w:rPr>
            </w:pPr>
            <w:r w:rsidRPr="00E07CB1">
              <w:rPr>
                <w:rFonts w:eastAsia="Calibri"/>
                <w:bCs/>
                <w:szCs w:val="22"/>
              </w:rPr>
              <w:t>IEEE C37.118.2-ийн хувьд нэлээд их хүссэн нэмэлт сайжруулалтууд түүнчлэн цөөн тооны асуудлуудын шийдлийн хүсэлт гаргасан. Сайжруулалтын хүсэлтийг үнэлсний дараа бүх сайжруулалтыг хэрэгжүүлсэн тохиолдолд IEC 61850-тэй ижил протоколыг боловсруулж, харилцан ажиллах чадваргүй болно гэдгийг хүлээн зөвшөөрсөн. IEEE C37.118.2 нь IEEE C37.118: 2005 стандартын одоогийн багц үзүүлэлтүүдийг стандартын дагуу хэд хэдэн тулгамдсан асуудлыг шийдвэрлэв. Сайжруулсан функционалийг хангахдаа IEC 61850-ийг ашиглах нь зүйтэй гэж үзсэн.</w:t>
            </w:r>
          </w:p>
          <w:p w:rsidR="00E07CB1" w:rsidRPr="00E07CB1" w:rsidRDefault="00E07CB1" w:rsidP="00E07CB1">
            <w:pPr>
              <w:tabs>
                <w:tab w:val="left" w:pos="0"/>
              </w:tabs>
              <w:ind w:left="0" w:firstLine="0"/>
              <w:rPr>
                <w:rFonts w:eastAsia="Calibri"/>
                <w:bCs/>
                <w:szCs w:val="22"/>
              </w:rPr>
            </w:pPr>
            <w:r w:rsidRPr="00E07CB1">
              <w:rPr>
                <w:rFonts w:eastAsia="Calibri"/>
                <w:bCs/>
                <w:szCs w:val="22"/>
              </w:rPr>
              <w:lastRenderedPageBreak/>
              <w:t>Энэхүү асуулт нь Сайжруулсан функциональ буюу IEC 61850–ийг хэрэглэхийг хүсэж байгаа хэрэглэгчид/ борлуулагчид IEEE C37.118.2-ээс IEC 61850 болгон салгах, удирдах боломжтой алхмуудыг хэрхэн хангах вэ гэсэн асуулт болсон. "Удирдах боломжтой алхмууд" -ын дараалал нь шилжих стратегийг бүрдүүлдэг. Тиймээс стратегийн эхлэл, төгсгөл цэгүүдийг хялбархан ойлгодог. Эхлэх цэг бол IEEE C37.118: 2005 ба удахгүй IEEE C37.118.2 юм. Синхрофазорын хувьд төгсгөлийн цэг нь IEC/TR 61850-90-5 (энэ баримт бичиг) -ээр өөрчлөгдсөн IEC 61850 байх болно.Төгсгөлийн цэгүүдийн хувьд хэмжилтийн араг техник нь IEEE C37.118.1.</w:t>
            </w:r>
          </w:p>
          <w:p w:rsidR="00E07CB1" w:rsidRPr="00E07CB1" w:rsidRDefault="00E07CB1" w:rsidP="00E07CB1">
            <w:pPr>
              <w:tabs>
                <w:tab w:val="left" w:pos="0"/>
              </w:tabs>
              <w:ind w:left="0" w:firstLine="0"/>
              <w:rPr>
                <w:rFonts w:eastAsia="Calibri"/>
                <w:bCs/>
                <w:szCs w:val="22"/>
              </w:rPr>
            </w:pPr>
            <w:r w:rsidRPr="00E07CB1">
              <w:rPr>
                <w:rFonts w:eastAsia="Calibri"/>
                <w:bCs/>
                <w:szCs w:val="22"/>
              </w:rPr>
              <w:t>Шилжих стратеги дахь алхмуудыг нэгтгэн дүгнэвэл.</w:t>
            </w:r>
          </w:p>
          <w:p w:rsidR="00E07CB1" w:rsidRPr="00E07CB1" w:rsidRDefault="00E07CB1" w:rsidP="00E07CB1">
            <w:pPr>
              <w:tabs>
                <w:tab w:val="left" w:pos="0"/>
              </w:tabs>
              <w:ind w:left="0" w:firstLine="0"/>
              <w:rPr>
                <w:rFonts w:eastAsia="Calibri"/>
                <w:bCs/>
                <w:szCs w:val="22"/>
              </w:rPr>
            </w:pPr>
            <w:r w:rsidRPr="00E07CB1">
              <w:rPr>
                <w:rFonts w:eastAsia="Calibri"/>
                <w:bCs/>
                <w:szCs w:val="22"/>
              </w:rPr>
              <w:t>Эхлэх цэг: IEEE C37.118: 2005 буюу IEEE C37.118.2.</w:t>
            </w:r>
          </w:p>
          <w:p w:rsidR="00E07CB1" w:rsidRPr="00E07CB1" w:rsidRDefault="00E07CB1" w:rsidP="00E07CB1">
            <w:pPr>
              <w:tabs>
                <w:tab w:val="left" w:pos="0"/>
              </w:tabs>
              <w:ind w:left="0" w:firstLine="0"/>
              <w:rPr>
                <w:rFonts w:eastAsia="Calibri"/>
                <w:bCs/>
                <w:szCs w:val="22"/>
              </w:rPr>
            </w:pPr>
            <w:r w:rsidRPr="00E07CB1">
              <w:rPr>
                <w:rFonts w:eastAsia="Calibri"/>
                <w:bCs/>
                <w:szCs w:val="22"/>
              </w:rPr>
              <w:t>Энэхүү эхлэлийн цэг нь олон улсад хүлээн зөвшөөрөгдсөн, найдвартай стандартыг ашиглан байршлууд ба төслүүдийг үргэлжлүүлэх боломжийг тухайн салбарт олгодог.</w:t>
            </w:r>
          </w:p>
          <w:p w:rsidR="00E07CB1" w:rsidRPr="00E07CB1" w:rsidRDefault="00E07CB1" w:rsidP="00E07CB1">
            <w:pPr>
              <w:tabs>
                <w:tab w:val="left" w:pos="0"/>
              </w:tabs>
              <w:ind w:left="0" w:firstLine="0"/>
              <w:rPr>
                <w:rFonts w:eastAsia="Calibri"/>
                <w:bCs/>
                <w:szCs w:val="22"/>
              </w:rPr>
            </w:pPr>
            <w:r w:rsidRPr="00E07CB1">
              <w:rPr>
                <w:rFonts w:eastAsia="Calibri"/>
                <w:bCs/>
                <w:szCs w:val="22"/>
              </w:rPr>
              <w:t>Алхам 1: C37.118.1 харилцах нэгж хэсгүүдэд тохирсонстандартчилагдсан тохируулгаар хангах.</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C37.118-д сайжруулалтын үндсэн хүсэлтүүдийн нэг нь холбогдох боломжтой мэдээллийг тухайн нэгжид (жишээ нь, PMU эсвэл PDC) холбож өгөхийн тулд Phasor Хэмжлийн нэгж (PMU) эсвэл Фазор өгөгдлийн хуримтлуулагч (PDC) -ийг тохируулах механизмыг бий болгох явдал байв. C37.118 мэдээллийн багц дотор.C37.118 өгөгдлийн багц дотор харилцаа холбооны боломжтой мэдээллийг дэд бүлэгт өгөх(ж.нь. PMU буюу PDC)  Фазор Хэмжих Төхөөрөмж </w:t>
            </w:r>
            <w:r w:rsidRPr="00E07CB1">
              <w:rPr>
                <w:rFonts w:eastAsia="Calibri"/>
                <w:bCs/>
                <w:szCs w:val="22"/>
              </w:rPr>
              <w:lastRenderedPageBreak/>
              <w:t>(PMU) буюу эсвэл Фазор Өгөгдлийн хуримтлуулагч (PDC)-ыг тохируулах механизмыг бий болгох явдал байв.</w:t>
            </w:r>
          </w:p>
          <w:p w:rsidR="00E07CB1" w:rsidRPr="00E07CB1" w:rsidRDefault="00E07CB1" w:rsidP="00E07CB1">
            <w:pPr>
              <w:tabs>
                <w:tab w:val="left" w:pos="0"/>
              </w:tabs>
              <w:ind w:left="0" w:firstLine="0"/>
              <w:rPr>
                <w:rFonts w:eastAsia="Calibri"/>
                <w:bCs/>
                <w:szCs w:val="22"/>
              </w:rPr>
            </w:pPr>
            <w:r w:rsidRPr="00E07CB1">
              <w:rPr>
                <w:rFonts w:eastAsia="Calibri"/>
                <w:bCs/>
                <w:szCs w:val="22"/>
              </w:rPr>
              <w:t>ТАЙЛБАР: Энэ нь IEEE C37.118 CFG-1 хариу үйлдлийндэд хэсэгт үндэслэн IEEE C37.118 CFG-2 хариу үйлдлийн агуулгыг тодорхойлох чадварыг илэрхийлнэ.</w:t>
            </w:r>
          </w:p>
          <w:p w:rsidR="00E07CB1" w:rsidRPr="00E07CB1" w:rsidRDefault="00E07CB1" w:rsidP="00E07CB1">
            <w:pPr>
              <w:tabs>
                <w:tab w:val="left" w:pos="0"/>
              </w:tabs>
              <w:ind w:left="0" w:firstLine="0"/>
              <w:rPr>
                <w:rFonts w:eastAsia="Calibri"/>
                <w:bCs/>
                <w:szCs w:val="22"/>
              </w:rPr>
            </w:pPr>
            <w:r w:rsidRPr="00E07CB1">
              <w:rPr>
                <w:rFonts w:eastAsia="Calibri"/>
                <w:bCs/>
                <w:szCs w:val="22"/>
              </w:rPr>
              <w:t>IEC 61850-ийн орчинд Дэд Станцын Тохируулгын Хэл (SCL) нь нэгжийн мэдээллийн ерөнхий агуулгыг (жишээ нь CFG-1) тодорхойлох, түүнчлэн DataSet гэж нэрлэдэг дамжуулж буй мэдээллийн дэд хэсгийг (жишээ нь CFG-2) тодорхойлоход ашиглагддаг.Тиймээс дээр дурдсан тохируулгын боломжыг хангахын тулд 1-р алхам нь CCL.118 төхөөрөмжийг тохируулахдаа SCL-ийг ашигладаг.</w:t>
            </w:r>
          </w:p>
          <w:p w:rsidR="00E07CB1" w:rsidRPr="00E07CB1" w:rsidRDefault="00E07CB1" w:rsidP="00E07CB1">
            <w:pPr>
              <w:tabs>
                <w:tab w:val="left" w:pos="0"/>
              </w:tabs>
              <w:ind w:left="0" w:firstLine="0"/>
              <w:rPr>
                <w:rFonts w:eastAsia="Calibri"/>
                <w:bCs/>
                <w:szCs w:val="22"/>
              </w:rPr>
            </w:pPr>
            <w:r w:rsidRPr="00E07CB1">
              <w:rPr>
                <w:rFonts w:eastAsia="Calibri"/>
                <w:bCs/>
                <w:szCs w:val="22"/>
              </w:rPr>
              <w:t>Харилцаа холбооны багцын тодорхойлолт нь subsets/DataSets үүсгэх замаар энэхүү шилжих алхамыг гол анхаарч байгаа боловч бусад давуу талууд бас бий.</w:t>
            </w:r>
          </w:p>
          <w:p w:rsidR="00E07CB1" w:rsidRPr="00E07CB1" w:rsidRDefault="00E07CB1" w:rsidP="00E07CB1">
            <w:pPr>
              <w:tabs>
                <w:tab w:val="left" w:pos="0"/>
              </w:tabs>
              <w:ind w:left="0" w:firstLine="0"/>
              <w:rPr>
                <w:rFonts w:eastAsia="Calibri"/>
                <w:bCs/>
                <w:szCs w:val="22"/>
              </w:rPr>
            </w:pPr>
            <w:r w:rsidRPr="00E07CB1">
              <w:rPr>
                <w:rFonts w:eastAsia="Calibri"/>
                <w:bCs/>
                <w:szCs w:val="22"/>
              </w:rPr>
              <w:t>Хэрэглэх боломжтой олон төрлийн SCL файлууд байдаг: Жишээгээр үзүүлсэн IED-ийн тодорхойлолт (IID) эсвэл IED-ийн чадварын тодорхойлолт (ICD) бүхий SCL файлууд.Файл нь харилцаа холбооны параметрүүд болон DataSet-ийн хэрэглэгчийн тодорхойлолтод тусгагдсан тул IID файлыг ашиглах нь дээр юм. ICD файлыг тухайн нэгжийн борлуулагч өгдөг бөгөөд анхдагч тохируулгыг илэрхийлдэг.</w:t>
            </w:r>
          </w:p>
          <w:p w:rsidR="00E07CB1" w:rsidRPr="00E07CB1" w:rsidRDefault="00E07CB1" w:rsidP="00E07CB1">
            <w:pPr>
              <w:tabs>
                <w:tab w:val="left" w:pos="0"/>
              </w:tabs>
              <w:ind w:left="0" w:firstLine="0"/>
              <w:rPr>
                <w:rFonts w:eastAsia="Calibri"/>
                <w:bCs/>
                <w:szCs w:val="22"/>
              </w:rPr>
            </w:pPr>
            <w:r w:rsidRPr="00E07CB1">
              <w:rPr>
                <w:rFonts w:eastAsia="Calibri"/>
                <w:bCs/>
                <w:szCs w:val="22"/>
              </w:rPr>
              <w:t>Алхам 2: IEC 61850 протоколыг ашиглах эхний алхамыг хангах</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Энэ алхам нь хэрэглэгчийг ISO 9506 (IEC 61850-8-1 дахь MMS г.м)-ыг хэрэглэх шаардлагагүй IEC/TR 61850-90-5 (энэ баримт бичиг)-д оруулсан протокол, загварууд, аюулгүй байдал гэх мэтфункционал боломжуудаархангадаг. Энэ алхам нь </w:t>
            </w:r>
            <w:r w:rsidRPr="00E07CB1">
              <w:rPr>
                <w:rFonts w:eastAsia="Calibri"/>
                <w:bCs/>
                <w:szCs w:val="22"/>
              </w:rPr>
              <w:lastRenderedPageBreak/>
              <w:t>үндсэндээ илүү сайжруулсан протокол ба сервесийн боломж (ж.нь урсгалаас гадна үйл явдлыг дэмждэг), аюулгүй байдлыг хангадаг. Үндсэндээ энэ алхам нь шинэ чиглүүлэгч профайл дээр GOOSE ба SV-ийг ашигладаг. Харилцаа холбооны урсгалын тохируулгыг SCL-ээр дамжуулан хийдэг (1-р алхамтай ижил). Гэвч ISO 9506-г ашиглахгүйгээр дамжуулалтыг идэвхжүүлэх ба идэвхгүй болгох нь SCL файлд гүйцэтгэгдэх ёстой.</w:t>
            </w:r>
          </w:p>
          <w:p w:rsidR="00E07CB1" w:rsidRPr="00E07CB1" w:rsidRDefault="00E07CB1" w:rsidP="00E07CB1">
            <w:pPr>
              <w:tabs>
                <w:tab w:val="left" w:pos="0"/>
              </w:tabs>
              <w:ind w:left="0" w:firstLine="0"/>
              <w:rPr>
                <w:rFonts w:eastAsia="Calibri"/>
                <w:bCs/>
                <w:szCs w:val="22"/>
              </w:rPr>
            </w:pPr>
            <w:r w:rsidRPr="00E07CB1">
              <w:rPr>
                <w:rFonts w:eastAsia="Calibri"/>
                <w:bCs/>
                <w:szCs w:val="22"/>
              </w:rPr>
              <w:t>Төгсгөлийн цэг: Бүрэн IEC 61850 боломж.</w:t>
            </w:r>
          </w:p>
          <w:p w:rsidR="00E07CB1" w:rsidRPr="00E07CB1" w:rsidRDefault="00E07CB1" w:rsidP="00E07CB1">
            <w:pPr>
              <w:tabs>
                <w:tab w:val="left" w:pos="0"/>
              </w:tabs>
              <w:ind w:left="0" w:firstLine="0"/>
              <w:rPr>
                <w:rFonts w:eastAsia="Calibri"/>
                <w:bCs/>
                <w:szCs w:val="22"/>
              </w:rPr>
            </w:pPr>
            <w:r w:rsidRPr="00E07CB1">
              <w:rPr>
                <w:rFonts w:eastAsia="Calibri"/>
                <w:bCs/>
                <w:szCs w:val="22"/>
              </w:rPr>
              <w:t>Төгсгөлийн цэг нь 2-р алхамын боломжийг хангадаг бөгөөд IEC 61850-ийн онцлог ба бусад сервесийн бүрэн боломжийг нэмж өгдөг. Жишээлбэл, энэ нь Удирдлагын блокуудыг динамикаар (жишээ нь зөвхөн SCL-ээр дамжуулж биш) идэвхжүүлж / идэвхгүй болгох, түүнчлэн DataSets-ийг динамик үүсгэх боломжийг олгодог.</w:t>
            </w:r>
          </w:p>
          <w:p w:rsidR="00E07CB1" w:rsidRPr="00E07CB1" w:rsidRDefault="00E07CB1" w:rsidP="00E07CB1">
            <w:pPr>
              <w:tabs>
                <w:tab w:val="left" w:pos="0"/>
              </w:tabs>
              <w:ind w:left="0" w:firstLine="0"/>
              <w:rPr>
                <w:rFonts w:eastAsia="Calibri"/>
                <w:bCs/>
                <w:szCs w:val="22"/>
              </w:rPr>
            </w:pPr>
            <w:r w:rsidRPr="00E07CB1">
              <w:rPr>
                <w:rFonts w:eastAsia="Calibri"/>
                <w:bCs/>
                <w:szCs w:val="22"/>
              </w:rPr>
              <w:t>Ерөнхийдөө Алхмуудыг Хүснэгт C.1-д харуулсны дагуу илэрхийлж болно:</w:t>
            </w:r>
          </w:p>
        </w:tc>
        <w:tc>
          <w:tcPr>
            <w:tcW w:w="4672" w:type="dxa"/>
          </w:tcPr>
          <w:p w:rsidR="00E07CB1" w:rsidRPr="00E07CB1" w:rsidRDefault="00E07CB1" w:rsidP="00E07CB1">
            <w:pPr>
              <w:tabs>
                <w:tab w:val="left" w:pos="0"/>
              </w:tabs>
              <w:ind w:left="0" w:firstLine="0"/>
              <w:jc w:val="center"/>
              <w:rPr>
                <w:rFonts w:eastAsia="Calibri"/>
                <w:bCs/>
                <w:szCs w:val="22"/>
              </w:rPr>
            </w:pPr>
            <w:r w:rsidRPr="00E07CB1">
              <w:rPr>
                <w:rFonts w:eastAsia="Calibri"/>
                <w:b/>
                <w:bCs/>
                <w:szCs w:val="22"/>
              </w:rPr>
              <w:lastRenderedPageBreak/>
              <w:t>Annex C</w:t>
            </w:r>
            <w:r w:rsidRPr="00E07CB1">
              <w:rPr>
                <w:rFonts w:eastAsia="Calibri"/>
                <w:bCs/>
                <w:szCs w:val="22"/>
              </w:rPr>
              <w:t xml:space="preserve">                                                         (informative)</w:t>
            </w:r>
          </w:p>
          <w:p w:rsidR="00E07CB1" w:rsidRPr="00E07CB1" w:rsidRDefault="00E07CB1" w:rsidP="00E07CB1">
            <w:pPr>
              <w:tabs>
                <w:tab w:val="left" w:pos="0"/>
              </w:tabs>
              <w:ind w:left="0" w:firstLine="0"/>
              <w:rPr>
                <w:rFonts w:eastAsia="Calibri"/>
                <w:b/>
                <w:bCs/>
                <w:szCs w:val="22"/>
              </w:rPr>
            </w:pPr>
            <w:r w:rsidRPr="00E07CB1">
              <w:rPr>
                <w:rFonts w:eastAsia="Calibri"/>
                <w:b/>
                <w:bCs/>
                <w:szCs w:val="22"/>
              </w:rPr>
              <w:t>Migration from IEEE C37.118 to IEC 61850</w:t>
            </w:r>
          </w:p>
          <w:p w:rsidR="00E07CB1" w:rsidRPr="00E07CB1" w:rsidRDefault="00E07CB1" w:rsidP="00E07CB1">
            <w:pPr>
              <w:tabs>
                <w:tab w:val="left" w:pos="0"/>
              </w:tabs>
              <w:ind w:left="0" w:firstLine="0"/>
              <w:rPr>
                <w:rFonts w:eastAsia="Calibri"/>
                <w:b/>
                <w:bCs/>
                <w:szCs w:val="22"/>
              </w:rPr>
            </w:pPr>
            <w:r w:rsidRPr="00E07CB1">
              <w:rPr>
                <w:rFonts w:eastAsia="Calibri"/>
                <w:b/>
                <w:bCs/>
                <w:szCs w:val="22"/>
              </w:rPr>
              <w:t>C.1 General</w:t>
            </w:r>
          </w:p>
          <w:p w:rsidR="00E07CB1" w:rsidRPr="00E07CB1" w:rsidRDefault="00E07CB1" w:rsidP="00E07CB1">
            <w:pPr>
              <w:tabs>
                <w:tab w:val="left" w:pos="0"/>
              </w:tabs>
              <w:ind w:left="0" w:firstLine="0"/>
              <w:rPr>
                <w:rFonts w:eastAsia="Calibri"/>
                <w:bCs/>
                <w:szCs w:val="22"/>
              </w:rPr>
            </w:pPr>
            <w:r w:rsidRPr="00E07CB1">
              <w:rPr>
                <w:rFonts w:eastAsia="Calibri"/>
                <w:bCs/>
                <w:szCs w:val="22"/>
              </w:rPr>
              <w:t>In 2005, IEEE C37.118 – Synchrophasors for Power Systems was  published. The scope of  this standard was:</w:t>
            </w:r>
          </w:p>
          <w:p w:rsidR="00E07CB1" w:rsidRPr="00E07CB1" w:rsidRDefault="00E07CB1" w:rsidP="00E07CB1">
            <w:pPr>
              <w:tabs>
                <w:tab w:val="left" w:pos="0"/>
              </w:tabs>
              <w:ind w:left="0" w:firstLine="0"/>
              <w:rPr>
                <w:rFonts w:eastAsia="Calibri"/>
                <w:bCs/>
                <w:szCs w:val="22"/>
              </w:rPr>
            </w:pPr>
            <w:r w:rsidRPr="00E07CB1">
              <w:rPr>
                <w:rFonts w:eastAsia="Calibri"/>
                <w:bCs/>
                <w:szCs w:val="22"/>
              </w:rPr>
              <w:t>“This is a standard for synchronized phasor measurement systems in power systems. It addresses the definition of a synchronized phasor, time synchronization, application of timetags, method to verify measurement compliance with the standard, and message formats for communication with a phasor measurement unit (PMU). In this context, a PMU can be a stand-alone physical unit or a functional unit within another physical unit. This standard does not specify limits to measurement response time, accuracy under transient conditions, hardware, software, or a method for computing phasors.” [From  IEEE C37.118.1]</w:t>
            </w:r>
          </w:p>
          <w:p w:rsidR="00E07CB1" w:rsidRPr="00E07CB1" w:rsidRDefault="00E07CB1" w:rsidP="00E07CB1">
            <w:pPr>
              <w:tabs>
                <w:tab w:val="left" w:pos="0"/>
              </w:tabs>
              <w:ind w:left="0" w:firstLine="0"/>
              <w:rPr>
                <w:rFonts w:eastAsia="Calibri"/>
                <w:bCs/>
                <w:szCs w:val="22"/>
              </w:rPr>
            </w:pPr>
            <w:r w:rsidRPr="00E07CB1">
              <w:rPr>
                <w:rFonts w:eastAsia="Calibri"/>
                <w:bCs/>
                <w:szCs w:val="22"/>
              </w:rPr>
              <w:t>Based upon the scope, there are two aspects to the standard:</w:t>
            </w:r>
          </w:p>
          <w:p w:rsidR="00E07CB1" w:rsidRPr="00E07CB1" w:rsidRDefault="00E07CB1" w:rsidP="00472036">
            <w:pPr>
              <w:pStyle w:val="ListParagraph"/>
              <w:numPr>
                <w:ilvl w:val="0"/>
                <w:numId w:val="39"/>
              </w:numPr>
              <w:tabs>
                <w:tab w:val="left" w:pos="0"/>
              </w:tabs>
              <w:spacing w:after="0"/>
              <w:ind w:left="0" w:firstLine="0"/>
              <w:rPr>
                <w:rFonts w:eastAsia="Calibri"/>
                <w:bCs/>
                <w:szCs w:val="22"/>
              </w:rPr>
            </w:pPr>
            <w:r w:rsidRPr="00E07CB1">
              <w:rPr>
                <w:rFonts w:eastAsia="Calibri"/>
                <w:bCs/>
                <w:szCs w:val="22"/>
              </w:rPr>
              <w:t>measurement and time tagging specifications that allow for the creation of a synchronized phasor measurement;</w:t>
            </w:r>
          </w:p>
          <w:p w:rsidR="00E07CB1" w:rsidRPr="00E07CB1" w:rsidRDefault="00E07CB1" w:rsidP="00472036">
            <w:pPr>
              <w:pStyle w:val="ListParagraph"/>
              <w:numPr>
                <w:ilvl w:val="0"/>
                <w:numId w:val="39"/>
              </w:numPr>
              <w:tabs>
                <w:tab w:val="left" w:pos="0"/>
              </w:tabs>
              <w:spacing w:after="0"/>
              <w:ind w:left="0" w:firstLine="0"/>
              <w:rPr>
                <w:rFonts w:eastAsia="Calibri"/>
                <w:bCs/>
                <w:szCs w:val="22"/>
              </w:rPr>
            </w:pPr>
            <w:r w:rsidRPr="00E07CB1">
              <w:rPr>
                <w:rFonts w:eastAsia="Calibri"/>
                <w:bCs/>
                <w:szCs w:val="22"/>
              </w:rPr>
              <w:t>a message format to convey the measured information.</w:t>
            </w:r>
          </w:p>
          <w:p w:rsidR="00E07CB1" w:rsidRPr="00E07CB1" w:rsidRDefault="00E07CB1" w:rsidP="00E07CB1">
            <w:pPr>
              <w:pStyle w:val="ListParagraph"/>
              <w:tabs>
                <w:tab w:val="left" w:pos="0"/>
              </w:tabs>
              <w:spacing w:after="0"/>
              <w:ind w:left="0" w:firstLine="0"/>
              <w:rPr>
                <w:rFonts w:eastAsia="Calibri"/>
                <w:bCs/>
                <w:szCs w:val="22"/>
              </w:rPr>
            </w:pPr>
            <w:r w:rsidRPr="00E07CB1">
              <w:rPr>
                <w:rFonts w:eastAsia="Calibri"/>
                <w:bCs/>
                <w:szCs w:val="22"/>
              </w:rPr>
              <w:t>This message format specifies  a packet  structure, but does not standardize a communication profile over which to exchange the packet.</w:t>
            </w:r>
          </w:p>
          <w:p w:rsidR="00E07CB1" w:rsidRPr="00E07CB1" w:rsidRDefault="00E07CB1" w:rsidP="00E07CB1">
            <w:pPr>
              <w:pStyle w:val="ListParagraph"/>
              <w:tabs>
                <w:tab w:val="left" w:pos="0"/>
              </w:tabs>
              <w:spacing w:after="0"/>
              <w:ind w:left="0" w:firstLine="0"/>
              <w:rPr>
                <w:rFonts w:eastAsia="Calibri"/>
                <w:bCs/>
                <w:szCs w:val="22"/>
              </w:rPr>
            </w:pPr>
            <w:r w:rsidRPr="00E07CB1">
              <w:rPr>
                <w:rFonts w:eastAsia="Calibri"/>
                <w:bCs/>
                <w:szCs w:val="22"/>
              </w:rPr>
              <w:t xml:space="preserve">During the standardization process, the use of IEC 61850 was discussed as an alternative  to the “packet” structure. However, due to time constraints and industry pressures, the inclusion of IEC </w:t>
            </w:r>
            <w:r w:rsidRPr="00E07CB1">
              <w:rPr>
                <w:rFonts w:eastAsia="Calibri"/>
                <w:bCs/>
                <w:szCs w:val="22"/>
              </w:rPr>
              <w:lastRenderedPageBreak/>
              <w:t>61850 did not occur for the first publication of the standard.</w:t>
            </w:r>
          </w:p>
          <w:p w:rsidR="00E07CB1" w:rsidRPr="00E07CB1" w:rsidRDefault="00E07CB1" w:rsidP="00E07CB1">
            <w:pPr>
              <w:tabs>
                <w:tab w:val="left" w:pos="0"/>
              </w:tabs>
              <w:ind w:left="0" w:firstLine="0"/>
              <w:rPr>
                <w:rFonts w:eastAsia="Calibri"/>
                <w:bCs/>
                <w:szCs w:val="22"/>
              </w:rPr>
            </w:pPr>
            <w:r w:rsidRPr="00E07CB1">
              <w:rPr>
                <w:rFonts w:eastAsia="Calibri"/>
                <w:bCs/>
                <w:szCs w:val="22"/>
              </w:rPr>
              <w:t>In the late 2008-early 2009, IEEE requested IEC for a joint logo regarding IEEE C37.118. However, with the scope defined in IEEE C37.118, such a request needed to be coordinated between two different IEC Technical Committees (TCs).</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  TC95 Scope: Standardization of measuring relays and protection equipment used in the various fields  of electrical  engineering covered by the IEC,  taking  into account combinations of devices to form schemes for power system protection including the control, monitoring and process interface equipment used with those systems.</w:t>
            </w:r>
          </w:p>
          <w:p w:rsidR="00E07CB1" w:rsidRPr="00E07CB1" w:rsidRDefault="00E07CB1" w:rsidP="00E07CB1">
            <w:pPr>
              <w:tabs>
                <w:tab w:val="left" w:pos="0"/>
              </w:tabs>
              <w:ind w:left="0" w:firstLine="0"/>
              <w:rPr>
                <w:rFonts w:eastAsia="Calibri"/>
                <w:bCs/>
                <w:szCs w:val="22"/>
              </w:rPr>
            </w:pPr>
            <w:r w:rsidRPr="00E07CB1">
              <w:rPr>
                <w:rFonts w:eastAsia="Calibri"/>
                <w:bCs/>
                <w:szCs w:val="22"/>
              </w:rPr>
              <w:t>TC57 Scope: To prepare international standards for power systems control equipment and systems including EMS (Energy Management Systems), SCADA (Supervisory Control And Data Acquisition), distribution automation, teleprotection, and associated information exchange for real-time and non-real-time information, used in the planning, operation and maintenance of power systems. Power systems management comprises control within control centres,  substations and individual pieces  of primary equipment including telecontrol and interfaces to equipment,   systems and databases, which may be  outside  the scope of TC 57.</w:t>
            </w:r>
          </w:p>
          <w:p w:rsidR="00E07CB1" w:rsidRPr="00E07CB1" w:rsidRDefault="00E07CB1" w:rsidP="00E07CB1">
            <w:pPr>
              <w:tabs>
                <w:tab w:val="left" w:pos="0"/>
              </w:tabs>
              <w:ind w:left="0" w:firstLine="0"/>
              <w:rPr>
                <w:rFonts w:eastAsia="Calibri"/>
                <w:bCs/>
                <w:szCs w:val="22"/>
              </w:rPr>
            </w:pPr>
            <w:r w:rsidRPr="00E07CB1">
              <w:rPr>
                <w:rFonts w:eastAsia="Calibri"/>
                <w:bCs/>
                <w:szCs w:val="22"/>
              </w:rPr>
              <w:t>In order to accommodate IEEE coordination with the two (2) IEC TCs, and to allow synchrophasor information  to be exchanged via IEC 61850,  IEEE  issued  a Project Authorization Requests (PAR) in 2010 to split the IEEE C37.118 standard into two  distinct parts.’</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IEEE C37.118.1 – Measurement and time tagging specifications for synchronized phasors, frequency, and rate of change of </w:t>
            </w:r>
            <w:r w:rsidRPr="00E07CB1">
              <w:rPr>
                <w:rFonts w:eastAsia="Calibri"/>
                <w:bCs/>
                <w:szCs w:val="22"/>
              </w:rPr>
              <w:lastRenderedPageBreak/>
              <w:t>frequency. This part deals with the measurements only and is intended to be coordinated for dual logo status through IEC TC95.</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IEEE C37.118.2 – A message format to convey the measured information. This part supports the legacy </w:t>
            </w:r>
          </w:p>
          <w:p w:rsidR="00E07CB1" w:rsidRPr="00E07CB1" w:rsidRDefault="00E07CB1" w:rsidP="00E07CB1">
            <w:pPr>
              <w:tabs>
                <w:tab w:val="left" w:pos="0"/>
              </w:tabs>
              <w:ind w:left="0" w:firstLine="0"/>
              <w:rPr>
                <w:rFonts w:eastAsia="Calibri"/>
                <w:bCs/>
                <w:szCs w:val="22"/>
              </w:rPr>
            </w:pPr>
            <w:r w:rsidRPr="00E07CB1">
              <w:rPr>
                <w:rFonts w:eastAsia="Calibri"/>
                <w:bCs/>
                <w:szCs w:val="22"/>
              </w:rPr>
              <w:t>IEEE C37.118.2 – A message format to convey the measured information. This part supports the legacy C37.118 formats and will remain an IEEE standartd.</w:t>
            </w:r>
          </w:p>
          <w:p w:rsidR="00E07CB1" w:rsidRPr="00E07CB1" w:rsidRDefault="00E07CB1" w:rsidP="00E07CB1">
            <w:pPr>
              <w:tabs>
                <w:tab w:val="left" w:pos="0"/>
              </w:tabs>
              <w:ind w:left="0" w:firstLine="0"/>
              <w:rPr>
                <w:rFonts w:eastAsia="Calibri"/>
                <w:bCs/>
                <w:szCs w:val="22"/>
              </w:rPr>
            </w:pPr>
            <w:r w:rsidRPr="00E07CB1">
              <w:rPr>
                <w:rFonts w:eastAsia="Calibri"/>
                <w:bCs/>
                <w:szCs w:val="22"/>
              </w:rPr>
              <w:t>The intent of the two standards is to provide as much backward compatibility as possible with the IEEE C37.118:2005 standard,  but  to  provide  some  enhancements.  In  the  case  of  IEEE C37.118.1, substantial enhancements are ongoing to provide dynamic performance/measurement standardization as well as providing standardization  for  testing and calibration.</w:t>
            </w:r>
          </w:p>
          <w:p w:rsidR="00E07CB1" w:rsidRPr="00E07CB1" w:rsidRDefault="00E07CB1" w:rsidP="00E07CB1">
            <w:pPr>
              <w:tabs>
                <w:tab w:val="left" w:pos="0"/>
              </w:tabs>
              <w:ind w:left="0" w:firstLine="0"/>
              <w:rPr>
                <w:rFonts w:eastAsia="Calibri"/>
                <w:bCs/>
                <w:szCs w:val="22"/>
              </w:rPr>
            </w:pPr>
            <w:r w:rsidRPr="00E07CB1">
              <w:rPr>
                <w:rFonts w:eastAsia="Calibri"/>
                <w:bCs/>
                <w:szCs w:val="22"/>
              </w:rPr>
              <w:t>In regard to IEEE C37.118.2, there was a substantial set of requested enhancements as well  as a limited set of problem resolutions. Upon evaluation of the enhancement requests, it was recognized that an equivalent protocol suite to  IEC 61850 would need to be developed and that interoperability would probably not be able to be maintained should all of the  enhancements be implemented. A decision was made that the IEEE C37.118.2 should standardize the current packet specification of IEEE C37.118:2005 with the resolution to several of the problematic issues. It was further decided that IEC 61850 should be used to provide the enhanced functionality.</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The question became how to provide discrete and manageable steps from IEEE  C37.118.2  into IEC 61850 for users/vendors that desired to use IEC </w:t>
            </w:r>
            <w:r w:rsidRPr="00E07CB1">
              <w:rPr>
                <w:rFonts w:eastAsia="Calibri"/>
                <w:bCs/>
                <w:szCs w:val="22"/>
              </w:rPr>
              <w:lastRenderedPageBreak/>
              <w:t>61850 or the enhanced functionality. The sequence of “manageable steps” constitutes a migration strategy. As such, the starting  and   end   points  of   the   strategy   are   readily   understood.   The   starting    point    is IEEE C37.118:2005 and soon IEEE C37.118.2. The end point, for synchrophasors, would be IEC 61850 as modified by IEC/TR 61850-90-5 (this document). For both endpoints, the measurement techniques referenced would be IEEE C37.118.1.</w:t>
            </w:r>
          </w:p>
          <w:p w:rsidR="00E07CB1" w:rsidRPr="00E07CB1" w:rsidRDefault="00E07CB1" w:rsidP="00E07CB1">
            <w:pPr>
              <w:tabs>
                <w:tab w:val="left" w:pos="0"/>
              </w:tabs>
              <w:ind w:left="0" w:firstLine="0"/>
              <w:rPr>
                <w:rFonts w:eastAsia="Calibri"/>
                <w:bCs/>
                <w:szCs w:val="22"/>
              </w:rPr>
            </w:pPr>
            <w:r w:rsidRPr="00E07CB1">
              <w:rPr>
                <w:rFonts w:eastAsia="Calibri"/>
                <w:bCs/>
                <w:szCs w:val="22"/>
              </w:rPr>
              <w:t>The steps in the migration strategy can be summarized. Starting Point:</w:t>
            </w:r>
            <w:r w:rsidRPr="00E07CB1">
              <w:rPr>
                <w:rFonts w:eastAsia="Calibri"/>
                <w:bCs/>
                <w:szCs w:val="22"/>
              </w:rPr>
              <w:tab/>
              <w:t>IEEE C37.118:2005 or IEEE C37.118.2.</w:t>
            </w:r>
          </w:p>
          <w:p w:rsidR="00E07CB1" w:rsidRPr="00E07CB1" w:rsidRDefault="00E07CB1" w:rsidP="00E07CB1">
            <w:pPr>
              <w:tabs>
                <w:tab w:val="left" w:pos="0"/>
              </w:tabs>
              <w:ind w:left="0" w:firstLine="0"/>
              <w:rPr>
                <w:rFonts w:eastAsia="Calibri"/>
                <w:bCs/>
                <w:szCs w:val="22"/>
              </w:rPr>
            </w:pPr>
            <w:r w:rsidRPr="00E07CB1">
              <w:rPr>
                <w:rFonts w:eastAsia="Calibri"/>
                <w:bCs/>
                <w:szCs w:val="22"/>
              </w:rPr>
              <w:t>This starting point provides the industry with the capability to proceed with projects and deployments using internationally recognized and stable standards.</w:t>
            </w:r>
          </w:p>
          <w:p w:rsidR="00E07CB1" w:rsidRPr="00E07CB1" w:rsidRDefault="00E07CB1" w:rsidP="00E07CB1">
            <w:pPr>
              <w:tabs>
                <w:tab w:val="left" w:pos="0"/>
              </w:tabs>
              <w:ind w:left="0" w:firstLine="0"/>
              <w:rPr>
                <w:rFonts w:eastAsia="Calibri"/>
                <w:bCs/>
                <w:szCs w:val="22"/>
              </w:rPr>
            </w:pPr>
            <w:r w:rsidRPr="00E07CB1">
              <w:rPr>
                <w:rFonts w:eastAsia="Calibri"/>
                <w:bCs/>
                <w:szCs w:val="22"/>
              </w:rPr>
              <w:t>Step 1: Provide standardized configuration capability for C37.118.1 communicating entities.</w:t>
            </w:r>
          </w:p>
          <w:p w:rsidR="00E07CB1" w:rsidRPr="00E07CB1" w:rsidRDefault="00E07CB1" w:rsidP="00E07CB1">
            <w:pPr>
              <w:tabs>
                <w:tab w:val="left" w:pos="0"/>
              </w:tabs>
              <w:ind w:left="0" w:firstLine="0"/>
              <w:rPr>
                <w:rFonts w:eastAsia="Calibri"/>
                <w:bCs/>
                <w:szCs w:val="22"/>
              </w:rPr>
            </w:pPr>
            <w:r w:rsidRPr="00E07CB1">
              <w:rPr>
                <w:rFonts w:eastAsia="Calibri"/>
                <w:bCs/>
                <w:szCs w:val="22"/>
              </w:rPr>
              <w:t>One of the major enhancement requests for C37.118 has been to provide a mechanism to configure a Phasor Measurement Unit (PMU) or Phasor Data Concentrator (PDC) to provide a subset the information available in the unit (e.g. PMU or PDC) for communication within the C37.118 Data packet.</w:t>
            </w:r>
          </w:p>
          <w:p w:rsidR="00E07CB1" w:rsidRPr="00E07CB1" w:rsidRDefault="00E07CB1" w:rsidP="00E07CB1">
            <w:pPr>
              <w:tabs>
                <w:tab w:val="left" w:pos="0"/>
              </w:tabs>
              <w:ind w:left="0" w:firstLine="0"/>
              <w:rPr>
                <w:rFonts w:eastAsia="Calibri"/>
                <w:bCs/>
                <w:szCs w:val="22"/>
              </w:rPr>
            </w:pPr>
            <w:r w:rsidRPr="00E07CB1">
              <w:rPr>
                <w:rFonts w:eastAsia="Calibri"/>
                <w:bCs/>
                <w:szCs w:val="22"/>
              </w:rPr>
              <w:t>NOTE In essence, this represents the  ability to  define the  contents  of  IEEE  C37.118 CFG-2  responses  based upon a subset of the IEEE C37.118 CFG-1 response.</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In the world of IEC 61850, the Substation Configuration Language (SCL) is used to define the overall information contents of a unit (e.g. CFG-1) and to define a subset of the information to be communicated (e.g. CFG-2) via a construct called a DataSet. Therefore, in order to provide the aforementioned configuration capability, </w:t>
            </w:r>
            <w:r w:rsidRPr="00E07CB1">
              <w:rPr>
                <w:rFonts w:eastAsia="Calibri"/>
                <w:bCs/>
                <w:szCs w:val="22"/>
              </w:rPr>
              <w:lastRenderedPageBreak/>
              <w:t>Step 1 makes use of SCL to configure a C37.118 device.</w:t>
            </w:r>
          </w:p>
          <w:p w:rsidR="00E07CB1" w:rsidRPr="00E07CB1" w:rsidRDefault="00E07CB1" w:rsidP="00E07CB1">
            <w:pPr>
              <w:tabs>
                <w:tab w:val="left" w:pos="0"/>
              </w:tabs>
              <w:ind w:left="0" w:firstLine="0"/>
              <w:rPr>
                <w:rFonts w:eastAsia="Calibri"/>
                <w:bCs/>
                <w:szCs w:val="22"/>
              </w:rPr>
            </w:pPr>
            <w:r w:rsidRPr="00E07CB1">
              <w:rPr>
                <w:rFonts w:eastAsia="Calibri"/>
                <w:bCs/>
                <w:szCs w:val="22"/>
              </w:rPr>
              <w:t>Although the communication packet definition, via the creation of subsets/DataSets, is the primary focus of this migration step, there are other benefits as well.</w:t>
            </w:r>
          </w:p>
          <w:p w:rsidR="00E07CB1" w:rsidRPr="00E07CB1" w:rsidRDefault="00E07CB1" w:rsidP="00E07CB1">
            <w:pPr>
              <w:tabs>
                <w:tab w:val="left" w:pos="0"/>
              </w:tabs>
              <w:ind w:left="0" w:firstLine="0"/>
              <w:rPr>
                <w:rFonts w:eastAsia="Calibri"/>
                <w:bCs/>
                <w:szCs w:val="22"/>
              </w:rPr>
            </w:pPr>
            <w:r w:rsidRPr="00E07CB1">
              <w:rPr>
                <w:rFonts w:eastAsia="Calibri"/>
                <w:bCs/>
                <w:szCs w:val="22"/>
              </w:rPr>
              <w:t>There are several types of SCL files that are applicable for use: Instantiated IED Description (IID) or IED Capability Description (ICD) SCL files. It is preferable to utilize the IID file due to the fact that the file reflects the configuration of the communication parameters  as  well as user definitions for the DataSet configurations. The ICD file is provided by the vendor of the  unit and represents a default configuration</w:t>
            </w:r>
          </w:p>
          <w:p w:rsidR="00E07CB1" w:rsidRPr="00E07CB1" w:rsidRDefault="00E07CB1" w:rsidP="00E07CB1">
            <w:pPr>
              <w:tabs>
                <w:tab w:val="left" w:pos="0"/>
              </w:tabs>
              <w:ind w:left="0" w:firstLine="0"/>
              <w:rPr>
                <w:rFonts w:eastAsia="Calibri"/>
                <w:bCs/>
                <w:szCs w:val="22"/>
              </w:rPr>
            </w:pPr>
            <w:r w:rsidRPr="00E07CB1">
              <w:rPr>
                <w:rFonts w:eastAsia="Calibri"/>
                <w:bCs/>
                <w:szCs w:val="22"/>
              </w:rPr>
              <w:t>Step 2: Provide a first step to using the IEC 61850 protocol.</w:t>
            </w:r>
          </w:p>
          <w:p w:rsidR="00E07CB1" w:rsidRPr="00E07CB1" w:rsidRDefault="00E07CB1" w:rsidP="00E07CB1">
            <w:pPr>
              <w:tabs>
                <w:tab w:val="left" w:pos="0"/>
              </w:tabs>
              <w:ind w:left="0" w:firstLine="0"/>
              <w:rPr>
                <w:rFonts w:eastAsia="Calibri"/>
                <w:bCs/>
                <w:szCs w:val="22"/>
              </w:rPr>
            </w:pPr>
            <w:r w:rsidRPr="00E07CB1">
              <w:rPr>
                <w:rFonts w:eastAsia="Calibri"/>
                <w:bCs/>
                <w:szCs w:val="22"/>
              </w:rPr>
              <w:t>This step provides a user with the functionality for using the protocol, models, security, etc. as published within IEC/TR 61850-90-5 (this   document)   without   the  requirement  of  using ISO 9506 (e.g. the MMS profile in IEC 61850-8-1). This step basically provides a more enhanced protocol and service capability (e.g. supports events in addition to streams) as well as security. In essence, this step utilizes GOOSE and SV over a new routable profile. The configuration of the communication streams is still performed via SCL (same as in Step 1). However, without using ISO 9506, the enabling and disabling of the streams also needs to be performed in the SCL file.</w:t>
            </w:r>
          </w:p>
          <w:p w:rsidR="00E07CB1" w:rsidRPr="00E07CB1" w:rsidRDefault="00E07CB1" w:rsidP="00E07CB1">
            <w:pPr>
              <w:tabs>
                <w:tab w:val="left" w:pos="0"/>
              </w:tabs>
              <w:ind w:left="0" w:firstLine="0"/>
              <w:rPr>
                <w:rFonts w:eastAsia="Calibri"/>
                <w:bCs/>
                <w:szCs w:val="22"/>
              </w:rPr>
            </w:pPr>
            <w:r w:rsidRPr="00E07CB1">
              <w:rPr>
                <w:rFonts w:eastAsia="Calibri"/>
                <w:bCs/>
                <w:szCs w:val="22"/>
              </w:rPr>
              <w:t>End Point: Full IEC 61850 capability.</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The end point provides the capabilities of Step 2 and adds the full capabilities of the other services and features of IEC 61850. As an example, this allows the Control blocks to be enabled/disabled dynamically (e.g. via communication and not just </w:t>
            </w:r>
            <w:r w:rsidRPr="00E07CB1">
              <w:rPr>
                <w:rFonts w:eastAsia="Calibri"/>
                <w:bCs/>
                <w:szCs w:val="22"/>
              </w:rPr>
              <w:lastRenderedPageBreak/>
              <w:t>through SCL) as well as dynamic creation of DataSets.</w:t>
            </w:r>
          </w:p>
          <w:p w:rsidR="00E07CB1" w:rsidRPr="00E07CB1" w:rsidRDefault="00E07CB1" w:rsidP="00E07CB1">
            <w:pPr>
              <w:tabs>
                <w:tab w:val="left" w:pos="0"/>
              </w:tabs>
              <w:ind w:left="0" w:firstLine="0"/>
              <w:rPr>
                <w:rFonts w:eastAsia="Calibri"/>
                <w:bCs/>
                <w:szCs w:val="22"/>
              </w:rPr>
            </w:pPr>
            <w:r w:rsidRPr="00E07CB1">
              <w:rPr>
                <w:rFonts w:eastAsia="Calibri"/>
                <w:bCs/>
                <w:szCs w:val="22"/>
              </w:rPr>
              <w:t xml:space="preserve">In general, the steps can be represented in tabular form as shown in </w:t>
            </w:r>
            <w:hyperlink w:anchor="_bookmark88" w:history="1">
              <w:r w:rsidRPr="00E07CB1">
                <w:rPr>
                  <w:rFonts w:eastAsia="Calibri"/>
                  <w:bCs/>
                  <w:szCs w:val="22"/>
                </w:rPr>
                <w:t>Table C.1:</w:t>
              </w:r>
            </w:hyperlink>
          </w:p>
          <w:p w:rsidR="00E07CB1" w:rsidRPr="00E07CB1" w:rsidRDefault="00E07CB1" w:rsidP="00E07CB1">
            <w:pPr>
              <w:tabs>
                <w:tab w:val="left" w:pos="0"/>
              </w:tabs>
              <w:ind w:left="0" w:firstLine="0"/>
              <w:rPr>
                <w:rFonts w:eastAsia="Calibri"/>
                <w:bCs/>
                <w:szCs w:val="22"/>
              </w:rPr>
            </w:pPr>
          </w:p>
        </w:tc>
      </w:tr>
    </w:tbl>
    <w:p w:rsidR="00E07CB1" w:rsidRDefault="00E07CB1" w:rsidP="00CD1812">
      <w:pPr>
        <w:ind w:left="0" w:firstLine="0"/>
        <w:jc w:val="center"/>
        <w:rPr>
          <w:b/>
          <w:lang w:val="en-US"/>
        </w:rPr>
      </w:pPr>
    </w:p>
    <w:p w:rsidR="00E07CB1" w:rsidRDefault="00E07CB1" w:rsidP="00CD1812">
      <w:pPr>
        <w:ind w:left="0" w:firstLine="0"/>
        <w:jc w:val="center"/>
        <w:rPr>
          <w:b/>
          <w:lang w:val="en-US"/>
        </w:rPr>
      </w:pPr>
      <w:r w:rsidRPr="00E07CB1">
        <w:rPr>
          <w:b/>
          <w:lang w:val="en-US"/>
        </w:rPr>
        <w:t>C.1</w:t>
      </w:r>
      <w:r>
        <w:rPr>
          <w:b/>
          <w:lang w:val="en-US"/>
        </w:rPr>
        <w:t>-</w:t>
      </w:r>
      <w:r>
        <w:rPr>
          <w:b/>
        </w:rPr>
        <w:t>р хүснэгт</w:t>
      </w:r>
      <w:r w:rsidRPr="00E07CB1">
        <w:rPr>
          <w:b/>
          <w:lang w:val="en-US"/>
        </w:rPr>
        <w:t xml:space="preserve"> – C37.118-ээс IEC 61850 руу шилжих алхмууд</w:t>
      </w:r>
    </w:p>
    <w:tbl>
      <w:tblPr>
        <w:tblStyle w:val="TableGrid"/>
        <w:tblW w:w="0" w:type="auto"/>
        <w:tblLook w:val="04A0" w:firstRow="1" w:lastRow="0" w:firstColumn="1" w:lastColumn="0" w:noHBand="0" w:noVBand="1"/>
      </w:tblPr>
      <w:tblGrid>
        <w:gridCol w:w="1903"/>
        <w:gridCol w:w="1904"/>
        <w:gridCol w:w="1904"/>
        <w:gridCol w:w="1350"/>
        <w:gridCol w:w="2283"/>
      </w:tblGrid>
      <w:tr w:rsidR="00E07CB1" w:rsidTr="009602BB">
        <w:tc>
          <w:tcPr>
            <w:tcW w:w="1852" w:type="dxa"/>
            <w:shd w:val="clear" w:color="auto" w:fill="FFFF00"/>
          </w:tcPr>
          <w:p w:rsidR="00E07CB1" w:rsidRPr="00E07CB1" w:rsidRDefault="00E07CB1" w:rsidP="00E07CB1">
            <w:pPr>
              <w:tabs>
                <w:tab w:val="left" w:pos="0"/>
              </w:tabs>
              <w:ind w:left="0" w:firstLine="0"/>
              <w:jc w:val="center"/>
              <w:rPr>
                <w:rFonts w:eastAsia="Calibri"/>
                <w:b/>
                <w:bCs/>
                <w:sz w:val="20"/>
                <w:szCs w:val="20"/>
              </w:rPr>
            </w:pPr>
            <w:r w:rsidRPr="00E07CB1">
              <w:rPr>
                <w:rFonts w:eastAsia="Calibri"/>
                <w:b/>
                <w:bCs/>
                <w:sz w:val="20"/>
                <w:szCs w:val="20"/>
              </w:rPr>
              <w:t>Боломж</w:t>
            </w:r>
          </w:p>
        </w:tc>
        <w:tc>
          <w:tcPr>
            <w:tcW w:w="1838" w:type="dxa"/>
            <w:shd w:val="clear" w:color="auto" w:fill="FFFF00"/>
          </w:tcPr>
          <w:p w:rsidR="00E07CB1" w:rsidRPr="00E07CB1" w:rsidRDefault="00E07CB1" w:rsidP="00E07CB1">
            <w:pPr>
              <w:tabs>
                <w:tab w:val="left" w:pos="0"/>
              </w:tabs>
              <w:ind w:left="0" w:firstLine="0"/>
              <w:jc w:val="center"/>
              <w:rPr>
                <w:rFonts w:eastAsia="Calibri"/>
                <w:b/>
                <w:bCs/>
                <w:sz w:val="20"/>
                <w:szCs w:val="20"/>
              </w:rPr>
            </w:pPr>
            <w:r w:rsidRPr="00E07CB1">
              <w:rPr>
                <w:rFonts w:eastAsia="Calibri"/>
                <w:b/>
                <w:bCs/>
                <w:sz w:val="20"/>
                <w:szCs w:val="20"/>
              </w:rPr>
              <w:t>Эхлэл цэг</w:t>
            </w:r>
          </w:p>
        </w:tc>
        <w:tc>
          <w:tcPr>
            <w:tcW w:w="1838" w:type="dxa"/>
            <w:shd w:val="clear" w:color="auto" w:fill="FFFF00"/>
          </w:tcPr>
          <w:p w:rsidR="00E07CB1" w:rsidRPr="00E07CB1" w:rsidRDefault="00E07CB1" w:rsidP="00E07CB1">
            <w:pPr>
              <w:tabs>
                <w:tab w:val="left" w:pos="0"/>
              </w:tabs>
              <w:ind w:left="0" w:firstLine="0"/>
              <w:jc w:val="center"/>
              <w:rPr>
                <w:rFonts w:eastAsia="Calibri"/>
                <w:b/>
                <w:bCs/>
                <w:sz w:val="20"/>
                <w:szCs w:val="20"/>
              </w:rPr>
            </w:pPr>
            <w:r w:rsidRPr="00E07CB1">
              <w:rPr>
                <w:rFonts w:eastAsia="Calibri"/>
                <w:b/>
                <w:bCs/>
                <w:sz w:val="20"/>
                <w:szCs w:val="20"/>
              </w:rPr>
              <w:t>Алхам 1 – Эхлэл цэг рүү нэмэх</w:t>
            </w:r>
          </w:p>
        </w:tc>
        <w:tc>
          <w:tcPr>
            <w:tcW w:w="1961" w:type="dxa"/>
            <w:shd w:val="clear" w:color="auto" w:fill="FFFF00"/>
          </w:tcPr>
          <w:p w:rsidR="00E07CB1" w:rsidRPr="00E07CB1" w:rsidRDefault="00E07CB1" w:rsidP="00E07CB1">
            <w:pPr>
              <w:tabs>
                <w:tab w:val="left" w:pos="0"/>
              </w:tabs>
              <w:ind w:left="0" w:firstLine="0"/>
              <w:jc w:val="center"/>
              <w:rPr>
                <w:rFonts w:eastAsia="Calibri"/>
                <w:b/>
                <w:bCs/>
                <w:sz w:val="20"/>
                <w:szCs w:val="20"/>
              </w:rPr>
            </w:pPr>
            <w:r w:rsidRPr="00E07CB1">
              <w:rPr>
                <w:rFonts w:eastAsia="Calibri"/>
                <w:b/>
                <w:bCs/>
                <w:sz w:val="20"/>
                <w:szCs w:val="20"/>
              </w:rPr>
              <w:t>Алхам 2</w:t>
            </w:r>
          </w:p>
        </w:tc>
        <w:tc>
          <w:tcPr>
            <w:tcW w:w="1855" w:type="dxa"/>
            <w:shd w:val="clear" w:color="auto" w:fill="FFFF00"/>
          </w:tcPr>
          <w:p w:rsidR="00E07CB1" w:rsidRPr="00E07CB1" w:rsidRDefault="00E07CB1" w:rsidP="00E07CB1">
            <w:pPr>
              <w:tabs>
                <w:tab w:val="left" w:pos="0"/>
              </w:tabs>
              <w:ind w:left="0" w:firstLine="0"/>
              <w:jc w:val="center"/>
              <w:rPr>
                <w:rFonts w:eastAsia="Calibri"/>
                <w:b/>
                <w:bCs/>
                <w:sz w:val="20"/>
                <w:szCs w:val="20"/>
              </w:rPr>
            </w:pPr>
            <w:r w:rsidRPr="00E07CB1">
              <w:rPr>
                <w:rFonts w:eastAsia="Calibri"/>
                <w:b/>
                <w:bCs/>
                <w:sz w:val="20"/>
                <w:szCs w:val="20"/>
              </w:rPr>
              <w:t>Төгсгөл цэг– Алхам2 руу нэмэх</w:t>
            </w:r>
          </w:p>
        </w:tc>
      </w:tr>
      <w:tr w:rsidR="00E07CB1" w:rsidTr="00E07CB1">
        <w:tc>
          <w:tcPr>
            <w:tcW w:w="1852"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Синхрофазор өгөгдөл солилцохыг идэвхжүүлэх/идэвхгүй болгох</w:t>
            </w:r>
          </w:p>
        </w:tc>
        <w:tc>
          <w:tcPr>
            <w:tcW w:w="1838"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IEEE C37.118.2командыг идэвхжүүлэх/идэвхгүй болгох</w:t>
            </w:r>
          </w:p>
        </w:tc>
        <w:tc>
          <w:tcPr>
            <w:tcW w:w="1838"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SCL CID файлыг автоматаар идэвхжүүлэх/идэвхгүй болгоход ашиглаж болно.</w:t>
            </w:r>
          </w:p>
        </w:tc>
        <w:tc>
          <w:tcPr>
            <w:tcW w:w="1961"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SCL-ийн хэрэглээ Алхам 1-тэй ижил</w:t>
            </w:r>
          </w:p>
        </w:tc>
        <w:tc>
          <w:tcPr>
            <w:tcW w:w="1855"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IEC 61850 удирдлагын блокууд нь C37.118.2 командын ижил төстэй функционалуудыгхангахын тулд идэвхжүүлэх/идэвхгүй болгох</w:t>
            </w:r>
          </w:p>
        </w:tc>
      </w:tr>
      <w:tr w:rsidR="00E07CB1" w:rsidTr="00E07CB1">
        <w:tc>
          <w:tcPr>
            <w:tcW w:w="1852"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Гарчиг солилцох - тайлбар мэдээлэл авах</w:t>
            </w:r>
          </w:p>
        </w:tc>
        <w:tc>
          <w:tcPr>
            <w:tcW w:w="1838"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IEEE C37.118.2 Гарчиг солилцох команд</w:t>
            </w:r>
          </w:p>
        </w:tc>
        <w:tc>
          <w:tcPr>
            <w:tcW w:w="1838"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 xml:space="preserve">SCL CID нь тайлбарын мэдээллийг тохируулахын тулд ашиглахаас гадна засварлахад ашиглах боломжтой. Энэ нь объектын </w:t>
            </w:r>
            <w:r w:rsidRPr="00E07CB1">
              <w:rPr>
                <w:rFonts w:eastAsia="Calibri"/>
                <w:bCs/>
                <w:sz w:val="20"/>
                <w:szCs w:val="20"/>
              </w:rPr>
              <w:lastRenderedPageBreak/>
              <w:t>загварт тодорхойлсон талбаруудыг ашиглах замаар гүйцэтгэгдэнэ.</w:t>
            </w:r>
          </w:p>
        </w:tc>
        <w:tc>
          <w:tcPr>
            <w:tcW w:w="1961"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lastRenderedPageBreak/>
              <w:t>SCL-ийн хэрэглээ Алхам 1-тэй ижил</w:t>
            </w:r>
          </w:p>
        </w:tc>
        <w:tc>
          <w:tcPr>
            <w:tcW w:w="1855"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 xml:space="preserve">Файл дамжуулах боломж, түүнтэй ижил төстэй динамик асуулга хийх боломжийг олгодог (ж.нь тайлбарыг файл сололцохоос илүү харилцаа холбооны </w:t>
            </w:r>
            <w:r w:rsidRPr="00E07CB1">
              <w:rPr>
                <w:rFonts w:eastAsia="Calibri"/>
                <w:bCs/>
                <w:sz w:val="20"/>
                <w:szCs w:val="20"/>
              </w:rPr>
              <w:lastRenderedPageBreak/>
              <w:t>замаар олж авах боломжийг олгодог).</w:t>
            </w:r>
          </w:p>
        </w:tc>
      </w:tr>
      <w:tr w:rsidR="00E07CB1" w:rsidTr="00E07CB1">
        <w:tc>
          <w:tcPr>
            <w:tcW w:w="1852"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lastRenderedPageBreak/>
              <w:t>Төхөөрөмжийн боломжийн талаархи тайлбараар хангах</w:t>
            </w:r>
          </w:p>
        </w:tc>
        <w:tc>
          <w:tcPr>
            <w:tcW w:w="1838"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IEEE C37.118.2CFG-1</w:t>
            </w:r>
          </w:p>
        </w:tc>
        <w:tc>
          <w:tcPr>
            <w:tcW w:w="1838"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SCL CID файлыг ашиглах болно.</w:t>
            </w:r>
          </w:p>
        </w:tc>
        <w:tc>
          <w:tcPr>
            <w:tcW w:w="1961"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Алхам 1 нь SCL эсвэл өргөжүүлсэн 61850 GOOSE / Sav менежментийн сервесийг ашиглахтай адил.</w:t>
            </w:r>
          </w:p>
        </w:tc>
        <w:tc>
          <w:tcPr>
            <w:tcW w:w="1855"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Харилцаа холбооны хэрэгслээр дамжуулан дуудах, баталгаажуулах боломжийг нэмж өгдөг.</w:t>
            </w:r>
          </w:p>
        </w:tc>
      </w:tr>
      <w:tr w:rsidR="00E07CB1" w:rsidTr="00E07CB1">
        <w:tc>
          <w:tcPr>
            <w:tcW w:w="1852"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Өгөгдөл солилцоход илгээгдэж буй мэдээллийн тохируулгын тайлбараар хангах</w:t>
            </w:r>
          </w:p>
        </w:tc>
        <w:tc>
          <w:tcPr>
            <w:tcW w:w="1838"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IEEE C37.118.2CFG-2</w:t>
            </w:r>
          </w:p>
        </w:tc>
        <w:tc>
          <w:tcPr>
            <w:tcW w:w="1838"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SCL CID файлыг ашиглах болно. Мөн DataSets болон ControlBlocks тохиргоог хийх боломжтой болсон тул олон урсгалын тодорхойлолтыг тодорхойлох боломжтой болно.</w:t>
            </w:r>
          </w:p>
        </w:tc>
        <w:tc>
          <w:tcPr>
            <w:tcW w:w="1961"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Алхам 1 нь SCL эсвэл өргөжүүлсэн 61850 GOOSE / Sav менежментийн сервесийг ашиглахтай адил.</w:t>
            </w:r>
          </w:p>
        </w:tc>
        <w:tc>
          <w:tcPr>
            <w:tcW w:w="1855" w:type="dxa"/>
          </w:tcPr>
          <w:p w:rsidR="00E07CB1" w:rsidRPr="00E07CB1" w:rsidRDefault="00E07CB1" w:rsidP="00E07CB1">
            <w:pPr>
              <w:tabs>
                <w:tab w:val="left" w:pos="0"/>
              </w:tabs>
              <w:ind w:left="0" w:firstLine="0"/>
              <w:rPr>
                <w:rFonts w:eastAsia="Calibri"/>
                <w:bCs/>
                <w:sz w:val="20"/>
                <w:szCs w:val="20"/>
              </w:rPr>
            </w:pPr>
            <w:r w:rsidRPr="00E07CB1">
              <w:rPr>
                <w:rFonts w:eastAsia="Calibri"/>
                <w:bCs/>
                <w:sz w:val="20"/>
                <w:szCs w:val="20"/>
              </w:rPr>
              <w:t>Дуудах, баталгаажуулах, нэмэлт DataSetsдинамикаар үүсгэх боломжуудыг нэмж өгдөг.</w:t>
            </w:r>
          </w:p>
        </w:tc>
      </w:tr>
    </w:tbl>
    <w:p w:rsidR="00E07CB1" w:rsidRPr="00E07CB1" w:rsidRDefault="00E07CB1" w:rsidP="00E07CB1">
      <w:pPr>
        <w:ind w:left="0" w:firstLine="0"/>
        <w:rPr>
          <w:b/>
          <w:lang w:val="en-US"/>
        </w:rPr>
      </w:pPr>
    </w:p>
    <w:p w:rsidR="00E07CB1" w:rsidRDefault="00E07CB1" w:rsidP="00E07CB1">
      <w:pPr>
        <w:ind w:left="0" w:firstLine="0"/>
        <w:jc w:val="center"/>
        <w:rPr>
          <w:b/>
          <w:lang w:val="en-US"/>
        </w:rPr>
      </w:pPr>
      <w:r w:rsidRPr="00E07CB1">
        <w:rPr>
          <w:b/>
          <w:lang w:val="en-US"/>
        </w:rPr>
        <w:t>Table C.1 – Migration steps from C37.118 to IEC 61850</w:t>
      </w:r>
    </w:p>
    <w:tbl>
      <w:tblPr>
        <w:tblStyle w:val="TableGrid"/>
        <w:tblW w:w="0" w:type="auto"/>
        <w:tblLook w:val="04A0" w:firstRow="1" w:lastRow="0" w:firstColumn="1" w:lastColumn="0" w:noHBand="0" w:noVBand="1"/>
      </w:tblPr>
      <w:tblGrid>
        <w:gridCol w:w="1868"/>
        <w:gridCol w:w="1869"/>
        <w:gridCol w:w="1869"/>
        <w:gridCol w:w="1869"/>
        <w:gridCol w:w="1869"/>
      </w:tblGrid>
      <w:tr w:rsidR="009602BB" w:rsidTr="009602BB">
        <w:tc>
          <w:tcPr>
            <w:tcW w:w="1868" w:type="dxa"/>
            <w:shd w:val="clear" w:color="auto" w:fill="FFFF00"/>
          </w:tcPr>
          <w:p w:rsidR="009602BB" w:rsidRPr="00EF2D2B" w:rsidRDefault="009602BB" w:rsidP="009602BB">
            <w:pPr>
              <w:pStyle w:val="TableParagraph"/>
              <w:tabs>
                <w:tab w:val="left" w:pos="0"/>
              </w:tabs>
              <w:spacing w:line="276" w:lineRule="auto"/>
              <w:rPr>
                <w:b/>
                <w:sz w:val="20"/>
                <w:szCs w:val="20"/>
                <w:lang w:val="mn-MN"/>
              </w:rPr>
            </w:pPr>
            <w:r w:rsidRPr="00EF2D2B">
              <w:rPr>
                <w:b/>
                <w:sz w:val="20"/>
                <w:szCs w:val="20"/>
                <w:lang w:val="mn-MN"/>
              </w:rPr>
              <w:t>Capability</w:t>
            </w:r>
          </w:p>
        </w:tc>
        <w:tc>
          <w:tcPr>
            <w:tcW w:w="1869" w:type="dxa"/>
            <w:shd w:val="clear" w:color="auto" w:fill="FFFF00"/>
          </w:tcPr>
          <w:p w:rsidR="009602BB" w:rsidRPr="00EF2D2B" w:rsidRDefault="009602BB" w:rsidP="009602BB">
            <w:pPr>
              <w:pStyle w:val="TableParagraph"/>
              <w:tabs>
                <w:tab w:val="left" w:pos="0"/>
              </w:tabs>
              <w:spacing w:line="276" w:lineRule="auto"/>
              <w:rPr>
                <w:b/>
                <w:sz w:val="20"/>
                <w:szCs w:val="20"/>
                <w:lang w:val="mn-MN"/>
              </w:rPr>
            </w:pPr>
            <w:r w:rsidRPr="00EF2D2B">
              <w:rPr>
                <w:b/>
                <w:sz w:val="20"/>
                <w:szCs w:val="20"/>
                <w:lang w:val="mn-MN"/>
              </w:rPr>
              <w:t>Starting Point</w:t>
            </w:r>
          </w:p>
        </w:tc>
        <w:tc>
          <w:tcPr>
            <w:tcW w:w="1869" w:type="dxa"/>
            <w:shd w:val="clear" w:color="auto" w:fill="FFFF00"/>
          </w:tcPr>
          <w:p w:rsidR="009602BB" w:rsidRPr="00EF2D2B" w:rsidRDefault="009602BB" w:rsidP="009602BB">
            <w:pPr>
              <w:pStyle w:val="TableParagraph"/>
              <w:tabs>
                <w:tab w:val="left" w:pos="0"/>
              </w:tabs>
              <w:spacing w:line="276" w:lineRule="auto"/>
              <w:rPr>
                <w:b/>
                <w:sz w:val="20"/>
                <w:szCs w:val="20"/>
                <w:lang w:val="mn-MN"/>
              </w:rPr>
            </w:pPr>
            <w:r w:rsidRPr="00EF2D2B">
              <w:rPr>
                <w:b/>
                <w:sz w:val="20"/>
                <w:szCs w:val="20"/>
                <w:lang w:val="mn-MN"/>
              </w:rPr>
              <w:t>Step 1 – adds to Starting Point</w:t>
            </w:r>
          </w:p>
        </w:tc>
        <w:tc>
          <w:tcPr>
            <w:tcW w:w="1869" w:type="dxa"/>
            <w:shd w:val="clear" w:color="auto" w:fill="FFFF00"/>
          </w:tcPr>
          <w:p w:rsidR="009602BB" w:rsidRPr="00EF2D2B" w:rsidRDefault="009602BB" w:rsidP="009602BB">
            <w:pPr>
              <w:pStyle w:val="TableParagraph"/>
              <w:tabs>
                <w:tab w:val="left" w:pos="0"/>
              </w:tabs>
              <w:spacing w:line="276" w:lineRule="auto"/>
              <w:ind w:right="631"/>
              <w:rPr>
                <w:b/>
                <w:sz w:val="20"/>
                <w:szCs w:val="20"/>
                <w:lang w:val="mn-MN"/>
              </w:rPr>
            </w:pPr>
            <w:r w:rsidRPr="00EF2D2B">
              <w:rPr>
                <w:b/>
                <w:sz w:val="20"/>
                <w:szCs w:val="20"/>
                <w:lang w:val="mn-MN"/>
              </w:rPr>
              <w:t>Step 2</w:t>
            </w:r>
          </w:p>
        </w:tc>
        <w:tc>
          <w:tcPr>
            <w:tcW w:w="1869" w:type="dxa"/>
            <w:shd w:val="clear" w:color="auto" w:fill="FFFF00"/>
          </w:tcPr>
          <w:p w:rsidR="009602BB" w:rsidRPr="00EF2D2B" w:rsidRDefault="009602BB" w:rsidP="009602BB">
            <w:pPr>
              <w:pStyle w:val="TableParagraph"/>
              <w:tabs>
                <w:tab w:val="left" w:pos="0"/>
              </w:tabs>
              <w:spacing w:line="276" w:lineRule="auto"/>
              <w:ind w:right="94"/>
              <w:rPr>
                <w:b/>
                <w:sz w:val="20"/>
                <w:szCs w:val="20"/>
                <w:lang w:val="mn-MN"/>
              </w:rPr>
            </w:pPr>
            <w:r w:rsidRPr="00EF2D2B">
              <w:rPr>
                <w:b/>
                <w:spacing w:val="4"/>
                <w:sz w:val="20"/>
                <w:szCs w:val="20"/>
                <w:lang w:val="mn-MN"/>
              </w:rPr>
              <w:t xml:space="preserve">End </w:t>
            </w:r>
            <w:r w:rsidRPr="00EF2D2B">
              <w:rPr>
                <w:b/>
                <w:spacing w:val="5"/>
                <w:sz w:val="20"/>
                <w:szCs w:val="20"/>
                <w:lang w:val="mn-MN"/>
              </w:rPr>
              <w:t xml:space="preserve">Point </w:t>
            </w:r>
            <w:r w:rsidRPr="00EF2D2B">
              <w:rPr>
                <w:b/>
                <w:sz w:val="20"/>
                <w:szCs w:val="20"/>
                <w:lang w:val="mn-MN"/>
              </w:rPr>
              <w:t xml:space="preserve">– </w:t>
            </w:r>
            <w:r w:rsidRPr="00EF2D2B">
              <w:rPr>
                <w:b/>
                <w:spacing w:val="5"/>
                <w:sz w:val="20"/>
                <w:szCs w:val="20"/>
                <w:lang w:val="mn-MN"/>
              </w:rPr>
              <w:t xml:space="preserve">adds </w:t>
            </w:r>
            <w:r w:rsidRPr="00EF2D2B">
              <w:rPr>
                <w:b/>
                <w:spacing w:val="3"/>
                <w:sz w:val="20"/>
                <w:szCs w:val="20"/>
                <w:lang w:val="mn-MN"/>
              </w:rPr>
              <w:t xml:space="preserve">to </w:t>
            </w:r>
            <w:r w:rsidRPr="00EF2D2B">
              <w:rPr>
                <w:b/>
                <w:spacing w:val="5"/>
                <w:sz w:val="20"/>
                <w:szCs w:val="20"/>
                <w:lang w:val="mn-MN"/>
              </w:rPr>
              <w:t xml:space="preserve">Step </w:t>
            </w:r>
            <w:r w:rsidRPr="00EF2D2B">
              <w:rPr>
                <w:b/>
                <w:spacing w:val="-12"/>
                <w:sz w:val="20"/>
                <w:szCs w:val="20"/>
                <w:lang w:val="mn-MN"/>
              </w:rPr>
              <w:t>2</w:t>
            </w:r>
          </w:p>
        </w:tc>
      </w:tr>
      <w:tr w:rsidR="009602BB" w:rsidTr="009602BB">
        <w:tc>
          <w:tcPr>
            <w:tcW w:w="1868"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Enable/Disable of</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synchrophasor data</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exchange</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IEEE C37.118.2</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Enable/Disable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commands</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SCL CID File could</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be used to</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automatically</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enable/disable.</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Same as Step 1’s</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use of SCL.</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IEC 61850 control</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blocks provide the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equivalent</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functionality of</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C37.118.2</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commands for</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enabling/disabling</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as well.</w:t>
            </w:r>
          </w:p>
        </w:tc>
      </w:tr>
      <w:tr w:rsidR="009602BB" w:rsidTr="009602BB">
        <w:tc>
          <w:tcPr>
            <w:tcW w:w="1868"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Header exchange –</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obtaining</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descriptive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information</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IEEE C37.118.2</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Header Exchange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Command</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SCL CID would be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used to configure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the descriptive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information as well</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as being able to be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used to retrieve it.</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This would be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accomplished</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through the use of</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the description</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lastRenderedPageBreak/>
              <w:t>fields defined in the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object model.</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lastRenderedPageBreak/>
              <w:t>Same as Step 1’s</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use of SCL.</w:t>
            </w:r>
          </w:p>
          <w:p w:rsidR="009602BB" w:rsidRPr="009602BB" w:rsidRDefault="009602BB" w:rsidP="009602BB">
            <w:pPr>
              <w:tabs>
                <w:tab w:val="left" w:pos="0"/>
              </w:tabs>
              <w:ind w:left="0" w:firstLine="0"/>
              <w:rPr>
                <w:rFonts w:eastAsia="Calibri"/>
                <w:bCs/>
                <w:sz w:val="20"/>
                <w:szCs w:val="20"/>
              </w:rPr>
            </w:pP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Provides file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transfer possibility</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as well as dynamic</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query capability</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similar (e.g. allows</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for descriptions to</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be retrieved via</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communication and</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not file exchange).</w:t>
            </w:r>
          </w:p>
        </w:tc>
      </w:tr>
      <w:tr w:rsidR="009602BB" w:rsidTr="009602BB">
        <w:tc>
          <w:tcPr>
            <w:tcW w:w="1868"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lastRenderedPageBreak/>
              <w:t>Provide a</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description of the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capabilities of the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device</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IEEE C37.118.2</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CFG-1</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SCL CID file would</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be used.</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Same as Step 1’s use of SCL. or the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extended 61850</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GOOSE/Sav</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management</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services.</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Adds ability to</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browse and validate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via communications.</w:t>
            </w:r>
          </w:p>
        </w:tc>
      </w:tr>
      <w:tr w:rsidR="009602BB" w:rsidTr="009602BB">
        <w:tc>
          <w:tcPr>
            <w:tcW w:w="1868"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Provide a</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description of the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configuration of the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information being</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sent in the data</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exchange</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IEEE C37.118.2</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CFG-2</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SCL CID file would</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be used.</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Additionally,</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multiple stream</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definition capability</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would be available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due to the ability to</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configure DataSets</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and ControlBlocks.</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Same as Step 1’s</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use of SCL or the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extended 61850</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GOOSE/Sav</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management</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services.</w:t>
            </w:r>
          </w:p>
        </w:tc>
        <w:tc>
          <w:tcPr>
            <w:tcW w:w="1869" w:type="dxa"/>
          </w:tcPr>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Adds ability to</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browse, validate,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and create</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additional DataSets</w:t>
            </w:r>
          </w:p>
          <w:p w:rsidR="009602BB" w:rsidRPr="009602BB" w:rsidRDefault="009602BB" w:rsidP="009602BB">
            <w:pPr>
              <w:tabs>
                <w:tab w:val="left" w:pos="0"/>
              </w:tabs>
              <w:ind w:left="0" w:firstLine="0"/>
              <w:rPr>
                <w:rFonts w:eastAsia="Calibri"/>
                <w:bCs/>
                <w:sz w:val="20"/>
                <w:szCs w:val="20"/>
              </w:rPr>
            </w:pPr>
            <w:r w:rsidRPr="009602BB">
              <w:rPr>
                <w:rFonts w:eastAsia="Calibri"/>
                <w:bCs/>
                <w:sz w:val="20"/>
                <w:szCs w:val="20"/>
              </w:rPr>
              <w:t>dynamically.</w:t>
            </w:r>
          </w:p>
        </w:tc>
      </w:tr>
    </w:tbl>
    <w:p w:rsidR="009602BB" w:rsidRDefault="009602BB" w:rsidP="00E07CB1">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9602BB" w:rsidTr="009602BB">
        <w:tc>
          <w:tcPr>
            <w:tcW w:w="4672" w:type="dxa"/>
          </w:tcPr>
          <w:p w:rsidR="009602BB" w:rsidRPr="009602BB" w:rsidRDefault="009602BB" w:rsidP="009602BB">
            <w:pPr>
              <w:tabs>
                <w:tab w:val="left" w:pos="0"/>
              </w:tabs>
              <w:ind w:left="0" w:firstLine="0"/>
              <w:jc w:val="center"/>
              <w:rPr>
                <w:rFonts w:eastAsia="Calibri"/>
                <w:b/>
                <w:bCs/>
                <w:szCs w:val="22"/>
              </w:rPr>
            </w:pPr>
            <w:r w:rsidRPr="009602BB">
              <w:rPr>
                <w:rFonts w:eastAsia="Calibri"/>
                <w:b/>
                <w:bCs/>
                <w:szCs w:val="22"/>
              </w:rPr>
              <w:t>Хавсралт D</w:t>
            </w:r>
          </w:p>
          <w:p w:rsidR="009602BB" w:rsidRPr="009602BB" w:rsidRDefault="009602BB" w:rsidP="009602BB">
            <w:pPr>
              <w:tabs>
                <w:tab w:val="left" w:pos="0"/>
              </w:tabs>
              <w:ind w:left="0" w:firstLine="0"/>
              <w:jc w:val="center"/>
              <w:rPr>
                <w:rFonts w:eastAsia="Calibri"/>
                <w:bCs/>
                <w:szCs w:val="22"/>
              </w:rPr>
            </w:pPr>
            <w:r w:rsidRPr="009602BB">
              <w:rPr>
                <w:rFonts w:eastAsia="Calibri"/>
                <w:bCs/>
                <w:szCs w:val="22"/>
              </w:rPr>
              <w:t>(мэдээллийн)</w:t>
            </w:r>
          </w:p>
          <w:p w:rsidR="009602BB" w:rsidRPr="009602BB" w:rsidRDefault="009602BB" w:rsidP="009602BB">
            <w:pPr>
              <w:tabs>
                <w:tab w:val="left" w:pos="0"/>
              </w:tabs>
              <w:ind w:left="0" w:firstLine="0"/>
              <w:rPr>
                <w:rFonts w:eastAsia="Calibri"/>
                <w:bCs/>
                <w:szCs w:val="22"/>
              </w:rPr>
            </w:pPr>
            <w:r w:rsidRPr="009602BB">
              <w:rPr>
                <w:rFonts w:eastAsia="Calibri"/>
                <w:bCs/>
                <w:szCs w:val="22"/>
              </w:rPr>
              <w:t>Нээлттэй системийн харилцан холболт (OSI) загвар</w:t>
            </w:r>
          </w:p>
          <w:p w:rsidR="009602BB" w:rsidRPr="009602BB" w:rsidRDefault="009602BB" w:rsidP="009602BB">
            <w:pPr>
              <w:tabs>
                <w:tab w:val="left" w:pos="0"/>
              </w:tabs>
              <w:ind w:left="0" w:firstLine="0"/>
              <w:rPr>
                <w:rFonts w:eastAsia="Calibri"/>
                <w:bCs/>
                <w:szCs w:val="22"/>
              </w:rPr>
            </w:pPr>
            <w:r w:rsidRPr="009602BB">
              <w:rPr>
                <w:rFonts w:eastAsia="Calibri"/>
                <w:bCs/>
                <w:szCs w:val="22"/>
              </w:rPr>
              <w:t>Нээлттэй системийн харилцан холболт (OSI) загвар нь харилцаа холбооны харилцан үйлчлэлийг хэрэгжүүлэхэд шаардлагатай харилцаа холбооны функцийг давхарласан дүрслэл юм.Энэ загварыг долоон (7) давхаргын функцийг тодорхойлдог тул ихэвчлэн 7 давхаргын загвар гэж нэрлэдэг.</w:t>
            </w:r>
          </w:p>
          <w:p w:rsidR="009602BB" w:rsidRPr="009602BB" w:rsidRDefault="009602BB" w:rsidP="009602BB">
            <w:pPr>
              <w:tabs>
                <w:tab w:val="left" w:pos="0"/>
              </w:tabs>
              <w:ind w:left="0" w:firstLine="0"/>
              <w:rPr>
                <w:rFonts w:eastAsia="Calibri"/>
                <w:bCs/>
                <w:szCs w:val="22"/>
              </w:rPr>
            </w:pPr>
            <w:r w:rsidRPr="009602BB">
              <w:rPr>
                <w:rFonts w:eastAsia="Calibri"/>
                <w:bCs/>
                <w:szCs w:val="22"/>
              </w:rPr>
              <w:t>Ерөнхийдөө функциональ давхаргыг дараах байдлаар ойлгодог. Аппликейшин; Танилцуулга; Горим; шилжүүлэлт; Сүлжээ; Өгөгдлийн холбоос; ба Физик Давхарга. Давхарга бүрийг өөр төхөөрөмжтэй хэрхэн харилцах талаар олон янзын асуултуудын хариултыг Зураг D.1-т үзүүлэв.</w:t>
            </w:r>
          </w:p>
        </w:tc>
        <w:tc>
          <w:tcPr>
            <w:tcW w:w="4672" w:type="dxa"/>
          </w:tcPr>
          <w:p w:rsidR="009602BB" w:rsidRPr="009602BB" w:rsidRDefault="009602BB" w:rsidP="009602BB">
            <w:pPr>
              <w:tabs>
                <w:tab w:val="left" w:pos="0"/>
              </w:tabs>
              <w:ind w:left="0" w:firstLine="0"/>
              <w:jc w:val="center"/>
              <w:rPr>
                <w:rFonts w:eastAsia="Calibri"/>
                <w:b/>
                <w:bCs/>
                <w:szCs w:val="22"/>
              </w:rPr>
            </w:pPr>
            <w:r w:rsidRPr="009602BB">
              <w:rPr>
                <w:rFonts w:eastAsia="Calibri"/>
                <w:b/>
                <w:bCs/>
                <w:szCs w:val="22"/>
              </w:rPr>
              <w:t>Annex D</w:t>
            </w:r>
          </w:p>
          <w:p w:rsidR="009602BB" w:rsidRPr="009602BB" w:rsidRDefault="009602BB" w:rsidP="009602BB">
            <w:pPr>
              <w:tabs>
                <w:tab w:val="left" w:pos="0"/>
              </w:tabs>
              <w:ind w:left="0" w:firstLine="0"/>
              <w:jc w:val="center"/>
              <w:rPr>
                <w:rFonts w:eastAsia="Calibri"/>
                <w:bCs/>
                <w:szCs w:val="22"/>
              </w:rPr>
            </w:pPr>
            <w:r w:rsidRPr="009602BB">
              <w:rPr>
                <w:rFonts w:eastAsia="Calibri"/>
                <w:bCs/>
                <w:szCs w:val="22"/>
              </w:rPr>
              <w:t>(informative)</w:t>
            </w:r>
          </w:p>
          <w:p w:rsidR="009602BB" w:rsidRPr="009602BB" w:rsidRDefault="009602BB" w:rsidP="009602BB">
            <w:pPr>
              <w:tabs>
                <w:tab w:val="left" w:pos="0"/>
              </w:tabs>
              <w:ind w:left="0" w:firstLine="0"/>
              <w:rPr>
                <w:rFonts w:eastAsia="Calibri"/>
                <w:bCs/>
                <w:szCs w:val="22"/>
              </w:rPr>
            </w:pPr>
            <w:r w:rsidRPr="009602BB">
              <w:rPr>
                <w:rFonts w:eastAsia="Calibri"/>
                <w:bCs/>
                <w:szCs w:val="22"/>
              </w:rPr>
              <w:t>Open system interconnect (OSI) model</w:t>
            </w:r>
          </w:p>
          <w:p w:rsidR="009602BB" w:rsidRPr="009602BB" w:rsidRDefault="009602BB" w:rsidP="009602BB">
            <w:pPr>
              <w:tabs>
                <w:tab w:val="left" w:pos="0"/>
              </w:tabs>
              <w:ind w:left="0" w:firstLine="0"/>
              <w:rPr>
                <w:rFonts w:eastAsia="Calibri"/>
                <w:bCs/>
                <w:szCs w:val="22"/>
              </w:rPr>
            </w:pPr>
            <w:r w:rsidRPr="009602BB">
              <w:rPr>
                <w:rFonts w:eastAsia="Calibri"/>
                <w:bCs/>
                <w:szCs w:val="22"/>
              </w:rPr>
              <w:t>The Open System Interconnect (OSI) model is a layered representation of the communication functionality required to implement communication interchange in an interoperable manner.  The model is often referred to as the 7-layer model, because it describes seven (7) layers of functionality.</w:t>
            </w:r>
          </w:p>
          <w:p w:rsidR="009602BB" w:rsidRPr="009602BB" w:rsidRDefault="009602BB" w:rsidP="009602BB">
            <w:pPr>
              <w:tabs>
                <w:tab w:val="left" w:pos="0"/>
              </w:tabs>
              <w:ind w:left="0" w:firstLine="0"/>
              <w:rPr>
                <w:rFonts w:eastAsia="Calibri"/>
                <w:bCs/>
                <w:szCs w:val="22"/>
              </w:rPr>
            </w:pPr>
            <w:r w:rsidRPr="009602BB">
              <w:rPr>
                <w:rFonts w:eastAsia="Calibri"/>
                <w:bCs/>
                <w:szCs w:val="22"/>
              </w:rPr>
              <w:t>In general, the layers of functionality are recognized to be: Application; Presentation; Session; Transport; Network; Datalink; and Physical Layers. Each layer can be considered to “answer”  a different set of questions about how to communicate with another device, as illustrated in Figure D.1.</w:t>
            </w:r>
          </w:p>
        </w:tc>
      </w:tr>
    </w:tbl>
    <w:p w:rsidR="00F57390" w:rsidRDefault="00F57390" w:rsidP="00F57390">
      <w:pPr>
        <w:ind w:left="0" w:firstLine="0"/>
        <w:jc w:val="center"/>
        <w:rPr>
          <w:b/>
          <w:lang w:val="en-US"/>
        </w:rPr>
      </w:pPr>
      <w:r w:rsidRPr="00EF2D2B">
        <w:rPr>
          <w:noProof/>
          <w:lang w:val="en-US"/>
        </w:rPr>
        <w:lastRenderedPageBreak/>
        <w:drawing>
          <wp:inline distT="0" distB="0" distL="0" distR="0" wp14:anchorId="2EE23146" wp14:editId="3689216C">
            <wp:extent cx="5000625" cy="2495550"/>
            <wp:effectExtent l="0" t="0" r="9525"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00625" cy="2495550"/>
                    </a:xfrm>
                    <a:prstGeom prst="rect">
                      <a:avLst/>
                    </a:prstGeom>
                  </pic:spPr>
                </pic:pic>
              </a:graphicData>
            </a:graphic>
          </wp:inline>
        </w:drawing>
      </w:r>
    </w:p>
    <w:p w:rsidR="00F57390" w:rsidRDefault="00F57390" w:rsidP="00F57390">
      <w:pPr>
        <w:ind w:left="0" w:firstLine="0"/>
        <w:jc w:val="center"/>
        <w:rPr>
          <w:b/>
          <w:lang w:val="en-US"/>
        </w:rPr>
      </w:pPr>
      <w:r w:rsidRPr="009602BB">
        <w:rPr>
          <w:b/>
          <w:lang w:val="en-US"/>
        </w:rPr>
        <w:t>D.1</w:t>
      </w:r>
      <w:r>
        <w:rPr>
          <w:b/>
          <w:lang w:val="en-US"/>
        </w:rPr>
        <w:t>-</w:t>
      </w:r>
      <w:r>
        <w:rPr>
          <w:b/>
        </w:rPr>
        <w:t>р зураг</w:t>
      </w:r>
      <w:r w:rsidRPr="009602BB">
        <w:rPr>
          <w:b/>
          <w:lang w:val="en-US"/>
        </w:rPr>
        <w:t xml:space="preserve"> – OSI загварын давхаргуудын үүрэг</w:t>
      </w:r>
    </w:p>
    <w:p w:rsidR="00F57390" w:rsidRDefault="00F57390" w:rsidP="00F57390">
      <w:pPr>
        <w:ind w:left="0" w:firstLine="0"/>
        <w:jc w:val="center"/>
        <w:rPr>
          <w:b/>
          <w:lang w:val="en-US"/>
        </w:rPr>
      </w:pPr>
    </w:p>
    <w:p w:rsidR="00F57390" w:rsidRDefault="00F57390" w:rsidP="00F57390">
      <w:pPr>
        <w:ind w:left="0" w:firstLine="0"/>
        <w:jc w:val="center"/>
        <w:rPr>
          <w:b/>
          <w:lang w:val="en-US"/>
        </w:rPr>
      </w:pPr>
      <w:r w:rsidRPr="00EF2D2B">
        <w:rPr>
          <w:noProof/>
          <w:lang w:val="en-US"/>
        </w:rPr>
        <w:drawing>
          <wp:inline distT="0" distB="0" distL="0" distR="0" wp14:anchorId="45D401A7" wp14:editId="71504034">
            <wp:extent cx="4914900" cy="2543175"/>
            <wp:effectExtent l="0" t="0" r="0"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14900" cy="2543175"/>
                    </a:xfrm>
                    <a:prstGeom prst="rect">
                      <a:avLst/>
                    </a:prstGeom>
                  </pic:spPr>
                </pic:pic>
              </a:graphicData>
            </a:graphic>
          </wp:inline>
        </w:drawing>
      </w:r>
    </w:p>
    <w:p w:rsidR="00F57390" w:rsidRDefault="00F57390" w:rsidP="00F57390">
      <w:pPr>
        <w:tabs>
          <w:tab w:val="left" w:pos="0"/>
        </w:tabs>
        <w:jc w:val="center"/>
        <w:rPr>
          <w:b/>
        </w:rPr>
      </w:pPr>
      <w:r w:rsidRPr="00731F96">
        <w:rPr>
          <w:b/>
        </w:rPr>
        <w:t xml:space="preserve">Figure D.1  -    Comparison between OSI modeland Internet models </w:t>
      </w:r>
    </w:p>
    <w:p w:rsidR="009602BB" w:rsidRDefault="009602BB" w:rsidP="00E07CB1">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F57390" w:rsidTr="00F57390">
        <w:tc>
          <w:tcPr>
            <w:tcW w:w="4672" w:type="dxa"/>
          </w:tcPr>
          <w:p w:rsidR="00F57390" w:rsidRPr="00F57390" w:rsidRDefault="00F57390" w:rsidP="00F57390">
            <w:pPr>
              <w:tabs>
                <w:tab w:val="left" w:pos="0"/>
              </w:tabs>
              <w:ind w:left="0" w:firstLine="0"/>
              <w:rPr>
                <w:rFonts w:eastAsia="Calibri"/>
                <w:bCs/>
                <w:szCs w:val="22"/>
              </w:rPr>
            </w:pPr>
            <w:r w:rsidRPr="00F57390">
              <w:rPr>
                <w:rFonts w:eastAsia="Calibri"/>
                <w:bCs/>
                <w:szCs w:val="22"/>
              </w:rPr>
              <w:t>Долоон давхаргыг хамтад нь ихэвчлэн "багц" гэж нэрлэдэг. Багцын давхарга дээрх програм хангамж нь өөрийн хаяг, мессеж ("дугтуй")-д нэмж оруулсан өөрийн өгөгдлийн гарчиг, өөрийн боловсруулах дүрэмтэй байдаг.</w:t>
            </w:r>
          </w:p>
          <w:p w:rsidR="00F57390" w:rsidRPr="00F57390" w:rsidRDefault="00F57390" w:rsidP="00F57390">
            <w:pPr>
              <w:tabs>
                <w:tab w:val="left" w:pos="0"/>
              </w:tabs>
              <w:ind w:left="0" w:firstLine="0"/>
              <w:rPr>
                <w:rFonts w:eastAsia="Calibri"/>
                <w:bCs/>
                <w:szCs w:val="22"/>
              </w:rPr>
            </w:pPr>
            <w:r w:rsidRPr="00F57390">
              <w:rPr>
                <w:rFonts w:eastAsia="Calibri"/>
                <w:bCs/>
                <w:szCs w:val="22"/>
              </w:rPr>
              <w:t xml:space="preserve"> OSI загварыг Олон улсын стандартын байгууллага (ISO) протоколын иж бүрдлийг дүрслэхэд зориулж боловсруулсан бөгөөд энэ нь ямар ч протоколын багц ашиглан харилцаа холбоог тайлбарлахад ашиглаж болно гэдгийг анхаарах нь чухал юм. Зураг D.2-т OSI-ийн нэр томъёо нь давхаргыг нэрлэхэд зориулсан Интернет </w:t>
            </w:r>
            <w:r w:rsidRPr="00F57390">
              <w:rPr>
                <w:rFonts w:eastAsia="Calibri"/>
                <w:bCs/>
                <w:szCs w:val="22"/>
              </w:rPr>
              <w:lastRenderedPageBreak/>
              <w:t>Протокол (IP) нэр томъёотой хэрхэн нийцэж байгааг харуулав.</w:t>
            </w:r>
          </w:p>
          <w:p w:rsidR="00F57390" w:rsidRPr="00F57390" w:rsidRDefault="00F57390" w:rsidP="00F57390">
            <w:pPr>
              <w:ind w:left="0" w:firstLine="0"/>
              <w:jc w:val="center"/>
              <w:rPr>
                <w:rFonts w:eastAsia="Calibri"/>
                <w:bCs/>
                <w:szCs w:val="22"/>
              </w:rPr>
            </w:pPr>
          </w:p>
        </w:tc>
        <w:tc>
          <w:tcPr>
            <w:tcW w:w="4672" w:type="dxa"/>
          </w:tcPr>
          <w:p w:rsidR="00F57390" w:rsidRPr="00F57390" w:rsidRDefault="00F57390" w:rsidP="00F57390">
            <w:pPr>
              <w:tabs>
                <w:tab w:val="left" w:pos="0"/>
              </w:tabs>
              <w:ind w:left="0" w:firstLine="0"/>
              <w:rPr>
                <w:rFonts w:eastAsia="Calibri"/>
                <w:bCs/>
                <w:szCs w:val="22"/>
              </w:rPr>
            </w:pPr>
            <w:r w:rsidRPr="00F57390">
              <w:rPr>
                <w:rFonts w:eastAsia="Calibri"/>
                <w:bCs/>
                <w:szCs w:val="22"/>
              </w:rPr>
              <w:lastRenderedPageBreak/>
              <w:t>Together, the seven layers are often known as a “stack”. The software at each layer of  the stack has its own address, its own data header that it adds to a message (an “envelope”), and its own processing rules.</w:t>
            </w:r>
          </w:p>
          <w:p w:rsidR="00F57390" w:rsidRPr="00F57390" w:rsidRDefault="00F57390" w:rsidP="00F57390">
            <w:pPr>
              <w:tabs>
                <w:tab w:val="left" w:pos="0"/>
              </w:tabs>
              <w:ind w:left="0" w:firstLine="0"/>
              <w:rPr>
                <w:rFonts w:eastAsia="Calibri"/>
                <w:bCs/>
                <w:szCs w:val="22"/>
              </w:rPr>
            </w:pPr>
            <w:r w:rsidRPr="00F57390">
              <w:rPr>
                <w:rFonts w:eastAsia="Calibri"/>
                <w:bCs/>
                <w:szCs w:val="22"/>
              </w:rPr>
              <w:t>It is important to note that while the OSI model was developed to describe the International Standards Organization (ISO) suite of protocols, it can be used to describe communications using any set of protocols. Figure D.2 shows roughly how OSI terminology corresponds to Internet Protocol (IP) terminology for naming layers.</w:t>
            </w:r>
          </w:p>
          <w:p w:rsidR="00F57390" w:rsidRPr="00F57390" w:rsidRDefault="00F57390" w:rsidP="00F57390">
            <w:pPr>
              <w:ind w:left="0" w:firstLine="0"/>
              <w:jc w:val="center"/>
              <w:rPr>
                <w:rFonts w:eastAsia="Calibri"/>
                <w:bCs/>
                <w:szCs w:val="22"/>
              </w:rPr>
            </w:pPr>
          </w:p>
        </w:tc>
      </w:tr>
    </w:tbl>
    <w:p w:rsidR="00F57390" w:rsidRDefault="00F57390" w:rsidP="00E07CB1">
      <w:pPr>
        <w:ind w:left="0" w:firstLine="0"/>
        <w:jc w:val="center"/>
        <w:rPr>
          <w:b/>
          <w:lang w:val="en-US"/>
        </w:rPr>
      </w:pPr>
    </w:p>
    <w:p w:rsidR="00F57390" w:rsidRDefault="00F57390" w:rsidP="00F57390">
      <w:pPr>
        <w:tabs>
          <w:tab w:val="left" w:pos="0"/>
        </w:tabs>
        <w:rPr>
          <w:b/>
        </w:rPr>
      </w:pPr>
    </w:p>
    <w:p w:rsidR="00F57390" w:rsidRDefault="00F57390" w:rsidP="009602BB">
      <w:pPr>
        <w:tabs>
          <w:tab w:val="left" w:pos="0"/>
        </w:tabs>
        <w:jc w:val="center"/>
        <w:rPr>
          <w:b/>
        </w:rPr>
      </w:pPr>
      <w:r w:rsidRPr="00EF2D2B">
        <w:rPr>
          <w:noProof/>
          <w:lang w:val="en-US"/>
        </w:rPr>
        <w:drawing>
          <wp:inline distT="0" distB="0" distL="0" distR="0" wp14:anchorId="4F270A6B" wp14:editId="27C79D97">
            <wp:extent cx="4448175" cy="26003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448175" cy="2600325"/>
                    </a:xfrm>
                    <a:prstGeom prst="rect">
                      <a:avLst/>
                    </a:prstGeom>
                  </pic:spPr>
                </pic:pic>
              </a:graphicData>
            </a:graphic>
          </wp:inline>
        </w:drawing>
      </w:r>
    </w:p>
    <w:p w:rsidR="00F57390" w:rsidRDefault="00F57390" w:rsidP="00F57390">
      <w:pPr>
        <w:ind w:left="0" w:firstLine="0"/>
        <w:jc w:val="center"/>
        <w:rPr>
          <w:b/>
          <w:lang w:val="en-US"/>
        </w:rPr>
      </w:pPr>
      <w:r w:rsidRPr="00F57390">
        <w:rPr>
          <w:b/>
          <w:lang w:val="en-US"/>
        </w:rPr>
        <w:t>D.2-р зураг–OSI загвар ба Интернет загваруудын харьцуулалт</w:t>
      </w:r>
    </w:p>
    <w:p w:rsidR="00F57390" w:rsidRDefault="00F57390" w:rsidP="00F57390">
      <w:pPr>
        <w:ind w:left="0" w:firstLine="0"/>
        <w:jc w:val="center"/>
        <w:rPr>
          <w:b/>
          <w:lang w:val="en-US"/>
        </w:rPr>
      </w:pPr>
      <w:r>
        <w:rPr>
          <w:b/>
          <w:lang w:val="en-US"/>
        </w:rPr>
        <w:t>Figure D.2 – Comparison between OSI model and internet models</w:t>
      </w:r>
    </w:p>
    <w:p w:rsidR="00F57390" w:rsidRDefault="00F57390" w:rsidP="00F57390">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F57390" w:rsidTr="00F57390">
        <w:tc>
          <w:tcPr>
            <w:tcW w:w="4672" w:type="dxa"/>
          </w:tcPr>
          <w:p w:rsidR="00F57390" w:rsidRPr="00F57390" w:rsidRDefault="00F57390" w:rsidP="00F57390">
            <w:pPr>
              <w:tabs>
                <w:tab w:val="left" w:pos="0"/>
              </w:tabs>
              <w:ind w:left="0" w:firstLine="0"/>
              <w:rPr>
                <w:rFonts w:eastAsia="Calibri"/>
                <w:bCs/>
                <w:szCs w:val="22"/>
              </w:rPr>
            </w:pPr>
            <w:r w:rsidRPr="00F57390">
              <w:rPr>
                <w:rFonts w:eastAsia="Calibri"/>
                <w:bCs/>
                <w:szCs w:val="22"/>
              </w:rPr>
              <w:t>Өгөгдөл илгээхдээ мессеж нь багцын суурь хэсэг рүү, физик давхарга дээрх өөр төхөөрөмжөөр дамжуулж, эргээд багцын дээд хэсэг рүү зөөх ёстой. Багц доош шилжэхэд гарчигууд нь мессежэнд нэмэгддэг. ЗурагD.3-т үзүүлсэнээрзахидлын дугтуйг гадна талд өөр хаяг бүхий том дугтуйнд битүүмжлэх нь үр дүнтэй байж болох юм. Багц дээш шилжэхэд, "дугтуй" эсвэл г</w:t>
            </w:r>
            <w:r>
              <w:rPr>
                <w:rFonts w:eastAsia="Calibri"/>
                <w:bCs/>
                <w:szCs w:val="22"/>
              </w:rPr>
              <w:t>арчгийг унших, нээх ба арилгах.</w:t>
            </w:r>
          </w:p>
        </w:tc>
        <w:tc>
          <w:tcPr>
            <w:tcW w:w="4672" w:type="dxa"/>
          </w:tcPr>
          <w:p w:rsidR="00F57390" w:rsidRPr="00F57390" w:rsidRDefault="00F57390" w:rsidP="00F57390">
            <w:pPr>
              <w:tabs>
                <w:tab w:val="left" w:pos="0"/>
              </w:tabs>
              <w:ind w:left="0" w:firstLine="0"/>
              <w:rPr>
                <w:rFonts w:eastAsia="Calibri"/>
                <w:bCs/>
                <w:szCs w:val="22"/>
              </w:rPr>
            </w:pPr>
            <w:r w:rsidRPr="00F57390">
              <w:rPr>
                <w:rFonts w:eastAsia="Calibri"/>
                <w:bCs/>
                <w:szCs w:val="22"/>
              </w:rPr>
              <w:t>To send data, a message must travel to the bottom of the stack, across to  another  device at the physical layer, and back up to the top of the stack. Moving down the stack, headers are added to a message. It is useful to think of encapsulating a mail envelope in a larger envelope with a different address on the outside, as shown in Figure D.3. Moving up the stack, the “envelopes” or header</w:t>
            </w:r>
            <w:r>
              <w:rPr>
                <w:rFonts w:eastAsia="Calibri"/>
                <w:bCs/>
                <w:szCs w:val="22"/>
              </w:rPr>
              <w:t>s are read, opened and removed.</w:t>
            </w:r>
          </w:p>
        </w:tc>
      </w:tr>
    </w:tbl>
    <w:p w:rsidR="00F57390" w:rsidRDefault="00F57390" w:rsidP="00F57390">
      <w:pPr>
        <w:ind w:left="0" w:firstLine="0"/>
        <w:jc w:val="center"/>
        <w:rPr>
          <w:b/>
          <w:lang w:val="en-US"/>
        </w:rPr>
      </w:pPr>
      <w:r w:rsidRPr="00EF2D2B">
        <w:rPr>
          <w:noProof/>
          <w:lang w:val="en-US"/>
        </w:rPr>
        <w:lastRenderedPageBreak/>
        <w:drawing>
          <wp:inline distT="0" distB="0" distL="0" distR="0" wp14:anchorId="07DAE965" wp14:editId="74386DC1">
            <wp:extent cx="2571750" cy="3429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71750" cy="3429000"/>
                    </a:xfrm>
                    <a:prstGeom prst="rect">
                      <a:avLst/>
                    </a:prstGeom>
                  </pic:spPr>
                </pic:pic>
              </a:graphicData>
            </a:graphic>
          </wp:inline>
        </w:drawing>
      </w:r>
    </w:p>
    <w:p w:rsidR="00F57390" w:rsidRDefault="00F57390" w:rsidP="00F57390">
      <w:pPr>
        <w:ind w:left="0" w:firstLine="0"/>
        <w:jc w:val="center"/>
        <w:rPr>
          <w:b/>
          <w:lang w:val="en-US"/>
        </w:rPr>
      </w:pPr>
      <w:r w:rsidRPr="00F57390">
        <w:rPr>
          <w:b/>
          <w:lang w:val="en-US"/>
        </w:rPr>
        <w:t>D.3</w:t>
      </w:r>
      <w:r>
        <w:rPr>
          <w:b/>
          <w:lang w:val="en-US"/>
        </w:rPr>
        <w:t>-</w:t>
      </w:r>
      <w:r>
        <w:rPr>
          <w:b/>
        </w:rPr>
        <w:t>р зураг</w:t>
      </w:r>
      <w:r w:rsidRPr="00F57390">
        <w:rPr>
          <w:b/>
          <w:lang w:val="en-US"/>
        </w:rPr>
        <w:t xml:space="preserve"> – Давхаргын гарчиг нэмэхийг визуал орчинд дүрсэлбэл</w:t>
      </w:r>
    </w:p>
    <w:p w:rsidR="00F57390" w:rsidRDefault="00F57390" w:rsidP="00F57390">
      <w:pPr>
        <w:jc w:val="center"/>
        <w:rPr>
          <w:b/>
        </w:rPr>
      </w:pPr>
      <w:r w:rsidRPr="00731F96">
        <w:rPr>
          <w:b/>
        </w:rPr>
        <w:t>Figure D.3 – Visualizing adding layer headers</w:t>
      </w:r>
    </w:p>
    <w:p w:rsidR="00F57390" w:rsidRDefault="00F57390" w:rsidP="00F57390">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F57390" w:rsidTr="00F57390">
        <w:tc>
          <w:tcPr>
            <w:tcW w:w="4672" w:type="dxa"/>
          </w:tcPr>
          <w:p w:rsidR="00F57390" w:rsidRPr="00F57390" w:rsidRDefault="00F57390" w:rsidP="00F57390">
            <w:pPr>
              <w:tabs>
                <w:tab w:val="left" w:pos="0"/>
              </w:tabs>
              <w:ind w:left="0" w:firstLine="0"/>
              <w:rPr>
                <w:rFonts w:eastAsia="Calibri"/>
                <w:bCs/>
                <w:szCs w:val="22"/>
              </w:rPr>
            </w:pPr>
            <w:r w:rsidRPr="00F57390">
              <w:rPr>
                <w:rFonts w:eastAsia="Calibri"/>
                <w:bCs/>
                <w:szCs w:val="22"/>
              </w:rPr>
              <w:t>Давхарга бүр зөвхөн өөрийн хаяг хаягийг мэддэг. Зураг D.4-т харуулсны дагуу давхарга бүр бусад төхөөрөмж дээрх эрх тэгш(“peer”) давхаргатай болон түүнээс дээш давхаргатай шууд харилцдаг.</w:t>
            </w:r>
          </w:p>
          <w:p w:rsidR="00F57390" w:rsidRPr="00F57390" w:rsidRDefault="00F57390" w:rsidP="00F57390">
            <w:pPr>
              <w:tabs>
                <w:tab w:val="left" w:pos="0"/>
              </w:tabs>
              <w:ind w:left="0" w:firstLine="0"/>
              <w:rPr>
                <w:rFonts w:eastAsia="Calibri"/>
                <w:bCs/>
                <w:szCs w:val="22"/>
              </w:rPr>
            </w:pPr>
            <w:r w:rsidRPr="00F57390">
              <w:rPr>
                <w:rFonts w:eastAsia="Calibri"/>
                <w:bCs/>
                <w:szCs w:val="22"/>
              </w:rPr>
              <w:t>Өөр хоорондоо уялдаатай ажиллахын тулд тухайн төхөөрөмж дээрх давхарга бүрийг хэрэгжүүлдэг програм хангамж нь алсын удирдлагатай төхөөрөмж дээрх ижил давхаргын програм хангамжтай"эрх тэгш" (“peer”) байх ёстой (ж.ньэрх тэгшхоёулаа протокол болон хэрэгжүүлэх параметрүүдийн ижил сонголтыг ашиглахыг зөвшөөрөх ёстой).</w:t>
            </w:r>
          </w:p>
        </w:tc>
        <w:tc>
          <w:tcPr>
            <w:tcW w:w="4672" w:type="dxa"/>
          </w:tcPr>
          <w:p w:rsidR="00F57390" w:rsidRPr="00F57390" w:rsidRDefault="00F57390" w:rsidP="00F57390">
            <w:pPr>
              <w:tabs>
                <w:tab w:val="left" w:pos="0"/>
              </w:tabs>
              <w:ind w:left="0" w:firstLine="0"/>
              <w:rPr>
                <w:rFonts w:eastAsia="Calibri"/>
                <w:bCs/>
                <w:szCs w:val="22"/>
              </w:rPr>
            </w:pPr>
            <w:r w:rsidRPr="00F57390">
              <w:rPr>
                <w:rFonts w:eastAsia="Calibri"/>
                <w:bCs/>
                <w:szCs w:val="22"/>
              </w:rPr>
              <w:t>Each layer knows only its own addressing. As shown in Figure D.4, each layer communicates only with its peer layer on other devices and the layer immediately above and below.</w:t>
            </w:r>
          </w:p>
          <w:p w:rsidR="00F57390" w:rsidRPr="00F57390" w:rsidRDefault="00F57390" w:rsidP="00F57390">
            <w:pPr>
              <w:tabs>
                <w:tab w:val="left" w:pos="0"/>
              </w:tabs>
              <w:ind w:left="0" w:firstLine="0"/>
              <w:rPr>
                <w:rFonts w:eastAsia="Calibri"/>
                <w:bCs/>
                <w:szCs w:val="22"/>
              </w:rPr>
            </w:pPr>
            <w:r w:rsidRPr="00F57390">
              <w:rPr>
                <w:rFonts w:eastAsia="Calibri"/>
                <w:bCs/>
                <w:szCs w:val="22"/>
              </w:rPr>
              <w:t>In order to achieve interoperability, the software implementing each layer on a given device must be the “peer” of the equivalent layer software on the remote device (i.e. both peers must agree to use the same choices for protocols and implementation parameters).</w:t>
            </w:r>
          </w:p>
        </w:tc>
      </w:tr>
    </w:tbl>
    <w:p w:rsidR="006148BD" w:rsidRDefault="006148BD" w:rsidP="006148BD">
      <w:pPr>
        <w:ind w:left="0" w:firstLine="0"/>
        <w:jc w:val="center"/>
        <w:rPr>
          <w:b/>
          <w:lang w:val="en-US"/>
        </w:rPr>
      </w:pPr>
      <w:r>
        <w:rPr>
          <w:noProof/>
          <w:lang w:val="en-US"/>
        </w:rPr>
        <w:lastRenderedPageBreak/>
        <w:drawing>
          <wp:inline distT="0" distB="0" distL="0" distR="0" wp14:anchorId="18108963" wp14:editId="4D736CB6">
            <wp:extent cx="5410200" cy="3209925"/>
            <wp:effectExtent l="0" t="0" r="0"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10200" cy="3209925"/>
                    </a:xfrm>
                    <a:prstGeom prst="rect">
                      <a:avLst/>
                    </a:prstGeom>
                  </pic:spPr>
                </pic:pic>
              </a:graphicData>
            </a:graphic>
          </wp:inline>
        </w:drawing>
      </w:r>
    </w:p>
    <w:p w:rsidR="006148BD" w:rsidRDefault="006148BD" w:rsidP="006148BD">
      <w:pPr>
        <w:ind w:left="0" w:firstLine="0"/>
        <w:jc w:val="center"/>
        <w:rPr>
          <w:b/>
          <w:lang w:val="en-US"/>
        </w:rPr>
      </w:pPr>
      <w:r w:rsidRPr="006148BD">
        <w:rPr>
          <w:b/>
          <w:lang w:val="en-US"/>
        </w:rPr>
        <w:t>D.4</w:t>
      </w:r>
      <w:r>
        <w:rPr>
          <w:b/>
          <w:lang w:val="en-US"/>
        </w:rPr>
        <w:t>-</w:t>
      </w:r>
      <w:r>
        <w:rPr>
          <w:b/>
        </w:rPr>
        <w:t>р зураг</w:t>
      </w:r>
      <w:r w:rsidRPr="006148BD">
        <w:rPr>
          <w:b/>
          <w:lang w:val="en-US"/>
        </w:rPr>
        <w:t xml:space="preserve"> – OSI загварт эрх тэгш байдлаар (Peer-to-peer)өгөгдөл солилцох</w:t>
      </w:r>
    </w:p>
    <w:p w:rsidR="006148BD" w:rsidRPr="00EA2FCA" w:rsidRDefault="006148BD" w:rsidP="006148BD">
      <w:pPr>
        <w:tabs>
          <w:tab w:val="left" w:pos="0"/>
        </w:tabs>
        <w:spacing w:before="77"/>
        <w:ind w:left="2609" w:right="2714"/>
        <w:jc w:val="center"/>
        <w:rPr>
          <w:b/>
        </w:rPr>
      </w:pPr>
      <w:r w:rsidRPr="00EF2D2B">
        <w:rPr>
          <w:b/>
        </w:rPr>
        <w:t>Figure D.4 – Peer-to-peer</w:t>
      </w:r>
      <w:r>
        <w:rPr>
          <w:b/>
        </w:rPr>
        <w:t xml:space="preserve"> data exchange in the OSI model</w:t>
      </w:r>
    </w:p>
    <w:p w:rsidR="00F57390" w:rsidRDefault="00F57390" w:rsidP="00F57390">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6148BD" w:rsidTr="006148BD">
        <w:tc>
          <w:tcPr>
            <w:tcW w:w="4672" w:type="dxa"/>
          </w:tcPr>
          <w:p w:rsidR="006148BD" w:rsidRPr="006148BD" w:rsidRDefault="006148BD" w:rsidP="006148BD">
            <w:pPr>
              <w:tabs>
                <w:tab w:val="left" w:pos="0"/>
              </w:tabs>
              <w:ind w:left="0" w:firstLine="0"/>
              <w:rPr>
                <w:rFonts w:eastAsia="Calibri"/>
                <w:bCs/>
                <w:szCs w:val="22"/>
              </w:rPr>
            </w:pPr>
            <w:r w:rsidRPr="006148BD">
              <w:rPr>
                <w:rFonts w:eastAsia="Calibri"/>
                <w:bCs/>
                <w:szCs w:val="22"/>
              </w:rPr>
              <w:t>Давхарга бүр дотоод давхаргын хооронд мэдээлэл дамжуулах ёстой. Зургийн D.5-т харуулсны дагуу давхаргын хооронд дамжуулагдах үед ямар мессежийг дуудахыг тайлбарлах конвенц байдаг.</w:t>
            </w:r>
          </w:p>
        </w:tc>
        <w:tc>
          <w:tcPr>
            <w:tcW w:w="4672" w:type="dxa"/>
          </w:tcPr>
          <w:p w:rsidR="006148BD" w:rsidRPr="006148BD" w:rsidRDefault="006148BD" w:rsidP="006148BD">
            <w:pPr>
              <w:tabs>
                <w:tab w:val="left" w:pos="0"/>
              </w:tabs>
              <w:ind w:left="0" w:firstLine="0"/>
              <w:rPr>
                <w:rFonts w:eastAsia="Calibri"/>
                <w:bCs/>
                <w:szCs w:val="22"/>
              </w:rPr>
            </w:pPr>
            <w:r w:rsidRPr="006148BD">
              <w:rPr>
                <w:rFonts w:eastAsia="Calibri"/>
                <w:bCs/>
                <w:szCs w:val="22"/>
              </w:rPr>
              <w:t>Each layer must pass information between the local layers. There is a convention for  describing what the message is called as it is passed  between  the  layers,  as  shown  in Figure D.5.</w:t>
            </w:r>
          </w:p>
        </w:tc>
      </w:tr>
    </w:tbl>
    <w:p w:rsidR="006148BD" w:rsidRDefault="006148BD" w:rsidP="006148BD">
      <w:pPr>
        <w:ind w:left="0" w:firstLine="0"/>
        <w:jc w:val="center"/>
        <w:rPr>
          <w:b/>
          <w:lang w:val="en-US"/>
        </w:rPr>
      </w:pPr>
      <w:r w:rsidRPr="00D33687">
        <w:rPr>
          <w:noProof/>
          <w:lang w:val="en-US"/>
        </w:rPr>
        <w:drawing>
          <wp:inline distT="0" distB="0" distL="0" distR="0" wp14:anchorId="587E5DE1" wp14:editId="02E46406">
            <wp:extent cx="3838353" cy="2690804"/>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39596" cy="2691675"/>
                    </a:xfrm>
                    <a:prstGeom prst="rect">
                      <a:avLst/>
                    </a:prstGeom>
                  </pic:spPr>
                </pic:pic>
              </a:graphicData>
            </a:graphic>
          </wp:inline>
        </w:drawing>
      </w:r>
    </w:p>
    <w:p w:rsidR="006148BD" w:rsidRDefault="006148BD" w:rsidP="006148BD">
      <w:pPr>
        <w:ind w:left="0" w:firstLine="0"/>
        <w:jc w:val="center"/>
        <w:rPr>
          <w:b/>
          <w:lang w:val="en-US"/>
        </w:rPr>
      </w:pPr>
      <w:r w:rsidRPr="006148BD">
        <w:rPr>
          <w:b/>
          <w:lang w:val="en-US"/>
        </w:rPr>
        <w:t>D.5</w:t>
      </w:r>
      <w:r>
        <w:rPr>
          <w:b/>
        </w:rPr>
        <w:t>-р зураг</w:t>
      </w:r>
      <w:r w:rsidRPr="006148BD">
        <w:rPr>
          <w:b/>
          <w:lang w:val="en-US"/>
        </w:rPr>
        <w:t xml:space="preserve"> – Протоколын Өгөгдлийн Нэгж(PDU) -үүдтэй OSI сервесүүдийн харилцан уялдаа</w:t>
      </w:r>
    </w:p>
    <w:p w:rsidR="006148BD" w:rsidRPr="00731F96" w:rsidRDefault="006148BD" w:rsidP="006148BD">
      <w:pPr>
        <w:jc w:val="center"/>
        <w:rPr>
          <w:b/>
        </w:rPr>
      </w:pPr>
      <w:r w:rsidRPr="00731F96">
        <w:rPr>
          <w:b/>
        </w:rPr>
        <w:t>Figure D.5 – Relationship of OSI services to protocol data units (PDUs)</w:t>
      </w:r>
    </w:p>
    <w:p w:rsidR="006148BD" w:rsidRDefault="006148BD" w:rsidP="00F57390">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6148BD" w:rsidTr="006148BD">
        <w:tc>
          <w:tcPr>
            <w:tcW w:w="4672" w:type="dxa"/>
          </w:tcPr>
          <w:p w:rsidR="006148BD" w:rsidRPr="006148BD" w:rsidRDefault="006148BD" w:rsidP="006148BD">
            <w:pPr>
              <w:tabs>
                <w:tab w:val="left" w:pos="0"/>
              </w:tabs>
              <w:ind w:left="0" w:firstLine="0"/>
              <w:rPr>
                <w:rFonts w:eastAsia="Calibri"/>
                <w:bCs/>
                <w:szCs w:val="22"/>
              </w:rPr>
            </w:pPr>
            <w:r w:rsidRPr="006148BD">
              <w:rPr>
                <w:rFonts w:eastAsia="Calibri"/>
                <w:bCs/>
                <w:szCs w:val="22"/>
              </w:rPr>
              <w:lastRenderedPageBreak/>
              <w:t>Давхарга бүр дээр байрлах давхаргад харилцаа холбооны сервес интерфейсийг санал болгодог.Эдгээр интерфейс нь стандартчилагдсан тул нэг давхарга нь янз бүрийн өөр өөр давхаргын сервесүүдийг ашиглаж болно.Энэ нь суурь давхаргыг хоорондоо харилцан уялдаатай "холимог ба тохирох" (“mixed and matched”) байлгах боломжийг олгодог.Жишээлбэл, Интернет Протокол (IP) сүлжээний давхарга нь Этернэт өгөгдлийн холболбоос давхаргыг эсвэл Цэгээс цэгт протокол (Point-to-Point Protocol) (PPP) цуваа өгөгдлийн холболбоос давхаргыг ашиглаж болно.</w:t>
            </w:r>
          </w:p>
          <w:p w:rsidR="006148BD" w:rsidRPr="006148BD" w:rsidRDefault="006148BD" w:rsidP="006148BD">
            <w:pPr>
              <w:tabs>
                <w:tab w:val="left" w:pos="0"/>
              </w:tabs>
              <w:ind w:left="0" w:firstLine="0"/>
              <w:rPr>
                <w:rFonts w:eastAsia="Calibri"/>
                <w:bCs/>
                <w:szCs w:val="22"/>
              </w:rPr>
            </w:pPr>
            <w:r w:rsidRPr="006148BD">
              <w:rPr>
                <w:rFonts w:eastAsia="Calibri"/>
                <w:bCs/>
                <w:szCs w:val="22"/>
              </w:rPr>
              <w:t>Мессежийг Protocol Data Unit буюу PDU гэж нэрлэдэг. Диаграм нь Presentation Protocol Data Unit (PPDU) Session давхаргад дамжуулж байгааг харуулж байна. Session давхарга нь PPDU-т нэмэлт мэдээлэл нэмж өгдөг бөгөөд уг командын тохиргоог Session Protocol Data Unit (SPDU) гэж нэрлэдэг.Энэ нь эргээд "дугтуй" өмнө дурдсанчлан нэгэн зэрэг Transport давхаргад дамжуулагдана.</w:t>
            </w:r>
          </w:p>
          <w:p w:rsidR="006148BD" w:rsidRPr="006148BD" w:rsidRDefault="006148BD" w:rsidP="006148BD">
            <w:pPr>
              <w:tabs>
                <w:tab w:val="left" w:pos="0"/>
              </w:tabs>
              <w:ind w:left="0" w:firstLine="0"/>
              <w:rPr>
                <w:rFonts w:eastAsia="Calibri"/>
                <w:bCs/>
                <w:szCs w:val="22"/>
              </w:rPr>
            </w:pPr>
            <w:r w:rsidRPr="006148BD">
              <w:rPr>
                <w:rFonts w:eastAsia="Calibri"/>
                <w:bCs/>
                <w:szCs w:val="22"/>
              </w:rPr>
              <w:t>Энэ нь давхаргын PDU-ууд нь мэдээлэл солилцох боломжийг олгодог "эрх тэгш" харилцааг бий болгоход ашиглагддаг.</w:t>
            </w:r>
          </w:p>
          <w:p w:rsidR="006148BD" w:rsidRPr="006148BD" w:rsidRDefault="006148BD" w:rsidP="006148BD">
            <w:pPr>
              <w:tabs>
                <w:tab w:val="left" w:pos="0"/>
              </w:tabs>
              <w:ind w:left="0" w:firstLine="0"/>
              <w:rPr>
                <w:rFonts w:eastAsia="Calibri"/>
                <w:bCs/>
                <w:szCs w:val="22"/>
              </w:rPr>
            </w:pPr>
            <w:r w:rsidRPr="006148BD">
              <w:rPr>
                <w:rFonts w:eastAsia="Calibri"/>
                <w:bCs/>
                <w:szCs w:val="22"/>
              </w:rPr>
              <w:t xml:space="preserve">Зарим тохиолдолд, давхаргаас өгсөн нэг сервес нь мэдээллийг сегментлэх эсвэл дахин цуглуулах боломжтой байдаг. Үүний хоёр сайн жишээ бол Transport ба Network давхаргууд юм. Ялангуяа Network давхарга нь Transport давхаргаас ирүүлсэн мэдээллийг сегментлэх үүрэгтэй бөгөөд ингэснээр багцын хэмжээ нь Data Link давхаргын хамгийн их багцын хэмжээнээс хэтрэхгүй байна. Энэ тохиолдолд нэг TPDU-ийг илгээх нь олон тооны Сүлжээний Протоколын Өгөгдлийн </w:t>
            </w:r>
            <w:r w:rsidRPr="006148BD">
              <w:rPr>
                <w:rFonts w:eastAsia="Calibri"/>
                <w:bCs/>
                <w:szCs w:val="22"/>
              </w:rPr>
              <w:lastRenderedPageBreak/>
              <w:t>Нэгж (NPDU) -ийг дамжуулахад хүргэдэг.</w:t>
            </w:r>
          </w:p>
          <w:p w:rsidR="006148BD" w:rsidRPr="006148BD" w:rsidRDefault="006148BD" w:rsidP="006148BD">
            <w:pPr>
              <w:tabs>
                <w:tab w:val="left" w:pos="0"/>
              </w:tabs>
              <w:ind w:left="0" w:firstLine="0"/>
              <w:rPr>
                <w:rFonts w:eastAsia="Calibri"/>
                <w:bCs/>
                <w:szCs w:val="22"/>
              </w:rPr>
            </w:pPr>
            <w:r w:rsidRPr="006148BD">
              <w:rPr>
                <w:rFonts w:eastAsia="Calibri"/>
                <w:bCs/>
                <w:szCs w:val="22"/>
              </w:rPr>
              <w:t>Энэ боломжийг хэлэлцэхийн тулд тусгай нэрэмжит хурал хийдэг. PDU нэрийг давхаргын "доод" хэсэгт байрлуулсан мессежэнд ашиглаж байгаа бол "Service Data Unit" нэрийг дараагийн давхаргын "дээд" хэсэгт байрлуулсан өгөгдөлд ашигладаг. Тиймээс Сүлжээний Сервесийн Өгөгдлийн Нэгж (NSDU) гэсэн ойлголтыг TPDU-г бүхэлд нь илэрхийлэхэд ашигладаг бөгөөд энэ нь олон тооны NPDU-ийг илгээхэд хүргэдэг.Сервесийн зарчим нь бусад давхаргад, ялангуяа Transport давхаргад хамаардаг бөгөөд үүнд сегментчилэл мөн тохиолдож болно. Сегментчилдэггүй давхаргын хувьд давхаргаас боловсруулсан PDU нь тухайн давхаргад нэмсэн гарчигтай хамт хүлээн авсан Service Data Unit (SDU) -тэй ижил байна.</w:t>
            </w:r>
          </w:p>
        </w:tc>
        <w:tc>
          <w:tcPr>
            <w:tcW w:w="4672" w:type="dxa"/>
          </w:tcPr>
          <w:p w:rsidR="006148BD" w:rsidRPr="006148BD" w:rsidRDefault="006148BD" w:rsidP="006148BD">
            <w:pPr>
              <w:tabs>
                <w:tab w:val="left" w:pos="0"/>
              </w:tabs>
              <w:ind w:left="0" w:firstLine="0"/>
              <w:rPr>
                <w:rFonts w:eastAsia="Calibri"/>
                <w:bCs/>
                <w:szCs w:val="22"/>
              </w:rPr>
            </w:pPr>
            <w:r w:rsidRPr="006148BD">
              <w:rPr>
                <w:rFonts w:eastAsia="Calibri"/>
                <w:bCs/>
                <w:szCs w:val="22"/>
              </w:rPr>
              <w:lastRenderedPageBreak/>
              <w:t>Each layer offers a communications service interface to the layer  above it. These  interfaces are standardized so that one layer may use the services of a variety of different underlying layers. This permits the underlying layers to be “mixed and matched” in an interoperable manner. For instance, an Internet Protocol (IP) network layer may use an Ethernet data link layer or a Point-to-Point Protocol (PPP) serial data link layer.</w:t>
            </w:r>
          </w:p>
          <w:p w:rsidR="006148BD" w:rsidRPr="006148BD" w:rsidRDefault="006148BD" w:rsidP="006148BD">
            <w:pPr>
              <w:tabs>
                <w:tab w:val="left" w:pos="0"/>
              </w:tabs>
              <w:ind w:left="0" w:firstLine="0"/>
              <w:rPr>
                <w:rFonts w:eastAsia="Calibri"/>
                <w:bCs/>
                <w:szCs w:val="22"/>
              </w:rPr>
            </w:pPr>
            <w:r w:rsidRPr="006148BD">
              <w:rPr>
                <w:rFonts w:eastAsia="Calibri"/>
                <w:bCs/>
                <w:szCs w:val="22"/>
              </w:rPr>
              <w:t>A message is called a Protocol Data Unit, or PDU. The diagram shows that a Presentation Protocol Data Unit (PPDU) is passed to the Session layer. The session layer adds additional information to the PPDU, and the combination is called a Session Protocol Data Unit (SPDU). This is in turn passed onto the Transport layer, etc. as was previously described in the “envelope” analogy.</w:t>
            </w:r>
          </w:p>
          <w:p w:rsidR="006148BD" w:rsidRPr="006148BD" w:rsidRDefault="006148BD" w:rsidP="006148BD">
            <w:pPr>
              <w:tabs>
                <w:tab w:val="left" w:pos="0"/>
              </w:tabs>
              <w:ind w:left="0" w:firstLine="0"/>
              <w:rPr>
                <w:rFonts w:eastAsia="Calibri"/>
                <w:bCs/>
                <w:szCs w:val="22"/>
              </w:rPr>
            </w:pPr>
            <w:r w:rsidRPr="006148BD">
              <w:rPr>
                <w:rFonts w:eastAsia="Calibri"/>
                <w:bCs/>
                <w:szCs w:val="22"/>
              </w:rPr>
              <w:t>It is the layer’s PDUs that are used to create the “peer” relationships that allow for information  to be exchanged.</w:t>
            </w:r>
          </w:p>
          <w:p w:rsidR="006148BD" w:rsidRPr="006148BD" w:rsidRDefault="006148BD" w:rsidP="006148BD">
            <w:pPr>
              <w:tabs>
                <w:tab w:val="left" w:pos="0"/>
              </w:tabs>
              <w:ind w:left="0" w:firstLine="0"/>
              <w:rPr>
                <w:rFonts w:eastAsia="Calibri"/>
                <w:bCs/>
                <w:szCs w:val="22"/>
              </w:rPr>
            </w:pPr>
            <w:r w:rsidRPr="006148BD">
              <w:rPr>
                <w:rFonts w:eastAsia="Calibri"/>
                <w:bCs/>
                <w:szCs w:val="22"/>
              </w:rPr>
              <w:t>In some cases, one service provided by a layer may be the ability to segment or re-assemble information. Two good examples of this are the Transport and Network  layers. In  particular,  the Network layer is responsible for segmenting the information sent to it  by the Transport layer so that the packet size does not exceed the maximum  packet  size for  the Data Link layer. In this case, sending one TPDU can cause multiple Network Protocol Data Units  (NPDUs) to be transmitted.</w:t>
            </w:r>
          </w:p>
          <w:p w:rsidR="006148BD" w:rsidRPr="006148BD" w:rsidRDefault="006148BD" w:rsidP="006148BD">
            <w:pPr>
              <w:tabs>
                <w:tab w:val="left" w:pos="0"/>
              </w:tabs>
              <w:ind w:left="0" w:firstLine="0"/>
              <w:rPr>
                <w:rFonts w:eastAsia="Calibri"/>
                <w:bCs/>
                <w:szCs w:val="22"/>
              </w:rPr>
            </w:pPr>
            <w:r w:rsidRPr="006148BD">
              <w:rPr>
                <w:rFonts w:eastAsia="Calibri"/>
                <w:bCs/>
                <w:szCs w:val="22"/>
              </w:rPr>
              <w:t xml:space="preserve">A special naming convention is used to discuss this capability. While the name PDU  is  used  for the message produced out the “bottom” of a  layer, the name “Service Data Unit”  is  used  for the data presented at the “top” of the next layer. Thus the concept of a Network Service  </w:t>
            </w:r>
            <w:r w:rsidRPr="006148BD">
              <w:rPr>
                <w:rFonts w:eastAsia="Calibri"/>
                <w:bCs/>
                <w:szCs w:val="22"/>
              </w:rPr>
              <w:lastRenderedPageBreak/>
              <w:t>Data Unit (NSDU) is  used to  represent the entire TPDU that causes multiple NPDUs to be  sent. The service concept applies to other layers, particularly the Transport layer, where segmentation can also occur. For layers that do not segment, the PDU produced by a layer is equivalent to the Service Data Unit (SDU) it received with the header for that layer added.</w:t>
            </w:r>
          </w:p>
        </w:tc>
      </w:tr>
    </w:tbl>
    <w:p w:rsidR="006148BD" w:rsidRDefault="006148BD" w:rsidP="006148BD">
      <w:pPr>
        <w:ind w:left="0" w:firstLine="0"/>
        <w:jc w:val="center"/>
        <w:rPr>
          <w:b/>
          <w:lang w:val="en-US"/>
        </w:rPr>
      </w:pPr>
      <w:r>
        <w:rPr>
          <w:noProof/>
          <w:lang w:val="en-US"/>
        </w:rPr>
        <w:lastRenderedPageBreak/>
        <w:drawing>
          <wp:inline distT="0" distB="0" distL="0" distR="0" wp14:anchorId="694FB192" wp14:editId="315C29F9">
            <wp:extent cx="4600575" cy="2476500"/>
            <wp:effectExtent l="0" t="0" r="9525"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600575" cy="2476500"/>
                    </a:xfrm>
                    <a:prstGeom prst="rect">
                      <a:avLst/>
                    </a:prstGeom>
                  </pic:spPr>
                </pic:pic>
              </a:graphicData>
            </a:graphic>
          </wp:inline>
        </w:drawing>
      </w:r>
    </w:p>
    <w:p w:rsidR="006148BD" w:rsidRDefault="006148BD" w:rsidP="006148BD">
      <w:pPr>
        <w:ind w:left="0" w:firstLine="0"/>
        <w:jc w:val="center"/>
        <w:rPr>
          <w:b/>
          <w:lang w:val="en-US"/>
        </w:rPr>
      </w:pPr>
      <w:r w:rsidRPr="006148BD">
        <w:rPr>
          <w:b/>
          <w:lang w:val="en-US"/>
        </w:rPr>
        <w:t>D.6</w:t>
      </w:r>
      <w:r>
        <w:rPr>
          <w:b/>
        </w:rPr>
        <w:t>-р зураг</w:t>
      </w:r>
      <w:r w:rsidRPr="006148BD">
        <w:rPr>
          <w:b/>
          <w:lang w:val="en-US"/>
        </w:rPr>
        <w:t xml:space="preserve"> – OSI загвар хаяглалт</w:t>
      </w:r>
    </w:p>
    <w:p w:rsidR="006148BD" w:rsidRDefault="006148BD" w:rsidP="006148BD">
      <w:pPr>
        <w:ind w:left="0" w:firstLine="0"/>
        <w:jc w:val="center"/>
        <w:rPr>
          <w:b/>
          <w:lang w:val="en-US"/>
        </w:rPr>
      </w:pPr>
      <w:r>
        <w:rPr>
          <w:noProof/>
          <w:lang w:val="en-US"/>
        </w:rPr>
        <w:lastRenderedPageBreak/>
        <w:drawing>
          <wp:inline distT="0" distB="0" distL="0" distR="0" wp14:anchorId="37C2F991" wp14:editId="4DED0DC9">
            <wp:extent cx="5314950" cy="2524125"/>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14950" cy="2524125"/>
                    </a:xfrm>
                    <a:prstGeom prst="rect">
                      <a:avLst/>
                    </a:prstGeom>
                  </pic:spPr>
                </pic:pic>
              </a:graphicData>
            </a:graphic>
          </wp:inline>
        </w:drawing>
      </w:r>
    </w:p>
    <w:p w:rsidR="006148BD" w:rsidRDefault="006148BD" w:rsidP="006148BD">
      <w:pPr>
        <w:ind w:left="0" w:firstLine="0"/>
        <w:jc w:val="center"/>
        <w:rPr>
          <w:b/>
          <w:lang w:val="en-US"/>
        </w:rPr>
      </w:pPr>
      <w:r>
        <w:rPr>
          <w:b/>
          <w:lang w:val="en-US"/>
        </w:rPr>
        <w:t>Figure D.6 – OSI model addressin</w:t>
      </w:r>
    </w:p>
    <w:p w:rsidR="006148BD" w:rsidRDefault="006148BD" w:rsidP="00F57390">
      <w:pPr>
        <w:ind w:left="0" w:firstLine="0"/>
        <w:jc w:val="center"/>
        <w:rPr>
          <w:b/>
          <w:lang w:val="en-US"/>
        </w:rPr>
      </w:pPr>
    </w:p>
    <w:tbl>
      <w:tblPr>
        <w:tblStyle w:val="TableGrid"/>
        <w:tblW w:w="0" w:type="auto"/>
        <w:tblLook w:val="04A0" w:firstRow="1" w:lastRow="0" w:firstColumn="1" w:lastColumn="0" w:noHBand="0" w:noVBand="1"/>
      </w:tblPr>
      <w:tblGrid>
        <w:gridCol w:w="4672"/>
        <w:gridCol w:w="4672"/>
      </w:tblGrid>
      <w:tr w:rsidR="006148BD" w:rsidTr="006148BD">
        <w:tc>
          <w:tcPr>
            <w:tcW w:w="4672" w:type="dxa"/>
          </w:tcPr>
          <w:p w:rsidR="006148BD" w:rsidRPr="006148BD" w:rsidRDefault="006148BD" w:rsidP="006148BD">
            <w:pPr>
              <w:tabs>
                <w:tab w:val="left" w:pos="0"/>
              </w:tabs>
              <w:ind w:left="0" w:firstLine="0"/>
              <w:rPr>
                <w:rFonts w:eastAsia="Calibri"/>
                <w:bCs/>
                <w:szCs w:val="22"/>
              </w:rPr>
            </w:pPr>
            <w:r w:rsidRPr="006148BD">
              <w:rPr>
                <w:rFonts w:eastAsia="Calibri"/>
                <w:bCs/>
                <w:szCs w:val="22"/>
              </w:rPr>
              <w:t>OSI Загварын давхарга бүрт нэгээс олон өөр өөр протокол ашиглах боломжтой.OSI Загвар нь өгөгдсөн давхаргад ямар протокол ашиглахаа сонгохын тулд "сонгогч" (“selectors”) нэртэй тусгай хаягийг ашиглан тодорхойлдог. Зураг D.6-д загварыг дүрсэлсэн ба ямар протокол ашиглахыг тодорхойлсон сонгогч (SEL) байгааг харуулж байна.</w:t>
            </w:r>
          </w:p>
          <w:p w:rsidR="006148BD" w:rsidRPr="006148BD" w:rsidRDefault="006148BD" w:rsidP="006148BD">
            <w:pPr>
              <w:tabs>
                <w:tab w:val="left" w:pos="0"/>
              </w:tabs>
              <w:ind w:left="0" w:firstLine="0"/>
              <w:rPr>
                <w:rFonts w:eastAsia="Calibri"/>
                <w:bCs/>
                <w:szCs w:val="22"/>
              </w:rPr>
            </w:pPr>
            <w:r w:rsidRPr="006148BD">
              <w:rPr>
                <w:rFonts w:eastAsia="Calibri"/>
                <w:bCs/>
                <w:szCs w:val="22"/>
              </w:rPr>
              <w:t>Сүлжээний давхаргад Этернэт өгөгдлийн линк давхаргаас мессеж ирэх тохиолдолд RFC 791 (IP) ашиглах сонголт нь 800 гэсэн арван зургаатын тоотой EtherType ID-ээр дүрслэгдэнэ.Өөрсүлжээний давхаргаар боловсруулагдахмессеж (жишээ нь, ISO холболтгүй сүлжээний давхарга, эсвэл Novell IPX гэх мэт) өөрEtherType гэсэн хаягтай болно. Тиймээс EtherType нь ISO Network Selector (NSEL) -тэй ижил юм.</w:t>
            </w:r>
          </w:p>
          <w:p w:rsidR="006148BD" w:rsidRPr="006148BD" w:rsidRDefault="006148BD" w:rsidP="006148BD">
            <w:pPr>
              <w:tabs>
                <w:tab w:val="left" w:pos="0"/>
              </w:tabs>
              <w:ind w:left="0" w:firstLine="0"/>
              <w:rPr>
                <w:rFonts w:eastAsia="Calibri"/>
                <w:bCs/>
                <w:szCs w:val="22"/>
              </w:rPr>
            </w:pPr>
            <w:r w:rsidRPr="006148BD">
              <w:rPr>
                <w:rFonts w:eastAsia="Calibri"/>
                <w:bCs/>
                <w:szCs w:val="22"/>
              </w:rPr>
              <w:t>Ашиглах тээврийн протоколыг Transport Selector (TSEL) -ээр сонгоно.IP-ийн орчиндTSEL-тэй дүйцэхүйц нь UDP ба TCP-ийг ялгахад ашигладаг протокол тодорхойлогч юм.</w:t>
            </w:r>
          </w:p>
          <w:p w:rsidR="006148BD" w:rsidRPr="006148BD" w:rsidRDefault="006148BD" w:rsidP="006148BD">
            <w:pPr>
              <w:tabs>
                <w:tab w:val="left" w:pos="0"/>
              </w:tabs>
              <w:ind w:left="0" w:firstLine="0"/>
              <w:rPr>
                <w:rFonts w:eastAsia="Calibri"/>
                <w:bCs/>
                <w:szCs w:val="22"/>
              </w:rPr>
            </w:pPr>
            <w:r w:rsidRPr="006148BD">
              <w:rPr>
                <w:rFonts w:eastAsia="Calibri"/>
                <w:bCs/>
                <w:szCs w:val="22"/>
              </w:rPr>
              <w:t xml:space="preserve">Дараагийн түвшний протокол Session Selector (SSEL)-аар тодорхойлогдоно. Интернетийн орчинд SSEL нь </w:t>
            </w:r>
            <w:r w:rsidRPr="006148BD">
              <w:rPr>
                <w:rFonts w:eastAsia="Calibri"/>
                <w:bCs/>
                <w:szCs w:val="22"/>
              </w:rPr>
              <w:lastRenderedPageBreak/>
              <w:t>ашиглагдах бодит аппликейшин протоколыг (жишээ нь HTTP порт 80, FTP-ийн 21 порт) тодорхойлдог IANA TCP Порт Дугаар юм.</w:t>
            </w:r>
          </w:p>
          <w:p w:rsidR="006148BD" w:rsidRPr="006148BD" w:rsidRDefault="006148BD" w:rsidP="006148BD">
            <w:pPr>
              <w:tabs>
                <w:tab w:val="left" w:pos="0"/>
              </w:tabs>
              <w:ind w:left="0" w:firstLine="0"/>
              <w:rPr>
                <w:rFonts w:eastAsia="Calibri"/>
                <w:bCs/>
                <w:szCs w:val="22"/>
              </w:rPr>
            </w:pPr>
            <w:r w:rsidRPr="006148BD">
              <w:rPr>
                <w:rFonts w:eastAsia="Calibri"/>
                <w:bCs/>
                <w:szCs w:val="22"/>
              </w:rPr>
              <w:t>Сонгосон бүх мэдээллийг багтаасан еранхий хаягийн мэдээллийг Сервесд Нэвтрэх Цэг (Service Access Point) гэж нэрлэдэг.Тухайлбал, тодорхой Session протоколыг хайж олоход шаардлагатай хаяглах мэдээллийг Session Service Access Point (SSAP) гэж нэрлэдэг. SSAP нь бүх доод давхаргын сонголтуудыг багтаадаг.</w:t>
            </w:r>
          </w:p>
        </w:tc>
        <w:tc>
          <w:tcPr>
            <w:tcW w:w="4672" w:type="dxa"/>
          </w:tcPr>
          <w:p w:rsidR="006148BD" w:rsidRPr="006148BD" w:rsidRDefault="006148BD" w:rsidP="006148BD">
            <w:pPr>
              <w:tabs>
                <w:tab w:val="left" w:pos="0"/>
              </w:tabs>
              <w:ind w:left="0" w:firstLine="0"/>
              <w:rPr>
                <w:rFonts w:eastAsia="Calibri"/>
                <w:bCs/>
                <w:szCs w:val="22"/>
              </w:rPr>
            </w:pPr>
            <w:r w:rsidRPr="006148BD">
              <w:rPr>
                <w:rFonts w:eastAsia="Calibri"/>
                <w:bCs/>
                <w:szCs w:val="22"/>
              </w:rPr>
              <w:lastRenderedPageBreak/>
              <w:t>At each layer of the OSI Model, it is possible to use more than one different protocol. The OSI Model describes the use of special addresses called “selectors” to choose which protocol is going to be utilized at a given layer. Figure D.6 depicts the model and shows there  is  a  selector (SEL) that specifies which protocol is to be utilized.</w:t>
            </w:r>
          </w:p>
          <w:p w:rsidR="006148BD" w:rsidRPr="006148BD" w:rsidRDefault="006148BD" w:rsidP="006148BD">
            <w:pPr>
              <w:tabs>
                <w:tab w:val="left" w:pos="0"/>
              </w:tabs>
              <w:ind w:left="0" w:firstLine="0"/>
              <w:rPr>
                <w:rFonts w:eastAsia="Calibri"/>
                <w:bCs/>
                <w:szCs w:val="22"/>
              </w:rPr>
            </w:pPr>
            <w:r w:rsidRPr="006148BD">
              <w:rPr>
                <w:rFonts w:eastAsia="Calibri"/>
                <w:bCs/>
                <w:szCs w:val="22"/>
              </w:rPr>
              <w:t>In the case of an incoming message arriving at the Network Layer from an Ethernet Data Link layer, the selection of the use of  RFC 791 (IP) is  designated by the EtherType ID of  800 hex.  A message to be processed by a different network layer (say, the ISO connectionless network layer, or Novell IPX) would be labelled with a  different EtherType. Therefore, The EtherType   is the equivalent of an ISO Network Selector (NSEL).</w:t>
            </w:r>
          </w:p>
          <w:p w:rsidR="006148BD" w:rsidRPr="006148BD" w:rsidRDefault="006148BD" w:rsidP="006148BD">
            <w:pPr>
              <w:tabs>
                <w:tab w:val="left" w:pos="0"/>
              </w:tabs>
              <w:ind w:left="0" w:firstLine="0"/>
              <w:rPr>
                <w:rFonts w:eastAsia="Calibri"/>
                <w:bCs/>
                <w:szCs w:val="22"/>
              </w:rPr>
            </w:pPr>
            <w:r w:rsidRPr="006148BD">
              <w:rPr>
                <w:rFonts w:eastAsia="Calibri"/>
                <w:bCs/>
                <w:szCs w:val="22"/>
              </w:rPr>
              <w:t>The transport protocol to be used is  chosen via  a  Transport Selector (TSEL). The equivalent  of a TSEL, in the IP world, is the Protocol Identifier used to  differentiate between UDP and TCP.</w:t>
            </w:r>
          </w:p>
          <w:p w:rsidR="006148BD" w:rsidRPr="006148BD" w:rsidRDefault="006148BD" w:rsidP="006148BD">
            <w:pPr>
              <w:tabs>
                <w:tab w:val="left" w:pos="0"/>
              </w:tabs>
              <w:ind w:left="0" w:firstLine="0"/>
              <w:rPr>
                <w:rFonts w:eastAsia="Calibri"/>
                <w:bCs/>
                <w:szCs w:val="22"/>
              </w:rPr>
            </w:pPr>
            <w:r w:rsidRPr="006148BD">
              <w:rPr>
                <w:rFonts w:eastAsia="Calibri"/>
                <w:bCs/>
                <w:szCs w:val="22"/>
              </w:rPr>
              <w:t xml:space="preserve">The next level protocol would be specified by a Session Selector (SSEL). In the Internet world, the SSEL is the IANA TCP Port Number that specifies the actual  </w:t>
            </w:r>
            <w:r w:rsidRPr="006148BD">
              <w:rPr>
                <w:rFonts w:eastAsia="Calibri"/>
                <w:bCs/>
                <w:szCs w:val="22"/>
              </w:rPr>
              <w:lastRenderedPageBreak/>
              <w:t>application protocol to  be used (e.g. Port 80 for HTTP, Port 21 for FTP).</w:t>
            </w:r>
          </w:p>
          <w:p w:rsidR="006148BD" w:rsidRPr="006148BD" w:rsidRDefault="006148BD" w:rsidP="006148BD">
            <w:pPr>
              <w:tabs>
                <w:tab w:val="left" w:pos="0"/>
              </w:tabs>
              <w:ind w:left="0" w:firstLine="0"/>
              <w:rPr>
                <w:rFonts w:eastAsia="Calibri"/>
                <w:bCs/>
                <w:szCs w:val="22"/>
              </w:rPr>
            </w:pPr>
            <w:r w:rsidRPr="006148BD">
              <w:rPr>
                <w:rFonts w:eastAsia="Calibri"/>
                <w:bCs/>
                <w:szCs w:val="22"/>
              </w:rPr>
              <w:t>The total address information, including all of the selectors, is known as a Service Access Point. As an example, the addressing information needed to locate a particular Session  protocol is known as a Session Service Access Point (SSAP). The SSAP includes all of the lower layer selectors.</w:t>
            </w:r>
          </w:p>
        </w:tc>
      </w:tr>
      <w:tr w:rsidR="006148BD" w:rsidTr="006148BD">
        <w:tc>
          <w:tcPr>
            <w:tcW w:w="4672" w:type="dxa"/>
          </w:tcPr>
          <w:p w:rsidR="006148BD" w:rsidRPr="006148BD" w:rsidRDefault="006148BD" w:rsidP="006148BD">
            <w:pPr>
              <w:tabs>
                <w:tab w:val="left" w:pos="0"/>
              </w:tabs>
              <w:ind w:left="0" w:firstLine="0"/>
              <w:jc w:val="center"/>
              <w:rPr>
                <w:rFonts w:eastAsia="Calibri"/>
                <w:b/>
                <w:bCs/>
                <w:szCs w:val="22"/>
              </w:rPr>
            </w:pPr>
            <w:r w:rsidRPr="006148BD">
              <w:rPr>
                <w:rFonts w:eastAsia="Calibri"/>
                <w:b/>
                <w:bCs/>
                <w:szCs w:val="22"/>
              </w:rPr>
              <w:lastRenderedPageBreak/>
              <w:t>Хавсралт E</w:t>
            </w:r>
          </w:p>
          <w:p w:rsidR="006148BD" w:rsidRPr="006148BD" w:rsidRDefault="006148BD" w:rsidP="006148BD">
            <w:pPr>
              <w:tabs>
                <w:tab w:val="left" w:pos="0"/>
              </w:tabs>
              <w:ind w:left="0" w:firstLine="0"/>
              <w:jc w:val="center"/>
              <w:rPr>
                <w:rFonts w:eastAsia="Calibri"/>
                <w:bCs/>
                <w:szCs w:val="22"/>
              </w:rPr>
            </w:pPr>
            <w:r w:rsidRPr="006148BD">
              <w:rPr>
                <w:rFonts w:eastAsia="Calibri"/>
                <w:bCs/>
                <w:szCs w:val="22"/>
              </w:rPr>
              <w:t>(мэдээллийн)</w:t>
            </w:r>
          </w:p>
          <w:p w:rsidR="006148BD" w:rsidRPr="006148BD" w:rsidRDefault="006148BD" w:rsidP="006148BD">
            <w:pPr>
              <w:tabs>
                <w:tab w:val="left" w:pos="0"/>
              </w:tabs>
              <w:ind w:left="0" w:firstLine="0"/>
              <w:rPr>
                <w:rFonts w:eastAsia="Calibri"/>
                <w:b/>
                <w:bCs/>
                <w:szCs w:val="22"/>
              </w:rPr>
            </w:pPr>
            <w:r w:rsidRPr="006148BD">
              <w:rPr>
                <w:rFonts w:eastAsia="Calibri"/>
                <w:b/>
                <w:bCs/>
                <w:szCs w:val="22"/>
              </w:rPr>
              <w:t>IPv6</w:t>
            </w:r>
          </w:p>
          <w:p w:rsidR="006148BD" w:rsidRPr="006148BD" w:rsidRDefault="006148BD" w:rsidP="006148BD">
            <w:pPr>
              <w:pStyle w:val="BodyText"/>
              <w:tabs>
                <w:tab w:val="left" w:pos="0"/>
              </w:tabs>
              <w:spacing w:before="1" w:line="276" w:lineRule="auto"/>
              <w:jc w:val="both"/>
              <w:rPr>
                <w:rFonts w:eastAsia="Calibri"/>
                <w:b/>
                <w:sz w:val="24"/>
                <w:szCs w:val="22"/>
                <w:lang w:val="mn-MN"/>
              </w:rPr>
            </w:pPr>
            <w:r w:rsidRPr="006148BD">
              <w:rPr>
                <w:rFonts w:eastAsia="Calibri"/>
                <w:b/>
                <w:sz w:val="24"/>
                <w:szCs w:val="22"/>
                <w:lang w:val="mn-MN"/>
              </w:rPr>
              <w:t xml:space="preserve">E.1 Ерөнхий </w:t>
            </w:r>
          </w:p>
          <w:p w:rsidR="006148BD" w:rsidRPr="006148BD" w:rsidRDefault="006148BD" w:rsidP="006148BD">
            <w:pPr>
              <w:tabs>
                <w:tab w:val="left" w:pos="0"/>
              </w:tabs>
              <w:ind w:left="0" w:firstLine="0"/>
              <w:rPr>
                <w:rFonts w:eastAsia="Calibri"/>
                <w:bCs/>
                <w:szCs w:val="22"/>
              </w:rPr>
            </w:pPr>
            <w:r w:rsidRPr="006148BD">
              <w:rPr>
                <w:rFonts w:eastAsia="Calibri"/>
                <w:bCs/>
                <w:szCs w:val="22"/>
              </w:rPr>
              <w:t>Энэхүү хавсралтанд Интернет Протоколын 6-р хувилбарыг (IPv6) ашиглах/тодорхой заахад шаардлагатай мэдээллийг оруулсан.Эхний ээлжинд IPv6 T-Профайл-ийг IPv4 T-Профайл-тай зэрэгцүүлэн ашиглах болно гэж таамаглаж байна. Мөн, энэ нь IPv6 T-Профайл бөгөөд илүү том хэмжээний интеграцчлал/мэдээлэл солилцох боломжийг олгодог.</w:t>
            </w:r>
          </w:p>
          <w:p w:rsidR="006148BD" w:rsidRPr="006148BD" w:rsidRDefault="006148BD" w:rsidP="006148BD">
            <w:pPr>
              <w:pStyle w:val="BodyText"/>
              <w:tabs>
                <w:tab w:val="left" w:pos="0"/>
              </w:tabs>
              <w:spacing w:before="1" w:line="276" w:lineRule="auto"/>
              <w:jc w:val="both"/>
              <w:rPr>
                <w:rFonts w:eastAsia="Calibri"/>
                <w:b/>
                <w:sz w:val="24"/>
                <w:szCs w:val="22"/>
                <w:lang w:val="mn-MN"/>
              </w:rPr>
            </w:pPr>
            <w:r w:rsidRPr="006148BD">
              <w:rPr>
                <w:rFonts w:eastAsia="Calibri"/>
                <w:b/>
                <w:sz w:val="24"/>
                <w:szCs w:val="22"/>
                <w:lang w:val="mn-MN"/>
              </w:rPr>
              <w:t>E.2 IPv6 дэмжихэдшаардлагатай нэмэлт тайлбарууд</w:t>
            </w:r>
          </w:p>
          <w:p w:rsidR="006148BD" w:rsidRPr="006148BD" w:rsidRDefault="006148BD" w:rsidP="006148BD">
            <w:pPr>
              <w:tabs>
                <w:tab w:val="left" w:pos="0"/>
              </w:tabs>
              <w:ind w:left="0" w:firstLine="0"/>
              <w:rPr>
                <w:rFonts w:eastAsia="Calibri"/>
                <w:bCs/>
                <w:szCs w:val="22"/>
              </w:rPr>
            </w:pPr>
            <w:r w:rsidRPr="006148BD">
              <w:rPr>
                <w:rFonts w:eastAsia="Calibri"/>
                <w:bCs/>
                <w:szCs w:val="22"/>
              </w:rPr>
              <w:t>Норматив тайлбарт дараах зүйлийг нэмж оруулна:</w:t>
            </w:r>
          </w:p>
          <w:p w:rsidR="006148BD" w:rsidRPr="006148BD" w:rsidRDefault="006148BD" w:rsidP="006148BD">
            <w:pPr>
              <w:tabs>
                <w:tab w:val="left" w:pos="0"/>
              </w:tabs>
              <w:ind w:left="0" w:firstLine="0"/>
              <w:rPr>
                <w:rFonts w:eastAsia="Calibri"/>
                <w:bCs/>
                <w:szCs w:val="22"/>
              </w:rPr>
            </w:pPr>
            <w:r w:rsidRPr="006148BD">
              <w:rPr>
                <w:rFonts w:eastAsia="Calibri"/>
                <w:bCs/>
                <w:szCs w:val="22"/>
              </w:rPr>
              <w:t>RFC2460</w:t>
            </w:r>
            <w:r w:rsidRPr="006148BD">
              <w:rPr>
                <w:rFonts w:eastAsia="Calibri"/>
                <w:bCs/>
                <w:szCs w:val="22"/>
              </w:rPr>
              <w:tab/>
              <w:t xml:space="preserve">Интернет Протокол, Хувилбар 6 (IPv6) </w:t>
            </w:r>
          </w:p>
          <w:p w:rsidR="006148BD" w:rsidRPr="006148BD" w:rsidRDefault="006148BD" w:rsidP="006148BD">
            <w:pPr>
              <w:tabs>
                <w:tab w:val="left" w:pos="0"/>
              </w:tabs>
              <w:ind w:left="0" w:firstLine="0"/>
              <w:rPr>
                <w:rFonts w:eastAsia="Calibri"/>
                <w:bCs/>
                <w:szCs w:val="22"/>
              </w:rPr>
            </w:pPr>
            <w:r w:rsidRPr="006148BD">
              <w:rPr>
                <w:rFonts w:eastAsia="Calibri"/>
                <w:bCs/>
                <w:szCs w:val="22"/>
              </w:rPr>
              <w:t>Тодорхойлолт RFC2147</w:t>
            </w:r>
            <w:r w:rsidRPr="006148BD">
              <w:rPr>
                <w:rFonts w:eastAsia="Calibri"/>
                <w:bCs/>
                <w:szCs w:val="22"/>
              </w:rPr>
              <w:tab/>
              <w:t>IPv6 Jumbograms дээрх TCP ба UDP</w:t>
            </w:r>
          </w:p>
          <w:p w:rsidR="006148BD" w:rsidRPr="006148BD" w:rsidRDefault="006148BD" w:rsidP="006148BD">
            <w:pPr>
              <w:tabs>
                <w:tab w:val="left" w:pos="0"/>
              </w:tabs>
              <w:ind w:left="0" w:firstLine="0"/>
              <w:rPr>
                <w:rFonts w:eastAsia="Calibri"/>
                <w:bCs/>
                <w:szCs w:val="22"/>
              </w:rPr>
            </w:pPr>
            <w:r w:rsidRPr="006148BD">
              <w:rPr>
                <w:rFonts w:eastAsia="Calibri"/>
                <w:bCs/>
                <w:szCs w:val="22"/>
              </w:rPr>
              <w:t>RFC2461</w:t>
            </w:r>
            <w:r w:rsidRPr="006148BD">
              <w:rPr>
                <w:rFonts w:eastAsia="Calibri"/>
                <w:bCs/>
                <w:szCs w:val="22"/>
              </w:rPr>
              <w:tab/>
              <w:t>IPv6 дахь Хөршийн Илрүүлэлт</w:t>
            </w:r>
          </w:p>
          <w:p w:rsidR="006148BD" w:rsidRPr="006148BD" w:rsidRDefault="006148BD" w:rsidP="006148BD">
            <w:pPr>
              <w:tabs>
                <w:tab w:val="left" w:pos="0"/>
              </w:tabs>
              <w:ind w:left="0" w:firstLine="0"/>
              <w:rPr>
                <w:rFonts w:eastAsia="Calibri"/>
                <w:bCs/>
                <w:szCs w:val="22"/>
              </w:rPr>
            </w:pPr>
            <w:r w:rsidRPr="006148BD">
              <w:rPr>
                <w:rFonts w:eastAsia="Calibri"/>
                <w:bCs/>
                <w:szCs w:val="22"/>
              </w:rPr>
              <w:t>RFC2464</w:t>
            </w:r>
            <w:r w:rsidRPr="006148BD">
              <w:rPr>
                <w:rFonts w:eastAsia="Calibri"/>
                <w:bCs/>
                <w:szCs w:val="22"/>
              </w:rPr>
              <w:tab/>
              <w:t>IPv6 Багцуудыг Этернэт Сүлжээгээр Дамжуулах</w:t>
            </w:r>
          </w:p>
          <w:p w:rsidR="006148BD" w:rsidRPr="006148BD" w:rsidRDefault="006148BD" w:rsidP="006148BD">
            <w:pPr>
              <w:tabs>
                <w:tab w:val="left" w:pos="0"/>
              </w:tabs>
              <w:ind w:left="0" w:firstLine="0"/>
              <w:rPr>
                <w:rFonts w:eastAsia="Calibri"/>
                <w:bCs/>
                <w:szCs w:val="22"/>
              </w:rPr>
            </w:pPr>
            <w:r w:rsidRPr="006148BD">
              <w:rPr>
                <w:rFonts w:eastAsia="Calibri"/>
                <w:bCs/>
                <w:szCs w:val="22"/>
              </w:rPr>
              <w:t>RFC2375</w:t>
            </w:r>
            <w:r w:rsidRPr="006148BD">
              <w:rPr>
                <w:rFonts w:eastAsia="Calibri"/>
                <w:bCs/>
                <w:szCs w:val="22"/>
              </w:rPr>
              <w:tab/>
              <w:t xml:space="preserve">IPv6 Multicast Хаягийн </w:t>
            </w:r>
          </w:p>
          <w:p w:rsidR="006148BD" w:rsidRPr="006148BD" w:rsidRDefault="006148BD" w:rsidP="006148BD">
            <w:pPr>
              <w:tabs>
                <w:tab w:val="left" w:pos="0"/>
              </w:tabs>
              <w:ind w:left="0" w:firstLine="0"/>
              <w:rPr>
                <w:rFonts w:eastAsia="Calibri"/>
                <w:bCs/>
                <w:szCs w:val="22"/>
              </w:rPr>
            </w:pPr>
            <w:r w:rsidRPr="006148BD">
              <w:rPr>
                <w:rFonts w:eastAsia="Calibri"/>
                <w:bCs/>
                <w:szCs w:val="22"/>
              </w:rPr>
              <w:t>Хуваарилалт</w:t>
            </w:r>
          </w:p>
          <w:p w:rsidR="006148BD" w:rsidRPr="006148BD" w:rsidRDefault="006148BD" w:rsidP="006148BD">
            <w:pPr>
              <w:tabs>
                <w:tab w:val="left" w:pos="0"/>
              </w:tabs>
              <w:ind w:left="0" w:firstLine="0"/>
              <w:rPr>
                <w:rFonts w:eastAsia="Calibri"/>
                <w:bCs/>
                <w:szCs w:val="22"/>
              </w:rPr>
            </w:pPr>
            <w:r w:rsidRPr="006148BD">
              <w:rPr>
                <w:rFonts w:eastAsia="Calibri"/>
                <w:bCs/>
                <w:szCs w:val="22"/>
              </w:rPr>
              <w:t>RFC3697</w:t>
            </w:r>
            <w:r w:rsidRPr="006148BD">
              <w:rPr>
                <w:rFonts w:eastAsia="Calibri"/>
                <w:bCs/>
                <w:szCs w:val="22"/>
              </w:rPr>
              <w:tab/>
              <w:t>IPv6 Урсгалын Хаягын Тодорхойлолт</w:t>
            </w:r>
          </w:p>
          <w:p w:rsidR="006148BD" w:rsidRPr="006148BD" w:rsidRDefault="006148BD" w:rsidP="006148BD">
            <w:pPr>
              <w:tabs>
                <w:tab w:val="left" w:pos="0"/>
              </w:tabs>
              <w:ind w:left="0" w:firstLine="0"/>
              <w:rPr>
                <w:rFonts w:eastAsia="Calibri"/>
                <w:bCs/>
                <w:szCs w:val="22"/>
              </w:rPr>
            </w:pPr>
            <w:r w:rsidRPr="006148BD">
              <w:rPr>
                <w:rFonts w:eastAsia="Calibri"/>
                <w:bCs/>
                <w:szCs w:val="22"/>
              </w:rPr>
              <w:lastRenderedPageBreak/>
              <w:t>RFC5095</w:t>
            </w:r>
            <w:r w:rsidRPr="006148BD">
              <w:rPr>
                <w:rFonts w:eastAsia="Calibri"/>
                <w:bCs/>
                <w:szCs w:val="22"/>
              </w:rPr>
              <w:tab/>
              <w:t xml:space="preserve">IPv6 дээрх 0 Төрлийн Чиглүүлэлтийн Гарчгийн </w:t>
            </w:r>
          </w:p>
          <w:p w:rsidR="006148BD" w:rsidRPr="006148BD" w:rsidRDefault="006148BD" w:rsidP="006148BD">
            <w:pPr>
              <w:tabs>
                <w:tab w:val="left" w:pos="0"/>
              </w:tabs>
              <w:ind w:left="0" w:firstLine="0"/>
              <w:rPr>
                <w:rFonts w:eastAsia="Calibri"/>
                <w:bCs/>
                <w:szCs w:val="22"/>
              </w:rPr>
            </w:pPr>
            <w:r w:rsidRPr="006148BD">
              <w:rPr>
                <w:rFonts w:eastAsia="Calibri"/>
                <w:bCs/>
                <w:szCs w:val="22"/>
              </w:rPr>
              <w:t xml:space="preserve">Татгалзал </w:t>
            </w:r>
          </w:p>
          <w:p w:rsidR="006148BD" w:rsidRPr="006148BD" w:rsidRDefault="006148BD" w:rsidP="006148BD">
            <w:pPr>
              <w:tabs>
                <w:tab w:val="left" w:pos="0"/>
              </w:tabs>
              <w:ind w:left="0" w:firstLine="0"/>
              <w:rPr>
                <w:rFonts w:eastAsia="Calibri"/>
                <w:bCs/>
                <w:szCs w:val="22"/>
              </w:rPr>
            </w:pPr>
            <w:r w:rsidRPr="006148BD">
              <w:rPr>
                <w:rFonts w:eastAsia="Calibri"/>
                <w:bCs/>
                <w:szCs w:val="22"/>
              </w:rPr>
              <w:t>RFC5722</w:t>
            </w:r>
            <w:r w:rsidRPr="006148BD">
              <w:rPr>
                <w:rFonts w:eastAsia="Calibri"/>
                <w:bCs/>
                <w:szCs w:val="22"/>
              </w:rPr>
              <w:tab/>
              <w:t>Давхардсан IPv6 Фрагментуудын Зохицуулалт</w:t>
            </w:r>
          </w:p>
          <w:p w:rsidR="006148BD" w:rsidRPr="006148BD" w:rsidRDefault="006148BD" w:rsidP="006148BD">
            <w:pPr>
              <w:tabs>
                <w:tab w:val="left" w:pos="0"/>
              </w:tabs>
              <w:ind w:left="0" w:firstLine="0"/>
              <w:rPr>
                <w:rFonts w:eastAsia="Calibri"/>
                <w:bCs/>
                <w:szCs w:val="22"/>
              </w:rPr>
            </w:pPr>
            <w:r w:rsidRPr="006148BD">
              <w:rPr>
                <w:rFonts w:eastAsia="Calibri"/>
                <w:bCs/>
                <w:szCs w:val="22"/>
              </w:rPr>
              <w:t>RFC5871</w:t>
            </w:r>
            <w:r w:rsidRPr="006148BD">
              <w:rPr>
                <w:rFonts w:eastAsia="Calibri"/>
                <w:bCs/>
                <w:szCs w:val="22"/>
              </w:rPr>
              <w:tab/>
              <w:t>IPv6 Чиглүүлэлтийн Гарчигт IANA Хуваарилалтын Удирдамж</w:t>
            </w:r>
          </w:p>
          <w:p w:rsidR="006148BD" w:rsidRPr="006148BD" w:rsidRDefault="006148BD" w:rsidP="006148BD">
            <w:pPr>
              <w:pStyle w:val="BodyText"/>
              <w:tabs>
                <w:tab w:val="left" w:pos="0"/>
              </w:tabs>
              <w:spacing w:before="1" w:line="276" w:lineRule="auto"/>
              <w:jc w:val="both"/>
              <w:rPr>
                <w:rFonts w:eastAsia="Calibri"/>
                <w:b/>
                <w:sz w:val="24"/>
                <w:szCs w:val="22"/>
                <w:lang w:val="mn-MN"/>
              </w:rPr>
            </w:pPr>
            <w:r w:rsidRPr="006148BD">
              <w:rPr>
                <w:rFonts w:eastAsia="Calibri"/>
                <w:b/>
                <w:sz w:val="24"/>
                <w:szCs w:val="22"/>
                <w:lang w:val="mn-MN"/>
              </w:rPr>
              <w:t>E.3 A-Профайл</w:t>
            </w:r>
          </w:p>
          <w:p w:rsidR="006148BD" w:rsidRPr="006148BD" w:rsidRDefault="006148BD" w:rsidP="006148BD">
            <w:pPr>
              <w:pStyle w:val="BodyText"/>
              <w:tabs>
                <w:tab w:val="left" w:pos="0"/>
              </w:tabs>
              <w:spacing w:before="1" w:line="276" w:lineRule="auto"/>
              <w:jc w:val="both"/>
              <w:rPr>
                <w:rFonts w:eastAsia="Calibri"/>
                <w:sz w:val="24"/>
                <w:szCs w:val="22"/>
                <w:lang w:val="mn-MN"/>
              </w:rPr>
            </w:pPr>
            <w:r w:rsidRPr="006148BD">
              <w:rPr>
                <w:rFonts w:eastAsia="Calibri"/>
                <w:sz w:val="24"/>
                <w:szCs w:val="22"/>
                <w:lang w:val="mn-MN"/>
              </w:rPr>
              <w:t>11.1-т заасантай адил байна</w:t>
            </w:r>
          </w:p>
          <w:p w:rsidR="006148BD" w:rsidRPr="006148BD" w:rsidRDefault="006148BD" w:rsidP="006148BD">
            <w:pPr>
              <w:tabs>
                <w:tab w:val="left" w:pos="0"/>
              </w:tabs>
              <w:ind w:left="0" w:firstLine="0"/>
              <w:rPr>
                <w:rFonts w:eastAsia="Calibri"/>
                <w:bCs/>
                <w:szCs w:val="22"/>
              </w:rPr>
            </w:pPr>
            <w:r w:rsidRPr="006148BD">
              <w:rPr>
                <w:rFonts w:eastAsia="Calibri"/>
                <w:bCs/>
                <w:szCs w:val="22"/>
              </w:rPr>
              <w:t>Гэвч IPv6-ийг ашигласнаар IPv4-ээр дэмжигдсэн уртаас хэтэрсэн UDP багцуудыг илгээх боломжтой болно. Эдгээрийг Jumbo Datagrams гэж нэрлэдэг бөгөөд ашиглахгүй. Энэ нь RFC 2147 хэрэглээг хассан гэсэн үг юм.</w:t>
            </w:r>
          </w:p>
          <w:p w:rsidR="006148BD" w:rsidRPr="006148BD" w:rsidRDefault="006148BD" w:rsidP="006148BD">
            <w:pPr>
              <w:tabs>
                <w:tab w:val="left" w:pos="0"/>
              </w:tabs>
              <w:ind w:left="0" w:firstLine="0"/>
              <w:rPr>
                <w:rFonts w:eastAsia="Calibri"/>
                <w:bCs/>
                <w:szCs w:val="22"/>
              </w:rPr>
            </w:pPr>
            <w:r w:rsidRPr="006148BD">
              <w:rPr>
                <w:rFonts w:eastAsia="Calibri"/>
                <w:bCs/>
                <w:szCs w:val="22"/>
              </w:rPr>
              <w:t>Мөн, ClassOfTraffic болон FlowLabel талбаруудыг тохируулж болно. RFC 3697 ба RFC 2474-т заасан зөвлөмжийг дагаж мөрдөнө.</w:t>
            </w:r>
          </w:p>
        </w:tc>
        <w:tc>
          <w:tcPr>
            <w:tcW w:w="4672" w:type="dxa"/>
          </w:tcPr>
          <w:p w:rsidR="006148BD" w:rsidRPr="006148BD" w:rsidRDefault="006148BD" w:rsidP="006148BD">
            <w:pPr>
              <w:tabs>
                <w:tab w:val="left" w:pos="0"/>
              </w:tabs>
              <w:ind w:left="0" w:firstLine="0"/>
              <w:jc w:val="center"/>
              <w:rPr>
                <w:rFonts w:eastAsia="Calibri"/>
                <w:bCs/>
                <w:szCs w:val="22"/>
              </w:rPr>
            </w:pPr>
            <w:r w:rsidRPr="006148BD">
              <w:rPr>
                <w:rFonts w:eastAsia="Calibri"/>
                <w:b/>
                <w:bCs/>
                <w:szCs w:val="22"/>
              </w:rPr>
              <w:lastRenderedPageBreak/>
              <w:t>Annex E</w:t>
            </w:r>
            <w:r w:rsidRPr="006148BD">
              <w:rPr>
                <w:rFonts w:eastAsia="Calibri"/>
                <w:bCs/>
                <w:szCs w:val="22"/>
              </w:rPr>
              <w:t xml:space="preserve">                                                        (informative)</w:t>
            </w:r>
          </w:p>
          <w:p w:rsidR="006148BD" w:rsidRPr="006148BD" w:rsidRDefault="006148BD" w:rsidP="006148BD">
            <w:pPr>
              <w:tabs>
                <w:tab w:val="left" w:pos="0"/>
              </w:tabs>
              <w:ind w:left="0" w:firstLine="0"/>
              <w:rPr>
                <w:rFonts w:eastAsia="Calibri"/>
                <w:b/>
                <w:bCs/>
                <w:szCs w:val="22"/>
              </w:rPr>
            </w:pPr>
            <w:r w:rsidRPr="006148BD">
              <w:rPr>
                <w:rFonts w:eastAsia="Calibri"/>
                <w:b/>
                <w:bCs/>
                <w:szCs w:val="22"/>
              </w:rPr>
              <w:t>IPv6</w:t>
            </w:r>
          </w:p>
          <w:p w:rsidR="006148BD" w:rsidRPr="006148BD" w:rsidRDefault="006148BD" w:rsidP="006148BD">
            <w:pPr>
              <w:ind w:left="0" w:firstLine="0"/>
              <w:rPr>
                <w:rFonts w:eastAsia="Calibri"/>
                <w:b/>
                <w:bCs/>
                <w:szCs w:val="22"/>
              </w:rPr>
            </w:pPr>
            <w:r w:rsidRPr="006148BD">
              <w:rPr>
                <w:rFonts w:eastAsia="Calibri"/>
                <w:b/>
                <w:bCs/>
                <w:szCs w:val="22"/>
              </w:rPr>
              <w:t>E.1</w:t>
            </w:r>
            <w:r w:rsidRPr="006148BD">
              <w:rPr>
                <w:rFonts w:eastAsia="Calibri"/>
                <w:b/>
                <w:bCs/>
                <w:szCs w:val="22"/>
              </w:rPr>
              <w:tab/>
              <w:t>General</w:t>
            </w:r>
          </w:p>
          <w:p w:rsidR="006148BD" w:rsidRPr="006148BD" w:rsidRDefault="006148BD" w:rsidP="006148BD">
            <w:pPr>
              <w:tabs>
                <w:tab w:val="left" w:pos="0"/>
              </w:tabs>
              <w:ind w:left="0" w:firstLine="0"/>
              <w:rPr>
                <w:rFonts w:eastAsia="Calibri"/>
                <w:bCs/>
                <w:szCs w:val="22"/>
              </w:rPr>
            </w:pPr>
            <w:r w:rsidRPr="006148BD">
              <w:rPr>
                <w:rFonts w:eastAsia="Calibri"/>
                <w:bCs/>
                <w:szCs w:val="22"/>
              </w:rPr>
              <w:t>This annex provides the information needed to use/specify the use of Internet  Protocol  version 6 (IPv6). It is anticipated that an IPv6 T-Profile will be used in parallel to the IPv4 T-Profile initially. Additionally, it is the IPv6 T-Profile that will allow more wide area routing ability for larger scale integration/information exchange.</w:t>
            </w:r>
          </w:p>
          <w:p w:rsidR="006148BD" w:rsidRPr="006148BD" w:rsidRDefault="006148BD" w:rsidP="006148BD">
            <w:pPr>
              <w:ind w:left="0" w:firstLine="0"/>
              <w:rPr>
                <w:rFonts w:eastAsia="Calibri"/>
                <w:b/>
                <w:bCs/>
                <w:szCs w:val="22"/>
              </w:rPr>
            </w:pPr>
            <w:r w:rsidRPr="006148BD">
              <w:rPr>
                <w:rFonts w:eastAsia="Calibri"/>
                <w:b/>
                <w:bCs/>
                <w:szCs w:val="22"/>
              </w:rPr>
              <w:t>E.2</w:t>
            </w:r>
            <w:r w:rsidRPr="006148BD">
              <w:rPr>
                <w:rFonts w:eastAsia="Calibri"/>
                <w:b/>
                <w:bCs/>
                <w:szCs w:val="22"/>
              </w:rPr>
              <w:tab/>
              <w:t>Additions to references needed for IPv6 support</w:t>
            </w:r>
          </w:p>
          <w:p w:rsidR="006148BD" w:rsidRPr="006148BD" w:rsidRDefault="006148BD" w:rsidP="006148BD">
            <w:pPr>
              <w:tabs>
                <w:tab w:val="left" w:pos="0"/>
              </w:tabs>
              <w:ind w:left="0" w:firstLine="0"/>
              <w:rPr>
                <w:rFonts w:eastAsia="Calibri"/>
                <w:bCs/>
                <w:szCs w:val="22"/>
              </w:rPr>
            </w:pPr>
            <w:r w:rsidRPr="006148BD">
              <w:rPr>
                <w:rFonts w:eastAsia="Calibri"/>
                <w:bCs/>
                <w:szCs w:val="22"/>
              </w:rPr>
              <w:t>The following should be added to the normative references:</w:t>
            </w:r>
          </w:p>
          <w:p w:rsidR="006148BD" w:rsidRPr="006148BD" w:rsidRDefault="006148BD" w:rsidP="006148BD">
            <w:pPr>
              <w:ind w:left="0" w:firstLine="0"/>
              <w:rPr>
                <w:rFonts w:eastAsia="Calibri"/>
                <w:bCs/>
                <w:szCs w:val="22"/>
              </w:rPr>
            </w:pPr>
            <w:r w:rsidRPr="006148BD">
              <w:rPr>
                <w:rFonts w:eastAsia="Calibri"/>
                <w:bCs/>
                <w:szCs w:val="22"/>
              </w:rPr>
              <w:t>RFC 2460</w:t>
            </w:r>
            <w:r w:rsidRPr="006148BD">
              <w:rPr>
                <w:rFonts w:eastAsia="Calibri"/>
                <w:bCs/>
                <w:szCs w:val="22"/>
              </w:rPr>
              <w:tab/>
              <w:t xml:space="preserve">Internet Protocol, Version 6 (IPv6) Specification </w:t>
            </w:r>
          </w:p>
          <w:p w:rsidR="006148BD" w:rsidRPr="006148BD" w:rsidRDefault="006148BD" w:rsidP="006148BD">
            <w:pPr>
              <w:ind w:left="0" w:firstLine="0"/>
              <w:rPr>
                <w:rFonts w:eastAsia="Calibri"/>
                <w:bCs/>
                <w:szCs w:val="22"/>
              </w:rPr>
            </w:pPr>
            <w:r w:rsidRPr="006148BD">
              <w:rPr>
                <w:rFonts w:eastAsia="Calibri"/>
                <w:bCs/>
                <w:szCs w:val="22"/>
              </w:rPr>
              <w:t>RFC 2147</w:t>
            </w:r>
            <w:r w:rsidRPr="006148BD">
              <w:rPr>
                <w:rFonts w:eastAsia="Calibri"/>
                <w:bCs/>
                <w:szCs w:val="22"/>
              </w:rPr>
              <w:tab/>
              <w:t>TCP and UDP over IPv6 Jumbograms</w:t>
            </w:r>
          </w:p>
          <w:p w:rsidR="006148BD" w:rsidRPr="006148BD" w:rsidRDefault="006148BD" w:rsidP="006148BD">
            <w:pPr>
              <w:ind w:left="0" w:firstLine="0"/>
              <w:rPr>
                <w:rFonts w:eastAsia="Calibri"/>
                <w:bCs/>
                <w:szCs w:val="22"/>
              </w:rPr>
            </w:pPr>
            <w:r w:rsidRPr="006148BD">
              <w:rPr>
                <w:rFonts w:eastAsia="Calibri"/>
                <w:bCs/>
                <w:szCs w:val="22"/>
              </w:rPr>
              <w:t>RFC 2461</w:t>
            </w:r>
            <w:r w:rsidRPr="006148BD">
              <w:rPr>
                <w:rFonts w:eastAsia="Calibri"/>
                <w:bCs/>
                <w:szCs w:val="22"/>
              </w:rPr>
              <w:tab/>
              <w:t>Neighbour Discovery for IPv6</w:t>
            </w:r>
          </w:p>
          <w:p w:rsidR="006148BD" w:rsidRPr="006148BD" w:rsidRDefault="006148BD" w:rsidP="006148BD">
            <w:pPr>
              <w:ind w:left="0" w:firstLine="0"/>
              <w:rPr>
                <w:rFonts w:eastAsia="Calibri"/>
                <w:bCs/>
                <w:szCs w:val="22"/>
              </w:rPr>
            </w:pPr>
            <w:r w:rsidRPr="006148BD">
              <w:rPr>
                <w:rFonts w:eastAsia="Calibri"/>
                <w:bCs/>
                <w:szCs w:val="22"/>
              </w:rPr>
              <w:t>RFC 2464</w:t>
            </w:r>
            <w:r w:rsidRPr="006148BD">
              <w:rPr>
                <w:rFonts w:eastAsia="Calibri"/>
                <w:bCs/>
                <w:szCs w:val="22"/>
              </w:rPr>
              <w:tab/>
              <w:t>Transmission of IPv6 Packets over Ethernet Networks RFC 2375</w:t>
            </w:r>
            <w:r w:rsidRPr="006148BD">
              <w:rPr>
                <w:rFonts w:eastAsia="Calibri"/>
                <w:bCs/>
                <w:szCs w:val="22"/>
              </w:rPr>
              <w:tab/>
              <w:t>IPv6 Multicast Address Assignments</w:t>
            </w:r>
          </w:p>
          <w:p w:rsidR="006148BD" w:rsidRPr="006148BD" w:rsidRDefault="006148BD" w:rsidP="006148BD">
            <w:pPr>
              <w:ind w:left="0" w:firstLine="0"/>
              <w:rPr>
                <w:rFonts w:eastAsia="Calibri"/>
                <w:bCs/>
                <w:szCs w:val="22"/>
              </w:rPr>
            </w:pPr>
            <w:r w:rsidRPr="006148BD">
              <w:rPr>
                <w:rFonts w:eastAsia="Calibri"/>
                <w:bCs/>
                <w:szCs w:val="22"/>
              </w:rPr>
              <w:t>RFC 3697</w:t>
            </w:r>
            <w:r w:rsidRPr="006148BD">
              <w:rPr>
                <w:rFonts w:eastAsia="Calibri"/>
                <w:bCs/>
                <w:szCs w:val="22"/>
              </w:rPr>
              <w:tab/>
              <w:t>IPv6 Flow Label Specification</w:t>
            </w:r>
          </w:p>
          <w:p w:rsidR="006148BD" w:rsidRPr="006148BD" w:rsidRDefault="006148BD" w:rsidP="006148BD">
            <w:pPr>
              <w:ind w:left="0" w:firstLine="0"/>
              <w:rPr>
                <w:rFonts w:eastAsia="Calibri"/>
                <w:bCs/>
                <w:szCs w:val="22"/>
              </w:rPr>
            </w:pPr>
            <w:r w:rsidRPr="006148BD">
              <w:rPr>
                <w:rFonts w:eastAsia="Calibri"/>
                <w:bCs/>
                <w:szCs w:val="22"/>
              </w:rPr>
              <w:t>RFC 5095</w:t>
            </w:r>
            <w:r w:rsidRPr="006148BD">
              <w:rPr>
                <w:rFonts w:eastAsia="Calibri"/>
                <w:bCs/>
                <w:szCs w:val="22"/>
              </w:rPr>
              <w:tab/>
              <w:t xml:space="preserve">Deprecation of Type 0 Routing Headers in IPv6 </w:t>
            </w:r>
          </w:p>
          <w:p w:rsidR="006148BD" w:rsidRPr="006148BD" w:rsidRDefault="006148BD" w:rsidP="006148BD">
            <w:pPr>
              <w:ind w:left="0" w:firstLine="0"/>
              <w:rPr>
                <w:rFonts w:eastAsia="Calibri"/>
                <w:bCs/>
                <w:szCs w:val="22"/>
              </w:rPr>
            </w:pPr>
            <w:r w:rsidRPr="006148BD">
              <w:rPr>
                <w:rFonts w:eastAsia="Calibri"/>
                <w:bCs/>
                <w:szCs w:val="22"/>
              </w:rPr>
              <w:lastRenderedPageBreak/>
              <w:t>RFC 5722</w:t>
            </w:r>
            <w:r w:rsidRPr="006148BD">
              <w:rPr>
                <w:rFonts w:eastAsia="Calibri"/>
                <w:bCs/>
                <w:szCs w:val="22"/>
              </w:rPr>
              <w:tab/>
              <w:t>Handling of Overlapping IPv6 Fragments</w:t>
            </w:r>
          </w:p>
          <w:p w:rsidR="006148BD" w:rsidRPr="006148BD" w:rsidRDefault="006148BD" w:rsidP="006148BD">
            <w:pPr>
              <w:ind w:left="0" w:firstLine="0"/>
              <w:rPr>
                <w:rFonts w:eastAsia="Calibri"/>
                <w:bCs/>
                <w:szCs w:val="22"/>
              </w:rPr>
            </w:pPr>
            <w:r w:rsidRPr="006148BD">
              <w:rPr>
                <w:rFonts w:eastAsia="Calibri"/>
                <w:bCs/>
                <w:szCs w:val="22"/>
              </w:rPr>
              <w:t>RFC 5871</w:t>
            </w:r>
            <w:r w:rsidRPr="006148BD">
              <w:rPr>
                <w:rFonts w:eastAsia="Calibri"/>
                <w:bCs/>
                <w:szCs w:val="22"/>
              </w:rPr>
              <w:tab/>
              <w:t>IANA Allocation Guidelines for the IPv6 Routing Header</w:t>
            </w:r>
          </w:p>
          <w:p w:rsidR="006148BD" w:rsidRPr="006148BD" w:rsidRDefault="006148BD" w:rsidP="006148BD">
            <w:pPr>
              <w:ind w:left="0" w:firstLine="0"/>
              <w:rPr>
                <w:rFonts w:eastAsia="Calibri"/>
                <w:b/>
                <w:bCs/>
                <w:szCs w:val="22"/>
              </w:rPr>
            </w:pPr>
            <w:r w:rsidRPr="006148BD">
              <w:rPr>
                <w:rFonts w:eastAsia="Calibri"/>
                <w:b/>
                <w:bCs/>
                <w:szCs w:val="22"/>
              </w:rPr>
              <w:t>E.3</w:t>
            </w:r>
            <w:r w:rsidRPr="006148BD">
              <w:rPr>
                <w:rFonts w:eastAsia="Calibri"/>
                <w:b/>
                <w:bCs/>
                <w:szCs w:val="22"/>
              </w:rPr>
              <w:tab/>
              <w:t>A-Profile</w:t>
            </w:r>
          </w:p>
          <w:p w:rsidR="006148BD" w:rsidRPr="006148BD" w:rsidRDefault="006148BD" w:rsidP="006148BD">
            <w:pPr>
              <w:ind w:left="0" w:firstLine="0"/>
              <w:rPr>
                <w:rFonts w:eastAsia="Calibri"/>
                <w:bCs/>
                <w:szCs w:val="22"/>
              </w:rPr>
            </w:pPr>
            <w:r w:rsidRPr="006148BD">
              <w:rPr>
                <w:rFonts w:eastAsia="Calibri"/>
                <w:bCs/>
                <w:szCs w:val="22"/>
              </w:rPr>
              <w:t>Shall be the same as in 11.1.</w:t>
            </w:r>
          </w:p>
          <w:p w:rsidR="006148BD" w:rsidRPr="006148BD" w:rsidRDefault="006148BD" w:rsidP="006148BD">
            <w:pPr>
              <w:tabs>
                <w:tab w:val="left" w:pos="0"/>
              </w:tabs>
              <w:ind w:left="0" w:firstLine="0"/>
              <w:rPr>
                <w:rFonts w:eastAsia="Calibri"/>
                <w:bCs/>
                <w:szCs w:val="22"/>
              </w:rPr>
            </w:pPr>
            <w:r w:rsidRPr="006148BD">
              <w:rPr>
                <w:rFonts w:eastAsia="Calibri"/>
                <w:bCs/>
                <w:szCs w:val="22"/>
              </w:rPr>
              <w:t>However, with the use of IPv6, there is a potential to send UDP packets that exceed a length supported by IPv4. These are called Jumbo Datagrams and shall not  be  used. This means that the use of RFC 2147 is excluded.</w:t>
            </w:r>
          </w:p>
          <w:p w:rsidR="006148BD" w:rsidRPr="006148BD" w:rsidRDefault="006148BD" w:rsidP="006148BD">
            <w:pPr>
              <w:tabs>
                <w:tab w:val="left" w:pos="0"/>
              </w:tabs>
              <w:ind w:left="0" w:firstLine="0"/>
              <w:rPr>
                <w:rFonts w:eastAsia="Calibri"/>
                <w:bCs/>
                <w:szCs w:val="22"/>
              </w:rPr>
            </w:pPr>
          </w:p>
        </w:tc>
      </w:tr>
    </w:tbl>
    <w:p w:rsidR="006148BD" w:rsidRDefault="006148BD" w:rsidP="00F57390">
      <w:pPr>
        <w:ind w:left="0" w:firstLine="0"/>
        <w:jc w:val="center"/>
        <w:rPr>
          <w:b/>
          <w:lang w:val="en-US"/>
        </w:rPr>
      </w:pPr>
    </w:p>
    <w:p w:rsidR="006148BD" w:rsidRPr="002A009C" w:rsidRDefault="006148BD" w:rsidP="00F57390">
      <w:pPr>
        <w:ind w:left="0" w:firstLine="0"/>
        <w:jc w:val="center"/>
        <w:rPr>
          <w:b/>
        </w:rPr>
      </w:pPr>
      <w:r>
        <w:rPr>
          <w:b/>
          <w:lang w:val="en-US"/>
        </w:rPr>
        <w:t>E.4 T-</w:t>
      </w:r>
      <w:r w:rsidR="002A009C">
        <w:rPr>
          <w:b/>
        </w:rPr>
        <w:t>Профайл</w:t>
      </w:r>
    </w:p>
    <w:tbl>
      <w:tblPr>
        <w:tblStyle w:val="TableGrid"/>
        <w:tblW w:w="0" w:type="auto"/>
        <w:tblLook w:val="04A0" w:firstRow="1" w:lastRow="0" w:firstColumn="1" w:lastColumn="0" w:noHBand="0" w:noVBand="1"/>
      </w:tblPr>
      <w:tblGrid>
        <w:gridCol w:w="9344"/>
      </w:tblGrid>
      <w:tr w:rsidR="006148BD" w:rsidTr="006148BD">
        <w:tc>
          <w:tcPr>
            <w:tcW w:w="9344" w:type="dxa"/>
          </w:tcPr>
          <w:p w:rsidR="006148BD" w:rsidRPr="002A009C" w:rsidRDefault="002A009C" w:rsidP="00F57390">
            <w:pPr>
              <w:ind w:left="0" w:firstLine="0"/>
              <w:jc w:val="center"/>
              <w:rPr>
                <w:sz w:val="20"/>
                <w:szCs w:val="20"/>
                <w:lang w:val="en-US"/>
              </w:rPr>
            </w:pPr>
            <w:r w:rsidRPr="002A009C">
              <w:rPr>
                <w:sz w:val="20"/>
                <w:szCs w:val="20"/>
                <w:lang w:val="en-US"/>
              </w:rPr>
              <w:t>RFC-768 UDP</w:t>
            </w:r>
          </w:p>
        </w:tc>
      </w:tr>
      <w:tr w:rsidR="006148BD" w:rsidTr="006148BD">
        <w:tc>
          <w:tcPr>
            <w:tcW w:w="9344" w:type="dxa"/>
          </w:tcPr>
          <w:p w:rsidR="006148BD" w:rsidRPr="002A009C" w:rsidRDefault="002A009C" w:rsidP="00F57390">
            <w:pPr>
              <w:ind w:left="0" w:firstLine="0"/>
              <w:jc w:val="center"/>
              <w:rPr>
                <w:sz w:val="20"/>
                <w:szCs w:val="20"/>
                <w:lang w:val="en-US"/>
              </w:rPr>
            </w:pPr>
            <w:r w:rsidRPr="002A009C">
              <w:rPr>
                <w:sz w:val="20"/>
                <w:szCs w:val="20"/>
                <w:lang w:val="en-US"/>
              </w:rPr>
              <w:t>RFC-2326 – IP Authentication Header*</w:t>
            </w:r>
          </w:p>
        </w:tc>
      </w:tr>
      <w:tr w:rsidR="006148BD" w:rsidTr="006148BD">
        <w:tc>
          <w:tcPr>
            <w:tcW w:w="9344" w:type="dxa"/>
          </w:tcPr>
          <w:p w:rsidR="002A009C" w:rsidRPr="002A009C" w:rsidRDefault="002A009C" w:rsidP="002A009C">
            <w:pPr>
              <w:pStyle w:val="TableParagraph"/>
              <w:tabs>
                <w:tab w:val="left" w:pos="0"/>
              </w:tabs>
              <w:spacing w:before="106" w:line="276" w:lineRule="auto"/>
              <w:ind w:left="71" w:right="1382"/>
              <w:rPr>
                <w:sz w:val="20"/>
                <w:szCs w:val="20"/>
                <w:lang w:val="mn-MN"/>
              </w:rPr>
            </w:pPr>
            <w:r w:rsidRPr="002A009C">
              <w:rPr>
                <w:sz w:val="20"/>
                <w:szCs w:val="20"/>
                <w:lang w:val="mn-MN"/>
              </w:rPr>
              <w:t>RFC-2460– Дотоод сүлжээний протокол 6-р хувилбар</w:t>
            </w:r>
          </w:p>
          <w:p w:rsidR="002A009C" w:rsidRPr="002A009C" w:rsidRDefault="002A009C" w:rsidP="002A009C">
            <w:pPr>
              <w:pStyle w:val="TableParagraph"/>
              <w:tabs>
                <w:tab w:val="left" w:pos="0"/>
              </w:tabs>
              <w:spacing w:before="106" w:line="276" w:lineRule="auto"/>
              <w:ind w:left="71" w:right="1382"/>
              <w:rPr>
                <w:sz w:val="20"/>
                <w:szCs w:val="20"/>
                <w:lang w:val="mn-MN"/>
              </w:rPr>
            </w:pPr>
            <w:r w:rsidRPr="002A009C">
              <w:rPr>
                <w:sz w:val="20"/>
                <w:szCs w:val="20"/>
                <w:lang w:val="mn-MN"/>
              </w:rPr>
              <w:t xml:space="preserve">RFC 2461 – IPv6-д зориулсан зэргэлдээх илрүүлэг </w:t>
            </w:r>
          </w:p>
          <w:p w:rsidR="002A009C" w:rsidRPr="002A009C" w:rsidRDefault="002A009C" w:rsidP="002A009C">
            <w:pPr>
              <w:pStyle w:val="TableParagraph"/>
              <w:tabs>
                <w:tab w:val="left" w:pos="0"/>
              </w:tabs>
              <w:spacing w:before="0" w:line="276" w:lineRule="auto"/>
              <w:ind w:left="71"/>
              <w:rPr>
                <w:sz w:val="20"/>
                <w:szCs w:val="20"/>
                <w:lang w:val="mn-MN"/>
              </w:rPr>
            </w:pPr>
            <w:r w:rsidRPr="002A009C">
              <w:rPr>
                <w:sz w:val="20"/>
                <w:szCs w:val="20"/>
                <w:lang w:val="mn-MN"/>
              </w:rPr>
              <w:t xml:space="preserve">RFC 2464 - </w:t>
            </w:r>
            <w:r w:rsidRPr="002A009C">
              <w:rPr>
                <w:bCs w:val="0"/>
                <w:sz w:val="20"/>
                <w:szCs w:val="20"/>
                <w:shd w:val="clear" w:color="auto" w:fill="FFFFFF"/>
                <w:lang w:val="mn-MN"/>
              </w:rPr>
              <w:t>Багцуудыг Этернэт Сүлжээгээр Дамжуулах</w:t>
            </w:r>
          </w:p>
          <w:p w:rsidR="002A009C" w:rsidRPr="002A009C" w:rsidRDefault="002A009C" w:rsidP="002A009C">
            <w:pPr>
              <w:pStyle w:val="TableParagraph"/>
              <w:tabs>
                <w:tab w:val="left" w:pos="0"/>
              </w:tabs>
              <w:spacing w:before="0" w:line="276" w:lineRule="auto"/>
              <w:ind w:left="71"/>
              <w:rPr>
                <w:sz w:val="20"/>
                <w:szCs w:val="20"/>
                <w:lang w:val="mn-MN"/>
              </w:rPr>
            </w:pPr>
            <w:r w:rsidRPr="002A009C">
              <w:rPr>
                <w:sz w:val="20"/>
                <w:szCs w:val="20"/>
                <w:lang w:val="mn-MN"/>
              </w:rPr>
              <w:t xml:space="preserve">RFC 2375 - IPv6 </w:t>
            </w:r>
            <w:r w:rsidRPr="002A009C">
              <w:rPr>
                <w:rFonts w:eastAsia="Calibri"/>
                <w:bCs w:val="0"/>
                <w:sz w:val="20"/>
                <w:szCs w:val="20"/>
                <w:lang w:val="mn-MN"/>
              </w:rPr>
              <w:t>Multicast хаяг оноох гарын авлага (заавар)</w:t>
            </w:r>
          </w:p>
          <w:p w:rsidR="006148BD" w:rsidRPr="002A009C" w:rsidRDefault="002A009C" w:rsidP="002A009C">
            <w:pPr>
              <w:ind w:left="0" w:firstLine="0"/>
              <w:jc w:val="center"/>
              <w:rPr>
                <w:sz w:val="20"/>
                <w:szCs w:val="20"/>
                <w:lang w:val="en-US"/>
              </w:rPr>
            </w:pPr>
            <w:r w:rsidRPr="002A009C">
              <w:rPr>
                <w:sz w:val="20"/>
                <w:szCs w:val="20"/>
              </w:rPr>
              <w:t>RFC 1108 – сүлжээ, АНУ-ын Батлан хамгаалах Яамны интернетийн аюулгүй байдлын хувилбарууд</w:t>
            </w:r>
          </w:p>
        </w:tc>
      </w:tr>
      <w:tr w:rsidR="002A009C" w:rsidTr="006148BD">
        <w:tc>
          <w:tcPr>
            <w:tcW w:w="9344" w:type="dxa"/>
          </w:tcPr>
          <w:p w:rsidR="002A009C" w:rsidRPr="002A009C" w:rsidRDefault="002A009C" w:rsidP="002A009C">
            <w:pPr>
              <w:pStyle w:val="TableParagraph"/>
              <w:tabs>
                <w:tab w:val="left" w:pos="0"/>
              </w:tabs>
              <w:spacing w:before="75" w:line="276" w:lineRule="auto"/>
              <w:ind w:left="1154" w:right="1148"/>
              <w:jc w:val="center"/>
              <w:rPr>
                <w:sz w:val="20"/>
                <w:szCs w:val="20"/>
                <w:lang w:val="mn-MN"/>
              </w:rPr>
            </w:pPr>
            <w:r w:rsidRPr="002A009C">
              <w:rPr>
                <w:sz w:val="20"/>
                <w:szCs w:val="20"/>
                <w:lang w:val="mn-MN"/>
              </w:rPr>
              <w:t>IEEE 802.1Q</w:t>
            </w:r>
          </w:p>
        </w:tc>
      </w:tr>
      <w:tr w:rsidR="002A009C" w:rsidTr="006148BD">
        <w:tc>
          <w:tcPr>
            <w:tcW w:w="9344" w:type="dxa"/>
          </w:tcPr>
          <w:p w:rsidR="002A009C" w:rsidRPr="002A009C" w:rsidRDefault="002A009C" w:rsidP="002A009C">
            <w:pPr>
              <w:pStyle w:val="TableParagraph"/>
              <w:tabs>
                <w:tab w:val="left" w:pos="0"/>
              </w:tabs>
              <w:spacing w:before="75" w:line="276" w:lineRule="auto"/>
              <w:ind w:left="1153" w:right="1154"/>
              <w:jc w:val="center"/>
              <w:rPr>
                <w:sz w:val="20"/>
                <w:szCs w:val="20"/>
                <w:lang w:val="mn-MN"/>
              </w:rPr>
            </w:pPr>
            <w:r w:rsidRPr="002A009C">
              <w:rPr>
                <w:sz w:val="20"/>
                <w:szCs w:val="20"/>
                <w:lang w:val="mn-MN"/>
              </w:rPr>
              <w:t>ISO/IEC 8802-3 Ethertype</w:t>
            </w:r>
          </w:p>
        </w:tc>
      </w:tr>
      <w:tr w:rsidR="002A009C" w:rsidTr="006148BD">
        <w:tc>
          <w:tcPr>
            <w:tcW w:w="9344" w:type="dxa"/>
          </w:tcPr>
          <w:p w:rsidR="002A009C" w:rsidRPr="002A009C" w:rsidRDefault="002A009C" w:rsidP="002A009C">
            <w:pPr>
              <w:pStyle w:val="TableParagraph"/>
              <w:tabs>
                <w:tab w:val="left" w:pos="0"/>
              </w:tabs>
              <w:spacing w:before="76" w:line="276" w:lineRule="auto"/>
              <w:ind w:left="1154" w:right="1154"/>
              <w:jc w:val="center"/>
              <w:rPr>
                <w:sz w:val="20"/>
                <w:szCs w:val="20"/>
                <w:lang w:val="mn-MN"/>
              </w:rPr>
            </w:pPr>
            <w:r w:rsidRPr="002A009C">
              <w:rPr>
                <w:sz w:val="20"/>
                <w:szCs w:val="20"/>
                <w:lang w:val="mn-MN"/>
              </w:rPr>
              <w:t>ISO/IEC 8802-3</w:t>
            </w:r>
          </w:p>
        </w:tc>
      </w:tr>
    </w:tbl>
    <w:p w:rsidR="006148BD" w:rsidRDefault="006148BD" w:rsidP="00F57390">
      <w:pPr>
        <w:ind w:left="0" w:firstLine="0"/>
        <w:jc w:val="center"/>
        <w:rPr>
          <w:b/>
          <w:lang w:val="en-US"/>
        </w:rPr>
      </w:pPr>
    </w:p>
    <w:p w:rsidR="006148BD" w:rsidRDefault="002A009C" w:rsidP="00F57390">
      <w:pPr>
        <w:ind w:left="0" w:firstLine="0"/>
        <w:jc w:val="center"/>
        <w:rPr>
          <w:b/>
          <w:lang w:val="en-US"/>
        </w:rPr>
      </w:pPr>
      <w:r>
        <w:rPr>
          <w:b/>
          <w:lang w:val="en-US"/>
        </w:rPr>
        <w:t>E.4 T-Profile</w:t>
      </w:r>
    </w:p>
    <w:tbl>
      <w:tblPr>
        <w:tblStyle w:val="TableGrid"/>
        <w:tblW w:w="0" w:type="auto"/>
        <w:tblLook w:val="04A0" w:firstRow="1" w:lastRow="0" w:firstColumn="1" w:lastColumn="0" w:noHBand="0" w:noVBand="1"/>
      </w:tblPr>
      <w:tblGrid>
        <w:gridCol w:w="9344"/>
      </w:tblGrid>
      <w:tr w:rsidR="002A009C" w:rsidRPr="002A009C" w:rsidTr="00D80958">
        <w:tc>
          <w:tcPr>
            <w:tcW w:w="9344" w:type="dxa"/>
          </w:tcPr>
          <w:p w:rsidR="002A009C" w:rsidRPr="002A009C" w:rsidRDefault="002A009C" w:rsidP="00D80958">
            <w:pPr>
              <w:ind w:left="0" w:firstLine="0"/>
              <w:jc w:val="center"/>
              <w:rPr>
                <w:sz w:val="20"/>
                <w:szCs w:val="20"/>
                <w:lang w:val="en-US"/>
              </w:rPr>
            </w:pPr>
            <w:r w:rsidRPr="002A009C">
              <w:rPr>
                <w:sz w:val="20"/>
                <w:szCs w:val="20"/>
                <w:lang w:val="en-US"/>
              </w:rPr>
              <w:t>RFC-768 UDP</w:t>
            </w:r>
          </w:p>
        </w:tc>
      </w:tr>
      <w:tr w:rsidR="002A009C" w:rsidRPr="002A009C" w:rsidTr="00D80958">
        <w:tc>
          <w:tcPr>
            <w:tcW w:w="9344" w:type="dxa"/>
          </w:tcPr>
          <w:p w:rsidR="002A009C" w:rsidRPr="002A009C" w:rsidRDefault="002A009C" w:rsidP="00D80958">
            <w:pPr>
              <w:ind w:left="0" w:firstLine="0"/>
              <w:jc w:val="center"/>
              <w:rPr>
                <w:sz w:val="20"/>
                <w:szCs w:val="20"/>
                <w:lang w:val="en-US"/>
              </w:rPr>
            </w:pPr>
            <w:r w:rsidRPr="002A009C">
              <w:rPr>
                <w:sz w:val="20"/>
                <w:szCs w:val="20"/>
                <w:lang w:val="en-US"/>
              </w:rPr>
              <w:t>RFC-2326 – IP Authentication Header*</w:t>
            </w:r>
          </w:p>
        </w:tc>
      </w:tr>
      <w:tr w:rsidR="002A009C" w:rsidRPr="002A009C" w:rsidTr="00D80958">
        <w:tc>
          <w:tcPr>
            <w:tcW w:w="9344" w:type="dxa"/>
          </w:tcPr>
          <w:p w:rsidR="002A009C" w:rsidRPr="00731F96" w:rsidRDefault="002A009C" w:rsidP="002A009C">
            <w:pPr>
              <w:pStyle w:val="TableParagraph"/>
              <w:tabs>
                <w:tab w:val="left" w:pos="0"/>
              </w:tabs>
              <w:spacing w:before="106" w:line="276" w:lineRule="auto"/>
              <w:ind w:left="71" w:right="1382"/>
              <w:rPr>
                <w:sz w:val="20"/>
                <w:szCs w:val="20"/>
                <w:lang w:val="mn-MN"/>
              </w:rPr>
            </w:pPr>
            <w:r w:rsidRPr="00EF2D2B">
              <w:rPr>
                <w:sz w:val="20"/>
                <w:szCs w:val="20"/>
                <w:lang w:val="mn-MN"/>
              </w:rPr>
              <w:t>RFC-2460– Internetworking Protocol version 6 RFC 2461 – Neighbor Discovery for IPv6</w:t>
            </w:r>
          </w:p>
          <w:p w:rsidR="002A009C" w:rsidRPr="00EF2D2B" w:rsidRDefault="002A009C" w:rsidP="002A009C">
            <w:pPr>
              <w:pStyle w:val="TableParagraph"/>
              <w:tabs>
                <w:tab w:val="left" w:pos="0"/>
              </w:tabs>
              <w:spacing w:before="0" w:line="276" w:lineRule="auto"/>
              <w:ind w:left="71"/>
              <w:rPr>
                <w:sz w:val="20"/>
                <w:szCs w:val="20"/>
                <w:lang w:val="mn-MN"/>
              </w:rPr>
            </w:pPr>
            <w:r w:rsidRPr="00EF2D2B">
              <w:rPr>
                <w:sz w:val="20"/>
                <w:szCs w:val="20"/>
                <w:lang w:val="mn-MN"/>
              </w:rPr>
              <w:t>RFC 2464 - Transmission of IPv6 Packets over Ethernet Networks RFC 2375 - IPv6 Multicast Address Assignments</w:t>
            </w:r>
          </w:p>
          <w:p w:rsidR="002A009C" w:rsidRPr="002A009C" w:rsidRDefault="002A009C" w:rsidP="002A009C">
            <w:pPr>
              <w:ind w:left="0" w:firstLine="0"/>
              <w:rPr>
                <w:sz w:val="20"/>
                <w:szCs w:val="20"/>
                <w:lang w:val="en-US"/>
              </w:rPr>
            </w:pPr>
            <w:r w:rsidRPr="00EF2D2B">
              <w:rPr>
                <w:sz w:val="20"/>
                <w:szCs w:val="20"/>
              </w:rPr>
              <w:t>RFC 1108 – U.S. Department of Defense Security options for the Internet Protocol</w:t>
            </w:r>
          </w:p>
        </w:tc>
      </w:tr>
      <w:tr w:rsidR="002A009C" w:rsidRPr="002A009C" w:rsidTr="00D80958">
        <w:tc>
          <w:tcPr>
            <w:tcW w:w="9344" w:type="dxa"/>
          </w:tcPr>
          <w:p w:rsidR="002A009C" w:rsidRPr="002A009C" w:rsidRDefault="002A009C" w:rsidP="00D80958">
            <w:pPr>
              <w:pStyle w:val="TableParagraph"/>
              <w:tabs>
                <w:tab w:val="left" w:pos="0"/>
              </w:tabs>
              <w:spacing w:before="75" w:line="276" w:lineRule="auto"/>
              <w:ind w:left="1154" w:right="1148"/>
              <w:jc w:val="center"/>
              <w:rPr>
                <w:sz w:val="20"/>
                <w:szCs w:val="20"/>
                <w:lang w:val="mn-MN"/>
              </w:rPr>
            </w:pPr>
            <w:r w:rsidRPr="002A009C">
              <w:rPr>
                <w:sz w:val="20"/>
                <w:szCs w:val="20"/>
                <w:lang w:val="mn-MN"/>
              </w:rPr>
              <w:t>IEEE 802.1Q</w:t>
            </w:r>
          </w:p>
        </w:tc>
      </w:tr>
      <w:tr w:rsidR="002A009C" w:rsidRPr="002A009C" w:rsidTr="00D80958">
        <w:tc>
          <w:tcPr>
            <w:tcW w:w="9344" w:type="dxa"/>
          </w:tcPr>
          <w:p w:rsidR="002A009C" w:rsidRPr="002A009C" w:rsidRDefault="002A009C" w:rsidP="00D80958">
            <w:pPr>
              <w:pStyle w:val="TableParagraph"/>
              <w:tabs>
                <w:tab w:val="left" w:pos="0"/>
              </w:tabs>
              <w:spacing w:before="75" w:line="276" w:lineRule="auto"/>
              <w:ind w:left="1153" w:right="1154"/>
              <w:jc w:val="center"/>
              <w:rPr>
                <w:sz w:val="20"/>
                <w:szCs w:val="20"/>
                <w:lang w:val="mn-MN"/>
              </w:rPr>
            </w:pPr>
            <w:r w:rsidRPr="002A009C">
              <w:rPr>
                <w:sz w:val="20"/>
                <w:szCs w:val="20"/>
                <w:lang w:val="mn-MN"/>
              </w:rPr>
              <w:t>ISO/IEC 8802-3 Ethertype</w:t>
            </w:r>
          </w:p>
        </w:tc>
      </w:tr>
      <w:tr w:rsidR="002A009C" w:rsidRPr="002A009C" w:rsidTr="00D80958">
        <w:tc>
          <w:tcPr>
            <w:tcW w:w="9344" w:type="dxa"/>
          </w:tcPr>
          <w:p w:rsidR="002A009C" w:rsidRPr="002A009C" w:rsidRDefault="002A009C" w:rsidP="00D80958">
            <w:pPr>
              <w:pStyle w:val="TableParagraph"/>
              <w:tabs>
                <w:tab w:val="left" w:pos="0"/>
              </w:tabs>
              <w:spacing w:before="76" w:line="276" w:lineRule="auto"/>
              <w:ind w:left="1154" w:right="1154"/>
              <w:jc w:val="center"/>
              <w:rPr>
                <w:sz w:val="20"/>
                <w:szCs w:val="20"/>
                <w:lang w:val="mn-MN"/>
              </w:rPr>
            </w:pPr>
            <w:r w:rsidRPr="002A009C">
              <w:rPr>
                <w:sz w:val="20"/>
                <w:szCs w:val="20"/>
                <w:lang w:val="mn-MN"/>
              </w:rPr>
              <w:lastRenderedPageBreak/>
              <w:t>ISO/IEC 8802-3</w:t>
            </w:r>
          </w:p>
        </w:tc>
      </w:tr>
    </w:tbl>
    <w:p w:rsidR="004042A1" w:rsidRDefault="004042A1" w:rsidP="004042A1">
      <w:pPr>
        <w:ind w:left="0" w:firstLine="0"/>
        <w:jc w:val="center"/>
        <w:rPr>
          <w:b/>
          <w:lang w:val="en-US"/>
        </w:rPr>
      </w:pPr>
    </w:p>
    <w:p w:rsidR="002A009C" w:rsidRDefault="004042A1" w:rsidP="004042A1">
      <w:pPr>
        <w:ind w:left="0" w:firstLine="0"/>
        <w:jc w:val="center"/>
        <w:rPr>
          <w:b/>
          <w:lang w:val="en-US"/>
        </w:rPr>
      </w:pPr>
      <w:r w:rsidRPr="004042A1">
        <w:rPr>
          <w:b/>
          <w:lang w:val="en-US"/>
        </w:rPr>
        <w:t>E.4.1 IPv6 Сонголтууд</w:t>
      </w:r>
    </w:p>
    <w:p w:rsidR="004042A1" w:rsidRPr="004042A1" w:rsidRDefault="004042A1" w:rsidP="004042A1">
      <w:pPr>
        <w:ind w:left="0" w:firstLine="0"/>
        <w:rPr>
          <w:lang w:val="en-US"/>
        </w:rPr>
      </w:pPr>
      <w:r w:rsidRPr="004042A1">
        <w:rPr>
          <w:lang w:val="en-US"/>
        </w:rPr>
        <w:t>IPv6-ийг хэрэгжүүлснээр unicast болон multicast хаягийг хоёуланг нь дэмжинэ.</w:t>
      </w:r>
    </w:p>
    <w:p w:rsidR="004042A1" w:rsidRDefault="004042A1" w:rsidP="004042A1">
      <w:pPr>
        <w:ind w:left="0" w:firstLine="0"/>
        <w:jc w:val="center"/>
        <w:rPr>
          <w:b/>
          <w:lang w:val="en-US"/>
        </w:rPr>
      </w:pPr>
      <w:r>
        <w:rPr>
          <w:noProof/>
          <w:lang w:val="en-US"/>
        </w:rPr>
        <w:drawing>
          <wp:inline distT="0" distB="0" distL="0" distR="0" wp14:anchorId="1ECE11DB" wp14:editId="3E0CB0AD">
            <wp:extent cx="4324350" cy="308610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324350" cy="3086100"/>
                    </a:xfrm>
                    <a:prstGeom prst="rect">
                      <a:avLst/>
                    </a:prstGeom>
                  </pic:spPr>
                </pic:pic>
              </a:graphicData>
            </a:graphic>
          </wp:inline>
        </w:drawing>
      </w:r>
    </w:p>
    <w:p w:rsidR="004042A1" w:rsidRDefault="004042A1" w:rsidP="004042A1">
      <w:pPr>
        <w:tabs>
          <w:tab w:val="left" w:pos="0"/>
        </w:tabs>
        <w:jc w:val="center"/>
        <w:rPr>
          <w:b/>
        </w:rPr>
      </w:pPr>
      <w:r w:rsidRPr="00731F96">
        <w:rPr>
          <w:b/>
        </w:rPr>
        <w:t>E.4.1</w:t>
      </w:r>
      <w:r w:rsidRPr="00731F96">
        <w:rPr>
          <w:b/>
        </w:rPr>
        <w:tab/>
        <w:t>IPv6 Options</w:t>
      </w:r>
    </w:p>
    <w:p w:rsidR="004042A1" w:rsidRDefault="004042A1" w:rsidP="004042A1">
      <w:pPr>
        <w:ind w:left="0" w:firstLine="0"/>
        <w:jc w:val="center"/>
        <w:rPr>
          <w:lang w:val="en-US"/>
        </w:rPr>
      </w:pPr>
      <w:r w:rsidRPr="004042A1">
        <w:rPr>
          <w:lang w:val="en-US"/>
        </w:rPr>
        <w:t>The implementation of IPv6 shall support both unicast and multicast addressing.</w:t>
      </w:r>
    </w:p>
    <w:p w:rsidR="004042A1" w:rsidRPr="004042A1" w:rsidRDefault="004042A1" w:rsidP="004042A1">
      <w:pPr>
        <w:ind w:left="0" w:firstLine="0"/>
        <w:jc w:val="center"/>
        <w:rPr>
          <w:lang w:val="en-US"/>
        </w:rPr>
      </w:pPr>
      <w:r>
        <w:rPr>
          <w:noProof/>
          <w:lang w:val="en-US"/>
        </w:rPr>
        <w:drawing>
          <wp:inline distT="0" distB="0" distL="0" distR="0" wp14:anchorId="18BB5857" wp14:editId="47DACCBC">
            <wp:extent cx="4981575" cy="2838450"/>
            <wp:effectExtent l="0" t="0" r="9525"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81575" cy="2838450"/>
                    </a:xfrm>
                    <a:prstGeom prst="rect">
                      <a:avLst/>
                    </a:prstGeom>
                  </pic:spPr>
                </pic:pic>
              </a:graphicData>
            </a:graphic>
          </wp:inline>
        </w:drawing>
      </w:r>
    </w:p>
    <w:p w:rsidR="004042A1" w:rsidRDefault="004042A1" w:rsidP="00AB1FE9">
      <w:pPr>
        <w:ind w:left="0" w:firstLine="0"/>
        <w:rPr>
          <w:b/>
          <w:lang w:val="en-US"/>
        </w:rPr>
      </w:pPr>
    </w:p>
    <w:tbl>
      <w:tblPr>
        <w:tblStyle w:val="TableGrid"/>
        <w:tblW w:w="0" w:type="auto"/>
        <w:tblLook w:val="04A0" w:firstRow="1" w:lastRow="0" w:firstColumn="1" w:lastColumn="0" w:noHBand="0" w:noVBand="1"/>
      </w:tblPr>
      <w:tblGrid>
        <w:gridCol w:w="4672"/>
        <w:gridCol w:w="4672"/>
      </w:tblGrid>
      <w:tr w:rsidR="006148BD" w:rsidTr="006148BD">
        <w:tc>
          <w:tcPr>
            <w:tcW w:w="4672" w:type="dxa"/>
          </w:tcPr>
          <w:p w:rsidR="004042A1" w:rsidRPr="00CC195F" w:rsidRDefault="00CC195F" w:rsidP="006148BD">
            <w:pPr>
              <w:pStyle w:val="BodyText"/>
              <w:tabs>
                <w:tab w:val="left" w:pos="0"/>
              </w:tabs>
              <w:spacing w:before="1" w:line="276" w:lineRule="auto"/>
              <w:jc w:val="both"/>
              <w:rPr>
                <w:rFonts w:eastAsia="Calibri"/>
                <w:sz w:val="24"/>
                <w:szCs w:val="22"/>
                <w:lang w:val="mn-MN"/>
              </w:rPr>
            </w:pPr>
            <w:r w:rsidRPr="00CC195F">
              <w:rPr>
                <w:rFonts w:eastAsia="Calibri"/>
                <w:sz w:val="24"/>
                <w:szCs w:val="22"/>
              </w:rPr>
              <w:t>ClassOfTraffic болон flowLabel талбаруудыг тохируулах боломжтой.</w:t>
            </w:r>
            <w:r>
              <w:rPr>
                <w:rFonts w:eastAsia="Calibri"/>
                <w:sz w:val="24"/>
                <w:szCs w:val="22"/>
                <w:lang w:val="mn-MN"/>
              </w:rPr>
              <w:t xml:space="preserve"> Ингэхийн тулд </w:t>
            </w:r>
            <w:r w:rsidRPr="00CC195F">
              <w:rPr>
                <w:rFonts w:eastAsia="Calibri"/>
                <w:sz w:val="24"/>
                <w:szCs w:val="22"/>
                <w:lang w:val="mn-MN"/>
              </w:rPr>
              <w:t>RFC 3697 болон RFC 2474-д заасан зөвлө</w:t>
            </w:r>
            <w:bookmarkStart w:id="78" w:name="_GoBack"/>
            <w:bookmarkEnd w:id="78"/>
            <w:r w:rsidRPr="00CC195F">
              <w:rPr>
                <w:rFonts w:eastAsia="Calibri"/>
                <w:sz w:val="24"/>
                <w:szCs w:val="22"/>
                <w:lang w:val="mn-MN"/>
              </w:rPr>
              <w:t>мжийг дагаж мөрдөнө.</w:t>
            </w:r>
          </w:p>
          <w:p w:rsidR="006148BD" w:rsidRPr="006148BD" w:rsidRDefault="006148BD" w:rsidP="006148BD">
            <w:pPr>
              <w:pStyle w:val="BodyText"/>
              <w:tabs>
                <w:tab w:val="left" w:pos="0"/>
              </w:tabs>
              <w:spacing w:before="1" w:line="276" w:lineRule="auto"/>
              <w:jc w:val="both"/>
              <w:rPr>
                <w:rFonts w:eastAsia="Calibri"/>
                <w:b/>
                <w:sz w:val="24"/>
                <w:szCs w:val="22"/>
                <w:lang w:val="mn-MN"/>
              </w:rPr>
            </w:pPr>
            <w:r w:rsidRPr="006148BD">
              <w:rPr>
                <w:rFonts w:eastAsia="Calibri"/>
                <w:b/>
                <w:sz w:val="24"/>
                <w:szCs w:val="22"/>
                <w:lang w:val="mn-MN"/>
              </w:rPr>
              <w:t>E.5 SCL-ийн өөрчлөлтүүд</w:t>
            </w:r>
          </w:p>
          <w:p w:rsidR="006148BD" w:rsidRPr="006148BD" w:rsidRDefault="006148BD" w:rsidP="006148BD">
            <w:pPr>
              <w:tabs>
                <w:tab w:val="left" w:pos="0"/>
              </w:tabs>
              <w:ind w:left="0" w:firstLine="0"/>
              <w:rPr>
                <w:rFonts w:eastAsia="Calibri"/>
                <w:bCs/>
                <w:szCs w:val="22"/>
              </w:rPr>
            </w:pPr>
            <w:r w:rsidRPr="006148BD">
              <w:rPr>
                <w:rFonts w:eastAsia="Calibri"/>
                <w:bCs/>
                <w:szCs w:val="22"/>
              </w:rPr>
              <w:lastRenderedPageBreak/>
              <w:t>IEC 61850-6-д одоогийн SCL тодорхойлолтууд нь IPv6 хаяг, дэд сүлжээ, гарцын илэрхийлэлийг дэмждэггүй. Тиймээс эцэст нь энэ хаягийг илэрхийлэх механизм нэмэх шаардлагатай болно.</w:t>
            </w:r>
          </w:p>
          <w:p w:rsidR="006148BD" w:rsidRDefault="006148BD" w:rsidP="006148BD">
            <w:pPr>
              <w:tabs>
                <w:tab w:val="left" w:pos="0"/>
              </w:tabs>
              <w:ind w:left="0" w:firstLine="0"/>
              <w:rPr>
                <w:rFonts w:eastAsia="Calibri"/>
                <w:bCs/>
                <w:szCs w:val="22"/>
              </w:rPr>
            </w:pPr>
            <w:r w:rsidRPr="006148BD">
              <w:rPr>
                <w:rFonts w:eastAsia="Calibri"/>
                <w:bCs/>
                <w:szCs w:val="22"/>
              </w:rPr>
              <w:t>Эдгээр өргөтгөлүүдийг 13.2.4.-өөс үзнэ үү.</w:t>
            </w:r>
          </w:p>
          <w:p w:rsidR="004042A1" w:rsidRPr="004042A1" w:rsidRDefault="004042A1" w:rsidP="004042A1">
            <w:pPr>
              <w:tabs>
                <w:tab w:val="left" w:pos="0"/>
              </w:tabs>
              <w:ind w:left="0" w:firstLine="0"/>
              <w:jc w:val="center"/>
              <w:rPr>
                <w:rFonts w:eastAsia="Calibri"/>
                <w:bCs/>
                <w:szCs w:val="22"/>
              </w:rPr>
            </w:pPr>
            <w:r w:rsidRPr="004042A1">
              <w:rPr>
                <w:rFonts w:eastAsia="Calibri"/>
                <w:b/>
                <w:bCs/>
                <w:szCs w:val="22"/>
              </w:rPr>
              <w:t>Хавсралт F</w:t>
            </w:r>
            <w:r w:rsidRPr="004042A1">
              <w:rPr>
                <w:rFonts w:eastAsia="Calibri"/>
                <w:bCs/>
                <w:szCs w:val="22"/>
              </w:rPr>
              <w:t xml:space="preserve">                                                   (мэдээллийн)</w:t>
            </w:r>
          </w:p>
          <w:p w:rsidR="004042A1" w:rsidRPr="004042A1" w:rsidRDefault="004042A1" w:rsidP="004042A1">
            <w:pPr>
              <w:tabs>
                <w:tab w:val="left" w:pos="0"/>
              </w:tabs>
              <w:ind w:left="0" w:firstLine="0"/>
              <w:rPr>
                <w:rFonts w:eastAsia="Calibri"/>
                <w:b/>
                <w:bCs/>
                <w:szCs w:val="22"/>
              </w:rPr>
            </w:pPr>
            <w:r w:rsidRPr="004042A1">
              <w:rPr>
                <w:rFonts w:eastAsia="Calibri"/>
                <w:b/>
                <w:bCs/>
                <w:szCs w:val="22"/>
              </w:rPr>
              <w:t>Edge баталгаажуулалт</w:t>
            </w:r>
          </w:p>
          <w:p w:rsidR="004042A1" w:rsidRPr="004042A1" w:rsidRDefault="004042A1" w:rsidP="004042A1">
            <w:pPr>
              <w:tabs>
                <w:tab w:val="left" w:pos="0"/>
              </w:tabs>
              <w:ind w:left="0" w:firstLine="0"/>
              <w:rPr>
                <w:rFonts w:eastAsia="Calibri"/>
                <w:bCs/>
                <w:szCs w:val="22"/>
              </w:rPr>
            </w:pPr>
            <w:r w:rsidRPr="004042A1">
              <w:rPr>
                <w:rFonts w:eastAsia="Calibri"/>
                <w:bCs/>
                <w:szCs w:val="22"/>
              </w:rPr>
              <w:t>Edge Баталгаажуулалт нь ерөнхийдөө дотоод асуудал. Гэхдээ, энэхүү Техникийн Тайланд  ийм баталгаажуулалтыг RFC 2406 - IP Encapsulating Security Payload ашиглан хийхийг зөвлөж байна.</w:t>
            </w:r>
          </w:p>
          <w:p w:rsidR="004042A1" w:rsidRPr="004042A1" w:rsidRDefault="004042A1" w:rsidP="004042A1">
            <w:pPr>
              <w:tabs>
                <w:tab w:val="left" w:pos="0"/>
              </w:tabs>
              <w:ind w:left="0" w:firstLine="0"/>
              <w:rPr>
                <w:rFonts w:eastAsia="Calibri"/>
                <w:bCs/>
                <w:szCs w:val="22"/>
              </w:rPr>
            </w:pPr>
            <w:r w:rsidRPr="004042A1">
              <w:rPr>
                <w:rFonts w:eastAsia="Calibri"/>
                <w:bCs/>
                <w:szCs w:val="22"/>
              </w:rPr>
              <w:t>Энэхүү протоколыг дэмжихэд шаардлагатай чухал хэлэлцээрүүдийг KDC механизмаар (ж.нь RFC 3547) дэмждэг.</w:t>
            </w:r>
          </w:p>
          <w:p w:rsidR="004042A1" w:rsidRPr="004042A1" w:rsidRDefault="004042A1" w:rsidP="004042A1">
            <w:pPr>
              <w:tabs>
                <w:tab w:val="left" w:pos="0"/>
              </w:tabs>
              <w:ind w:left="0" w:firstLine="0"/>
              <w:jc w:val="center"/>
              <w:rPr>
                <w:rFonts w:eastAsia="Calibri"/>
                <w:bCs/>
                <w:szCs w:val="22"/>
              </w:rPr>
            </w:pPr>
            <w:r w:rsidRPr="004042A1">
              <w:rPr>
                <w:rFonts w:eastAsia="Calibri"/>
                <w:b/>
                <w:bCs/>
                <w:szCs w:val="22"/>
              </w:rPr>
              <w:t>Хавсралт G</w:t>
            </w:r>
            <w:r w:rsidRPr="004042A1">
              <w:rPr>
                <w:rFonts w:eastAsia="Calibri"/>
                <w:bCs/>
                <w:szCs w:val="22"/>
              </w:rPr>
              <w:t xml:space="preserve">                                                   (мэдээллийн)</w:t>
            </w:r>
          </w:p>
          <w:p w:rsidR="004042A1" w:rsidRPr="004042A1" w:rsidRDefault="004042A1" w:rsidP="004042A1">
            <w:pPr>
              <w:tabs>
                <w:tab w:val="left" w:pos="0"/>
              </w:tabs>
              <w:ind w:left="0" w:firstLine="0"/>
              <w:rPr>
                <w:rFonts w:eastAsia="Calibri"/>
                <w:b/>
                <w:bCs/>
                <w:szCs w:val="22"/>
              </w:rPr>
            </w:pPr>
            <w:r w:rsidRPr="004042A1">
              <w:rPr>
                <w:rFonts w:eastAsia="Calibri"/>
                <w:b/>
                <w:bCs/>
                <w:szCs w:val="22"/>
              </w:rPr>
              <w:t>A-Профайл кодчиллын жишээ</w:t>
            </w:r>
          </w:p>
          <w:p w:rsidR="004042A1" w:rsidRPr="004042A1" w:rsidRDefault="004042A1" w:rsidP="004042A1">
            <w:pPr>
              <w:tabs>
                <w:tab w:val="left" w:pos="0"/>
              </w:tabs>
              <w:ind w:left="0" w:firstLine="0"/>
              <w:rPr>
                <w:rFonts w:eastAsia="Calibri"/>
                <w:bCs/>
                <w:szCs w:val="22"/>
              </w:rPr>
            </w:pPr>
            <w:r w:rsidRPr="004042A1">
              <w:rPr>
                <w:rFonts w:eastAsia="Calibri"/>
                <w:bCs/>
                <w:szCs w:val="22"/>
              </w:rPr>
              <w:t>Зураг G.1-д GOOSE ба SV A-Профайл кодчиллын жишээг үзүүлэв.</w:t>
            </w:r>
          </w:p>
          <w:p w:rsidR="004042A1" w:rsidRDefault="004042A1" w:rsidP="004042A1">
            <w:pPr>
              <w:tabs>
                <w:tab w:val="left" w:pos="0"/>
              </w:tabs>
              <w:ind w:left="0" w:firstLine="0"/>
              <w:rPr>
                <w:b/>
                <w:lang w:val="en-US"/>
              </w:rPr>
            </w:pPr>
            <w:r w:rsidRPr="004042A1">
              <w:rPr>
                <w:rFonts w:eastAsia="Calibri"/>
                <w:bCs/>
                <w:szCs w:val="22"/>
              </w:rPr>
              <w:t>Дан GOOSE APDU-ийн жишээ</w:t>
            </w:r>
          </w:p>
        </w:tc>
        <w:tc>
          <w:tcPr>
            <w:tcW w:w="4672" w:type="dxa"/>
          </w:tcPr>
          <w:p w:rsidR="004042A1" w:rsidRPr="004042A1" w:rsidRDefault="004042A1" w:rsidP="006148BD">
            <w:pPr>
              <w:pStyle w:val="BodyText"/>
              <w:tabs>
                <w:tab w:val="left" w:pos="0"/>
              </w:tabs>
              <w:spacing w:before="1" w:line="276" w:lineRule="auto"/>
              <w:jc w:val="both"/>
              <w:rPr>
                <w:rFonts w:eastAsia="Calibri"/>
                <w:sz w:val="24"/>
                <w:szCs w:val="22"/>
              </w:rPr>
            </w:pPr>
            <w:r w:rsidRPr="004042A1">
              <w:rPr>
                <w:rFonts w:eastAsia="Calibri"/>
                <w:sz w:val="24"/>
                <w:szCs w:val="22"/>
              </w:rPr>
              <w:lastRenderedPageBreak/>
              <w:t>Additionally, the ClassOfTraffic and flowLabel fields shall be configurable. The recommendations found in RFC 3697 and RFC 2474 shall be followed.</w:t>
            </w:r>
          </w:p>
          <w:p w:rsidR="006148BD" w:rsidRPr="006148BD" w:rsidRDefault="006148BD" w:rsidP="006148BD">
            <w:pPr>
              <w:pStyle w:val="BodyText"/>
              <w:tabs>
                <w:tab w:val="left" w:pos="0"/>
              </w:tabs>
              <w:spacing w:before="1" w:line="276" w:lineRule="auto"/>
              <w:jc w:val="both"/>
              <w:rPr>
                <w:rFonts w:eastAsia="Calibri"/>
                <w:b/>
                <w:sz w:val="24"/>
                <w:szCs w:val="22"/>
                <w:lang w:val="mn-MN"/>
              </w:rPr>
            </w:pPr>
            <w:r w:rsidRPr="006148BD">
              <w:rPr>
                <w:rFonts w:eastAsia="Calibri"/>
                <w:b/>
                <w:sz w:val="24"/>
                <w:szCs w:val="22"/>
                <w:lang w:val="mn-MN"/>
              </w:rPr>
              <w:t>E.5</w:t>
            </w:r>
            <w:r w:rsidRPr="006148BD">
              <w:rPr>
                <w:rFonts w:eastAsia="Calibri"/>
                <w:b/>
                <w:sz w:val="24"/>
                <w:szCs w:val="22"/>
                <w:lang w:val="mn-MN"/>
              </w:rPr>
              <w:tab/>
              <w:t>SCL modifications</w:t>
            </w:r>
          </w:p>
          <w:p w:rsidR="006148BD" w:rsidRDefault="006148BD" w:rsidP="006148BD">
            <w:pPr>
              <w:tabs>
                <w:tab w:val="left" w:pos="0"/>
              </w:tabs>
              <w:ind w:left="0" w:firstLine="0"/>
              <w:rPr>
                <w:rFonts w:eastAsia="Calibri"/>
                <w:bCs/>
                <w:szCs w:val="22"/>
              </w:rPr>
            </w:pPr>
            <w:r w:rsidRPr="006148BD">
              <w:rPr>
                <w:rFonts w:eastAsia="Calibri"/>
                <w:bCs/>
                <w:szCs w:val="22"/>
              </w:rPr>
              <w:t xml:space="preserve">The current SCL definitions in IEC 61850-6 do not support the expression of an IPv6 </w:t>
            </w:r>
            <w:r w:rsidRPr="006148BD">
              <w:rPr>
                <w:rFonts w:eastAsia="Calibri"/>
                <w:bCs/>
                <w:szCs w:val="22"/>
              </w:rPr>
              <w:lastRenderedPageBreak/>
              <w:t>address, subnets, or gateways. Therefore, it will eventually be necessary to Add a mechanism to express this address.These extensions are found in 13.2.4</w:t>
            </w:r>
          </w:p>
          <w:p w:rsidR="004042A1" w:rsidRPr="004042A1" w:rsidRDefault="004042A1" w:rsidP="004042A1">
            <w:pPr>
              <w:tabs>
                <w:tab w:val="left" w:pos="0"/>
              </w:tabs>
              <w:ind w:left="0" w:firstLine="0"/>
              <w:jc w:val="center"/>
              <w:rPr>
                <w:rFonts w:eastAsia="Calibri"/>
                <w:bCs/>
                <w:szCs w:val="22"/>
              </w:rPr>
            </w:pPr>
            <w:r w:rsidRPr="004042A1">
              <w:rPr>
                <w:rFonts w:eastAsia="Calibri"/>
                <w:b/>
                <w:bCs/>
                <w:szCs w:val="22"/>
              </w:rPr>
              <w:t>Annex F</w:t>
            </w:r>
            <w:r w:rsidRPr="004042A1">
              <w:rPr>
                <w:rFonts w:eastAsia="Calibri"/>
                <w:bCs/>
                <w:szCs w:val="22"/>
              </w:rPr>
              <w:t xml:space="preserve">                                                       (informative)</w:t>
            </w:r>
          </w:p>
          <w:p w:rsidR="004042A1" w:rsidRPr="004042A1" w:rsidRDefault="004042A1" w:rsidP="004042A1">
            <w:pPr>
              <w:tabs>
                <w:tab w:val="left" w:pos="0"/>
              </w:tabs>
              <w:ind w:left="0" w:firstLine="0"/>
              <w:rPr>
                <w:rFonts w:eastAsia="Calibri"/>
                <w:b/>
                <w:bCs/>
                <w:szCs w:val="22"/>
              </w:rPr>
            </w:pPr>
            <w:r w:rsidRPr="004042A1">
              <w:rPr>
                <w:rFonts w:eastAsia="Calibri"/>
                <w:b/>
                <w:bCs/>
                <w:szCs w:val="22"/>
              </w:rPr>
              <w:t>Edge authentication</w:t>
            </w:r>
          </w:p>
          <w:p w:rsidR="004042A1" w:rsidRPr="004042A1" w:rsidRDefault="004042A1" w:rsidP="004042A1">
            <w:pPr>
              <w:tabs>
                <w:tab w:val="left" w:pos="0"/>
              </w:tabs>
              <w:ind w:left="0" w:firstLine="0"/>
              <w:rPr>
                <w:rFonts w:eastAsia="Calibri"/>
                <w:bCs/>
                <w:szCs w:val="22"/>
              </w:rPr>
            </w:pPr>
            <w:r w:rsidRPr="004042A1">
              <w:rPr>
                <w:rFonts w:eastAsia="Calibri"/>
                <w:bCs/>
                <w:szCs w:val="22"/>
              </w:rPr>
              <w:t xml:space="preserve">Edge Authentication is typically a  local issue. However, this Technical Report recommends  that such authentication be performed using RFC 2406 – IP </w:t>
            </w:r>
            <w:r>
              <w:rPr>
                <w:rFonts w:eastAsia="Calibri"/>
                <w:bCs/>
                <w:szCs w:val="22"/>
              </w:rPr>
              <w:t>Encapsulating Security Payload.</w:t>
            </w:r>
          </w:p>
          <w:p w:rsidR="004042A1" w:rsidRPr="004042A1" w:rsidRDefault="004042A1" w:rsidP="004042A1">
            <w:pPr>
              <w:tabs>
                <w:tab w:val="left" w:pos="0"/>
              </w:tabs>
              <w:ind w:left="0" w:firstLine="0"/>
              <w:jc w:val="center"/>
              <w:rPr>
                <w:rFonts w:eastAsia="Calibri"/>
                <w:b/>
                <w:bCs/>
                <w:szCs w:val="22"/>
              </w:rPr>
            </w:pPr>
            <w:r w:rsidRPr="004042A1">
              <w:rPr>
                <w:rFonts w:eastAsia="Calibri"/>
                <w:b/>
                <w:bCs/>
                <w:szCs w:val="22"/>
              </w:rPr>
              <w:t>Annex G</w:t>
            </w:r>
          </w:p>
          <w:p w:rsidR="004042A1" w:rsidRPr="004042A1" w:rsidRDefault="004042A1" w:rsidP="004042A1">
            <w:pPr>
              <w:tabs>
                <w:tab w:val="left" w:pos="0"/>
              </w:tabs>
              <w:ind w:left="0" w:firstLine="0"/>
              <w:jc w:val="center"/>
              <w:rPr>
                <w:rFonts w:eastAsia="Calibri"/>
                <w:bCs/>
                <w:szCs w:val="22"/>
              </w:rPr>
            </w:pPr>
            <w:r w:rsidRPr="004042A1">
              <w:rPr>
                <w:rFonts w:eastAsia="Calibri"/>
                <w:bCs/>
                <w:szCs w:val="22"/>
              </w:rPr>
              <w:t>(informative)</w:t>
            </w:r>
          </w:p>
          <w:p w:rsidR="004042A1" w:rsidRPr="004042A1" w:rsidRDefault="004042A1" w:rsidP="004042A1">
            <w:pPr>
              <w:tabs>
                <w:tab w:val="left" w:pos="0"/>
              </w:tabs>
              <w:ind w:left="0" w:firstLine="0"/>
              <w:rPr>
                <w:rFonts w:eastAsia="Calibri"/>
                <w:b/>
                <w:bCs/>
                <w:szCs w:val="22"/>
              </w:rPr>
            </w:pPr>
            <w:r w:rsidRPr="004042A1">
              <w:rPr>
                <w:rFonts w:eastAsia="Calibri"/>
                <w:b/>
                <w:bCs/>
                <w:szCs w:val="22"/>
              </w:rPr>
              <w:t>Example of A-Profile encodings</w:t>
            </w:r>
          </w:p>
          <w:p w:rsidR="004042A1" w:rsidRPr="004042A1" w:rsidRDefault="004042A1" w:rsidP="004042A1">
            <w:pPr>
              <w:tabs>
                <w:tab w:val="left" w:pos="0"/>
              </w:tabs>
              <w:ind w:left="0" w:firstLine="0"/>
              <w:rPr>
                <w:rFonts w:eastAsia="Calibri"/>
                <w:bCs/>
                <w:szCs w:val="22"/>
              </w:rPr>
            </w:pPr>
            <w:r w:rsidRPr="004042A1">
              <w:rPr>
                <w:rFonts w:eastAsia="Calibri"/>
                <w:bCs/>
                <w:szCs w:val="22"/>
              </w:rPr>
              <w:t xml:space="preserve">Figure G.1 shows an example encoding of the GOOSE and SV A-Profile. </w:t>
            </w:r>
          </w:p>
          <w:p w:rsidR="004042A1" w:rsidRDefault="004042A1" w:rsidP="004042A1">
            <w:pPr>
              <w:tabs>
                <w:tab w:val="left" w:pos="0"/>
              </w:tabs>
              <w:ind w:left="0" w:firstLine="0"/>
              <w:rPr>
                <w:b/>
                <w:lang w:val="en-US"/>
              </w:rPr>
            </w:pPr>
            <w:r w:rsidRPr="004042A1">
              <w:rPr>
                <w:rFonts w:eastAsia="Calibri"/>
                <w:bCs/>
                <w:szCs w:val="22"/>
              </w:rPr>
              <w:t>Example of Single GOOSE APDU</w:t>
            </w:r>
          </w:p>
        </w:tc>
      </w:tr>
    </w:tbl>
    <w:p w:rsidR="006148BD" w:rsidRDefault="006148BD" w:rsidP="00F57390">
      <w:pPr>
        <w:ind w:left="0" w:firstLine="0"/>
        <w:jc w:val="center"/>
        <w:rPr>
          <w:b/>
          <w:lang w:val="en-US"/>
        </w:rPr>
      </w:pP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33"/>
        <w:gridCol w:w="233"/>
        <w:gridCol w:w="233"/>
        <w:gridCol w:w="233"/>
        <w:gridCol w:w="245"/>
        <w:gridCol w:w="267"/>
        <w:gridCol w:w="1678"/>
        <w:gridCol w:w="516"/>
        <w:gridCol w:w="2698"/>
        <w:gridCol w:w="2074"/>
      </w:tblGrid>
      <w:tr w:rsidR="004042A1" w:rsidRPr="004042A1" w:rsidTr="00D80958">
        <w:trPr>
          <w:trHeight w:val="304"/>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Арван зургаат өгөгдлийн жишээ</w:t>
            </w:r>
          </w:p>
        </w:tc>
        <w:tc>
          <w:tcPr>
            <w:tcW w:w="51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SIG</w:t>
            </w:r>
          </w:p>
        </w:tc>
        <w:tc>
          <w:tcPr>
            <w:tcW w:w="2698"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Бүх Багцад</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RFC 1240</w:t>
            </w:r>
          </w:p>
        </w:tc>
      </w:tr>
      <w:tr w:rsidR="004042A1" w:rsidRPr="004042A1" w:rsidTr="00D80958">
        <w:trPr>
          <w:trHeight w:val="671"/>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TI</w:t>
            </w:r>
          </w:p>
        </w:tc>
        <w:tc>
          <w:tcPr>
            <w:tcW w:w="233" w:type="dxa"/>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40</w:t>
            </w:r>
          </w:p>
        </w:tc>
        <w:tc>
          <w:tcPr>
            <w:tcW w:w="516" w:type="dxa"/>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1" w:line="276" w:lineRule="auto"/>
              <w:ind w:left="105"/>
              <w:rPr>
                <w:sz w:val="20"/>
                <w:szCs w:val="20"/>
                <w:lang w:val="mn-MN"/>
              </w:rPr>
            </w:pPr>
            <w:r w:rsidRPr="004042A1">
              <w:rPr>
                <w:sz w:val="20"/>
                <w:szCs w:val="20"/>
                <w:lang w:val="mn-MN"/>
              </w:rPr>
              <w:t xml:space="preserve">ITU X.234 Холболтгүй </w:t>
            </w:r>
            <w:r w:rsidRPr="004042A1">
              <w:rPr>
                <w:sz w:val="20"/>
                <w:szCs w:val="20"/>
                <w:shd w:val="clear" w:color="auto" w:fill="FFFFFF"/>
                <w:lang w:val="mn-MN"/>
              </w:rPr>
              <w:t>шилжүүлэлт</w:t>
            </w:r>
          </w:p>
        </w:tc>
      </w:tr>
      <w:tr w:rsidR="004042A1" w:rsidRPr="004042A1" w:rsidTr="00D80958">
        <w:trPr>
          <w:trHeight w:val="301"/>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w:t>
            </w:r>
          </w:p>
        </w:tc>
        <w:tc>
          <w:tcPr>
            <w:tcW w:w="516" w:type="dxa"/>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SI</w:t>
            </w: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before="58" w:line="276" w:lineRule="auto"/>
              <w:ind w:left="106"/>
              <w:rPr>
                <w:sz w:val="20"/>
                <w:szCs w:val="20"/>
                <w:lang w:val="mn-MN"/>
              </w:rPr>
            </w:pPr>
            <w:r w:rsidRPr="004042A1">
              <w:rPr>
                <w:sz w:val="20"/>
                <w:szCs w:val="20"/>
                <w:lang w:val="mn-MN"/>
              </w:rPr>
              <w:t>A1</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IEC/TR 61850-90-5</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13</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80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Нийтлэг Гарчиг</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12</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r w:rsidR="004042A1" w:rsidRPr="004042A1" w:rsidTr="00D80958">
        <w:trPr>
          <w:trHeight w:val="486"/>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00 FF ED</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ight="305"/>
              <w:rPr>
                <w:sz w:val="20"/>
                <w:szCs w:val="20"/>
                <w:lang w:val="mn-MN"/>
              </w:rPr>
            </w:pPr>
            <w:r w:rsidRPr="004042A1">
              <w:rPr>
                <w:sz w:val="20"/>
                <w:szCs w:val="20"/>
                <w:lang w:val="mn-MN"/>
              </w:rPr>
              <w:t>Jumbo багцуудыг одоогоор дэмжихгүй байна</w:t>
            </w:r>
          </w:p>
        </w:tc>
        <w:tc>
          <w:tcPr>
            <w:tcW w:w="2074" w:type="dxa"/>
          </w:tcPr>
          <w:p w:rsidR="004042A1" w:rsidRPr="004042A1" w:rsidRDefault="004042A1" w:rsidP="00D80958">
            <w:pPr>
              <w:pStyle w:val="TableParagraph"/>
              <w:tabs>
                <w:tab w:val="left" w:pos="0"/>
              </w:tabs>
              <w:spacing w:line="276" w:lineRule="auto"/>
              <w:ind w:left="105" w:right="196"/>
              <w:rPr>
                <w:sz w:val="20"/>
                <w:szCs w:val="20"/>
                <w:lang w:val="mn-MN"/>
              </w:rPr>
            </w:pPr>
            <w:r w:rsidRPr="004042A1">
              <w:rPr>
                <w:sz w:val="20"/>
                <w:szCs w:val="20"/>
                <w:lang w:val="mn-MN"/>
              </w:rPr>
              <w:t>SPDU Хэрэглэгчийн Өгөгдлийн Урт</w:t>
            </w:r>
          </w:p>
        </w:tc>
      </w:tr>
      <w:tr w:rsidR="004042A1" w:rsidRPr="004042A1" w:rsidTr="00D80958">
        <w:trPr>
          <w:trHeight w:val="489"/>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00 10 00 00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ight="305"/>
              <w:rPr>
                <w:sz w:val="20"/>
                <w:szCs w:val="20"/>
                <w:lang w:val="mn-MN"/>
              </w:rPr>
            </w:pPr>
            <w:r w:rsidRPr="004042A1">
              <w:rPr>
                <w:sz w:val="20"/>
                <w:szCs w:val="20"/>
                <w:lang w:val="mn-MN"/>
              </w:rPr>
              <w:t>Давхардсан багц дамжуулалт ба OOD</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SPDU Дугаар</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00 01</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Хувилбарын Дугаар</w:t>
            </w:r>
          </w:p>
        </w:tc>
      </w:tr>
      <w:tr w:rsidR="004042A1" w:rsidRPr="004042A1" w:rsidTr="00D80958">
        <w:trPr>
          <w:trHeight w:val="853"/>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4C F6 D9 FE</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ind w:left="105" w:right="305"/>
              <w:rPr>
                <w:sz w:val="20"/>
                <w:szCs w:val="20"/>
                <w:lang w:val="mn-MN"/>
              </w:rPr>
            </w:pPr>
            <w:r w:rsidRPr="004042A1">
              <w:rPr>
                <w:sz w:val="20"/>
                <w:szCs w:val="20"/>
                <w:lang w:val="mn-MN"/>
              </w:rPr>
              <w:t>Эринээс хойшхи секундүүд: 1970- 01-01 00:00:00 UTC (утга = 2010 оны 12-р сарын 1, 23:27:58 UTC)</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Одоогийн Түдхүүрийн Хугацаа</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before="58" w:line="276" w:lineRule="auto"/>
              <w:ind w:left="106"/>
              <w:rPr>
                <w:sz w:val="20"/>
                <w:szCs w:val="20"/>
                <w:lang w:val="mn-MN"/>
              </w:rPr>
            </w:pPr>
            <w:r w:rsidRPr="004042A1">
              <w:rPr>
                <w:sz w:val="20"/>
                <w:szCs w:val="20"/>
                <w:lang w:val="mn-MN"/>
              </w:rPr>
              <w:t>00 10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Түлхүүр өөрчлөгдөх хүртэлх минут</w:t>
            </w:r>
          </w:p>
        </w:tc>
        <w:tc>
          <w:tcPr>
            <w:tcW w:w="2074"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Дараагийн Түдхүүрийн Хугацаа</w:t>
            </w:r>
          </w:p>
        </w:tc>
      </w:tr>
      <w:tr w:rsidR="004042A1" w:rsidRPr="004042A1" w:rsidTr="00D80958">
        <w:trPr>
          <w:trHeight w:val="671"/>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ight="305"/>
              <w:rPr>
                <w:sz w:val="20"/>
                <w:szCs w:val="20"/>
                <w:lang w:val="mn-MN"/>
              </w:rPr>
            </w:pPr>
            <w:r w:rsidRPr="004042A1">
              <w:rPr>
                <w:sz w:val="20"/>
                <w:szCs w:val="20"/>
                <w:lang w:val="mn-MN"/>
              </w:rPr>
              <w:t>Дээд байт = Хаяглалтын мэдээлэл (</w:t>
            </w:r>
            <w:r w:rsidRPr="004042A1">
              <w:rPr>
                <w:b/>
                <w:sz w:val="20"/>
                <w:szCs w:val="20"/>
                <w:lang w:val="mn-MN"/>
              </w:rPr>
              <w:t>none</w:t>
            </w:r>
            <w:r w:rsidRPr="004042A1">
              <w:rPr>
                <w:sz w:val="20"/>
                <w:szCs w:val="20"/>
                <w:lang w:val="mn-MN"/>
              </w:rPr>
              <w:t>, AES-128, AES-256)</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Аюулгүй Байдлын Алгоритмууд</w:t>
            </w:r>
          </w:p>
        </w:tc>
      </w:tr>
      <w:tr w:rsidR="004042A1" w:rsidRPr="004042A1" w:rsidTr="00D80958">
        <w:trPr>
          <w:trHeight w:val="1041"/>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before="58" w:line="276" w:lineRule="auto"/>
              <w:ind w:left="106"/>
              <w:rPr>
                <w:sz w:val="20"/>
                <w:szCs w:val="20"/>
                <w:lang w:val="mn-MN"/>
              </w:rPr>
            </w:pPr>
            <w:r w:rsidRPr="004042A1">
              <w:rPr>
                <w:sz w:val="20"/>
                <w:szCs w:val="20"/>
                <w:lang w:val="mn-MN"/>
              </w:rPr>
              <w:t>02</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58" w:line="276" w:lineRule="auto"/>
              <w:ind w:left="105" w:right="305"/>
              <w:rPr>
                <w:sz w:val="20"/>
                <w:szCs w:val="20"/>
                <w:lang w:val="mn-MN"/>
              </w:rPr>
            </w:pPr>
            <w:r w:rsidRPr="004042A1">
              <w:rPr>
                <w:sz w:val="20"/>
                <w:szCs w:val="20"/>
                <w:lang w:val="mn-MN"/>
              </w:rPr>
              <w:t>Бага байт = HMAC алгоритм (none, ,</w:t>
            </w:r>
          </w:p>
          <w:p w:rsidR="004042A1" w:rsidRPr="004042A1" w:rsidRDefault="004042A1" w:rsidP="00D80958">
            <w:pPr>
              <w:pStyle w:val="TableParagraph"/>
              <w:tabs>
                <w:tab w:val="left" w:pos="0"/>
              </w:tabs>
              <w:spacing w:before="0" w:line="276" w:lineRule="auto"/>
              <w:ind w:left="105"/>
              <w:rPr>
                <w:sz w:val="20"/>
                <w:szCs w:val="20"/>
                <w:lang w:val="mn-MN"/>
              </w:rPr>
            </w:pPr>
            <w:r w:rsidRPr="004042A1">
              <w:rPr>
                <w:sz w:val="20"/>
                <w:szCs w:val="20"/>
                <w:lang w:val="mn-MN"/>
              </w:rPr>
              <w:t xml:space="preserve">SHA256-80, </w:t>
            </w:r>
            <w:r w:rsidRPr="004042A1">
              <w:rPr>
                <w:b/>
                <w:sz w:val="20"/>
                <w:szCs w:val="20"/>
                <w:lang w:val="mn-MN"/>
              </w:rPr>
              <w:t>SHA256-128</w:t>
            </w:r>
            <w:r w:rsidRPr="004042A1">
              <w:rPr>
                <w:sz w:val="20"/>
                <w:szCs w:val="20"/>
                <w:lang w:val="mn-MN"/>
              </w:rPr>
              <w:t>,</w:t>
            </w:r>
          </w:p>
          <w:p w:rsidR="004042A1" w:rsidRPr="004042A1" w:rsidRDefault="004042A1" w:rsidP="00D80958">
            <w:pPr>
              <w:pStyle w:val="TableParagraph"/>
              <w:tabs>
                <w:tab w:val="left" w:pos="0"/>
              </w:tabs>
              <w:spacing w:before="3" w:line="276" w:lineRule="auto"/>
              <w:ind w:left="105"/>
              <w:rPr>
                <w:sz w:val="20"/>
                <w:szCs w:val="20"/>
                <w:lang w:val="mn-MN"/>
              </w:rPr>
            </w:pPr>
            <w:r w:rsidRPr="004042A1">
              <w:rPr>
                <w:sz w:val="20"/>
                <w:szCs w:val="20"/>
                <w:lang w:val="mn-MN"/>
              </w:rPr>
              <w:t>SHA256-256, MD5-80, MD5-</w:t>
            </w:r>
          </w:p>
          <w:p w:rsidR="004042A1" w:rsidRPr="004042A1" w:rsidRDefault="004042A1" w:rsidP="00D80958">
            <w:pPr>
              <w:pStyle w:val="TableParagraph"/>
              <w:tabs>
                <w:tab w:val="left" w:pos="0"/>
              </w:tabs>
              <w:spacing w:before="0" w:line="276" w:lineRule="auto"/>
              <w:ind w:left="105"/>
              <w:rPr>
                <w:sz w:val="20"/>
                <w:szCs w:val="20"/>
                <w:lang w:val="mn-MN"/>
              </w:rPr>
            </w:pPr>
            <w:r w:rsidRPr="004042A1">
              <w:rPr>
                <w:sz w:val="20"/>
                <w:szCs w:val="20"/>
                <w:lang w:val="mn-MN"/>
              </w:rPr>
              <w:t>128, MD5-256)</w:t>
            </w:r>
          </w:p>
        </w:tc>
        <w:tc>
          <w:tcPr>
            <w:tcW w:w="2074"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Аюулгүй Байдлын Алгоритмууд</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00 00 01 00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KDC-ээс дамжуулах түлхүүр ID</w:t>
            </w: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r w:rsidR="004042A1" w:rsidRPr="004042A1" w:rsidTr="00D80958">
        <w:trPr>
          <w:trHeight w:val="301"/>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xx xx xx xx</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Хэрэглэгчийн Өгөгдлийн Урт</w:t>
            </w:r>
          </w:p>
        </w:tc>
      </w:tr>
      <w:tr w:rsidR="004042A1" w:rsidRPr="004042A1" w:rsidTr="00D80958">
        <w:trPr>
          <w:trHeight w:val="489"/>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before="58" w:line="276" w:lineRule="auto"/>
              <w:ind w:left="106"/>
              <w:rPr>
                <w:sz w:val="20"/>
                <w:szCs w:val="20"/>
                <w:lang w:val="mn-MN"/>
              </w:rPr>
            </w:pPr>
            <w:r w:rsidRPr="004042A1">
              <w:rPr>
                <w:sz w:val="20"/>
                <w:szCs w:val="20"/>
                <w:lang w:val="mn-MN"/>
              </w:rPr>
              <w:t>81</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58" w:line="276" w:lineRule="auto"/>
              <w:ind w:left="105" w:right="196"/>
              <w:rPr>
                <w:sz w:val="20"/>
                <w:szCs w:val="20"/>
                <w:lang w:val="mn-MN"/>
              </w:rPr>
            </w:pPr>
            <w:r w:rsidRPr="004042A1">
              <w:rPr>
                <w:sz w:val="20"/>
                <w:szCs w:val="20"/>
                <w:lang w:val="mn-MN"/>
              </w:rPr>
              <w:t>GOOSE Ачааллын төрөл</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Загварчлал FALSE</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Загварчлал</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00 01</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APPID нь утга 1</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APPID</w:t>
            </w:r>
          </w:p>
        </w:tc>
      </w:tr>
      <w:tr w:rsidR="004042A1" w:rsidRPr="004042A1" w:rsidTr="00D80958">
        <w:trPr>
          <w:trHeight w:val="301"/>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yyyy+ 3</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APDU урт</w:t>
            </w: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bl>
    <w:p w:rsidR="004042A1" w:rsidRPr="004042A1" w:rsidRDefault="004042A1" w:rsidP="004042A1">
      <w:pPr>
        <w:pStyle w:val="BodyText"/>
        <w:tabs>
          <w:tab w:val="left" w:pos="0"/>
        </w:tabs>
        <w:spacing w:line="276" w:lineRule="auto"/>
        <w:rPr>
          <w:lang w:val="mn-MN"/>
        </w:rPr>
      </w:pP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33"/>
        <w:gridCol w:w="233"/>
        <w:gridCol w:w="233"/>
        <w:gridCol w:w="233"/>
        <w:gridCol w:w="245"/>
        <w:gridCol w:w="267"/>
        <w:gridCol w:w="1678"/>
        <w:gridCol w:w="516"/>
        <w:gridCol w:w="2698"/>
        <w:gridCol w:w="2074"/>
      </w:tblGrid>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before="58" w:line="276" w:lineRule="auto"/>
              <w:ind w:left="106"/>
              <w:rPr>
                <w:sz w:val="20"/>
                <w:szCs w:val="20"/>
                <w:lang w:val="mn-MN"/>
              </w:rPr>
            </w:pPr>
            <w:r w:rsidRPr="004042A1">
              <w:rPr>
                <w:sz w:val="20"/>
                <w:szCs w:val="20"/>
                <w:lang w:val="mn-MN"/>
              </w:rPr>
              <w:t>61 yyyy</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GOOSE PDU</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right w:val="single" w:sz="4" w:space="0" w:color="FFCC99"/>
            </w:tcBorders>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shd w:val="clear" w:color="auto" w:fill="FFCC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left w:val="single" w:sz="4" w:space="0" w:color="FFCC99"/>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85</w:t>
            </w:r>
          </w:p>
        </w:tc>
        <w:tc>
          <w:tcPr>
            <w:tcW w:w="516" w:type="dxa"/>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Баталгаажуулах</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tcBorders>
              <w:right w:val="single" w:sz="4" w:space="0" w:color="FFCC99"/>
            </w:tcBorders>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shd w:val="clear" w:color="auto" w:fill="FFCC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left w:val="single" w:sz="4" w:space="0" w:color="FFCC99"/>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right w:val="single" w:sz="4" w:space="0" w:color="99CCFF"/>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shd w:val="clear" w:color="auto" w:fill="99CCFF"/>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10</w:t>
            </w:r>
          </w:p>
        </w:tc>
        <w:tc>
          <w:tcPr>
            <w:tcW w:w="516" w:type="dxa"/>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HMAC-ын урт</w:t>
            </w:r>
          </w:p>
        </w:tc>
      </w:tr>
      <w:tr w:rsidR="004042A1" w:rsidRPr="004042A1"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shd w:val="clear" w:color="auto" w:fill="FF99CC"/>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16 октет</w:t>
            </w:r>
          </w:p>
        </w:tc>
        <w:tc>
          <w:tcPr>
            <w:tcW w:w="516" w:type="dxa"/>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rPr>
                <w:sz w:val="20"/>
                <w:szCs w:val="20"/>
                <w:lang w:val="mn-MN"/>
              </w:rPr>
            </w:pPr>
            <w:r w:rsidRPr="004042A1">
              <w:rPr>
                <w:sz w:val="20"/>
                <w:szCs w:val="20"/>
                <w:lang w:val="mn-MN"/>
              </w:rPr>
              <w:t xml:space="preserve"> SHA1-128-д</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HMAC</w:t>
            </w:r>
          </w:p>
        </w:tc>
      </w:tr>
    </w:tbl>
    <w:p w:rsidR="004042A1" w:rsidRDefault="004042A1" w:rsidP="004042A1">
      <w:pPr>
        <w:ind w:left="0" w:firstLine="0"/>
        <w:jc w:val="center"/>
        <w:rPr>
          <w:b/>
          <w:lang w:val="en-US"/>
        </w:rPr>
      </w:pPr>
    </w:p>
    <w:p w:rsidR="004042A1" w:rsidRDefault="004042A1" w:rsidP="004042A1">
      <w:pPr>
        <w:ind w:left="0" w:firstLine="0"/>
        <w:jc w:val="center"/>
        <w:rPr>
          <w:b/>
          <w:lang w:val="en-US"/>
        </w:rPr>
      </w:pPr>
      <w:r w:rsidRPr="004042A1">
        <w:rPr>
          <w:b/>
          <w:lang w:val="en-US"/>
        </w:rPr>
        <w:t>G.1</w:t>
      </w:r>
      <w:r>
        <w:rPr>
          <w:b/>
          <w:lang w:val="en-US"/>
        </w:rPr>
        <w:t>-</w:t>
      </w:r>
      <w:r>
        <w:rPr>
          <w:b/>
        </w:rPr>
        <w:t>р зураг</w:t>
      </w:r>
      <w:r w:rsidRPr="004042A1">
        <w:rPr>
          <w:b/>
          <w:lang w:val="en-US"/>
        </w:rPr>
        <w:t xml:space="preserve"> – GOOSE A-Профайл-ын кодчиллын жишээ</w:t>
      </w:r>
    </w:p>
    <w:p w:rsidR="004042A1" w:rsidRDefault="004042A1" w:rsidP="004042A1">
      <w:pPr>
        <w:ind w:left="0" w:firstLine="0"/>
        <w:jc w:val="center"/>
        <w:rPr>
          <w:b/>
          <w:lang w:val="en-US"/>
        </w:rPr>
      </w:pP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33"/>
        <w:gridCol w:w="233"/>
        <w:gridCol w:w="233"/>
        <w:gridCol w:w="233"/>
        <w:gridCol w:w="245"/>
        <w:gridCol w:w="267"/>
        <w:gridCol w:w="1678"/>
        <w:gridCol w:w="516"/>
        <w:gridCol w:w="2698"/>
        <w:gridCol w:w="2074"/>
      </w:tblGrid>
      <w:tr w:rsidR="004042A1" w:rsidRPr="00EF2D2B" w:rsidTr="00D80958">
        <w:trPr>
          <w:trHeight w:val="304"/>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Hex Data example</w:t>
            </w:r>
          </w:p>
        </w:tc>
        <w:tc>
          <w:tcPr>
            <w:tcW w:w="51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SIG</w:t>
            </w:r>
          </w:p>
        </w:tc>
        <w:tc>
          <w:tcPr>
            <w:tcW w:w="2698"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For Entire Packet</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RFC 1240</w:t>
            </w:r>
          </w:p>
        </w:tc>
      </w:tr>
      <w:tr w:rsidR="004042A1" w:rsidRPr="00EF2D2B" w:rsidTr="00D80958">
        <w:trPr>
          <w:trHeight w:val="671"/>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TI</w:t>
            </w:r>
          </w:p>
        </w:tc>
        <w:tc>
          <w:tcPr>
            <w:tcW w:w="233" w:type="dxa"/>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40</w:t>
            </w:r>
          </w:p>
        </w:tc>
        <w:tc>
          <w:tcPr>
            <w:tcW w:w="516" w:type="dxa"/>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53" w:line="276" w:lineRule="auto"/>
              <w:ind w:left="105"/>
              <w:rPr>
                <w:sz w:val="20"/>
                <w:szCs w:val="20"/>
                <w:lang w:val="mn-MN"/>
              </w:rPr>
            </w:pPr>
            <w:r w:rsidRPr="004042A1">
              <w:rPr>
                <w:sz w:val="20"/>
                <w:szCs w:val="20"/>
                <w:lang w:val="mn-MN"/>
              </w:rPr>
              <w:t xml:space="preserve">ITU </w:t>
            </w:r>
            <w:r w:rsidRPr="004042A1">
              <w:rPr>
                <w:b/>
                <w:sz w:val="20"/>
                <w:szCs w:val="20"/>
                <w:lang w:val="mn-MN"/>
              </w:rPr>
              <w:t>X</w:t>
            </w:r>
            <w:r w:rsidRPr="004042A1">
              <w:rPr>
                <w:sz w:val="20"/>
                <w:szCs w:val="20"/>
                <w:lang w:val="mn-MN"/>
              </w:rPr>
              <w:t>.234</w:t>
            </w:r>
          </w:p>
          <w:p w:rsidR="004042A1" w:rsidRPr="004042A1" w:rsidRDefault="004042A1" w:rsidP="00D80958">
            <w:pPr>
              <w:pStyle w:val="TableParagraph"/>
              <w:tabs>
                <w:tab w:val="left" w:pos="0"/>
              </w:tabs>
              <w:spacing w:before="1" w:line="276" w:lineRule="auto"/>
              <w:ind w:left="105"/>
              <w:rPr>
                <w:sz w:val="20"/>
                <w:szCs w:val="20"/>
                <w:lang w:val="mn-MN"/>
              </w:rPr>
            </w:pPr>
            <w:r w:rsidRPr="004042A1">
              <w:rPr>
                <w:sz w:val="20"/>
                <w:szCs w:val="20"/>
                <w:lang w:val="mn-MN"/>
              </w:rPr>
              <w:t>Connectionless Transport</w:t>
            </w:r>
          </w:p>
        </w:tc>
      </w:tr>
      <w:tr w:rsidR="004042A1" w:rsidRPr="00EF2D2B" w:rsidTr="00D80958">
        <w:trPr>
          <w:trHeight w:val="301"/>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w:t>
            </w:r>
          </w:p>
        </w:tc>
        <w:tc>
          <w:tcPr>
            <w:tcW w:w="516" w:type="dxa"/>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r w:rsidR="004042A1" w:rsidRPr="00EF2D2B" w:rsidTr="00D80958">
        <w:trPr>
          <w:trHeight w:val="304"/>
        </w:trPr>
        <w:tc>
          <w:tcPr>
            <w:tcW w:w="936"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SI</w:t>
            </w: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before="58" w:line="276" w:lineRule="auto"/>
              <w:ind w:left="106"/>
              <w:rPr>
                <w:sz w:val="20"/>
                <w:szCs w:val="20"/>
                <w:lang w:val="mn-MN"/>
              </w:rPr>
            </w:pPr>
            <w:r w:rsidRPr="004042A1">
              <w:rPr>
                <w:sz w:val="20"/>
                <w:szCs w:val="20"/>
                <w:lang w:val="mn-MN"/>
              </w:rPr>
              <w:t>A1</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IEC/TR 61850-90-5</w:t>
            </w:r>
          </w:p>
        </w:tc>
      </w:tr>
      <w:tr w:rsidR="004042A1" w:rsidRPr="00EF2D2B" w:rsidTr="00D80958">
        <w:trPr>
          <w:trHeight w:val="304"/>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13</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r w:rsidR="004042A1" w:rsidRPr="00EF2D2B"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80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commonHeader</w:t>
            </w:r>
          </w:p>
        </w:tc>
      </w:tr>
      <w:tr w:rsidR="004042A1" w:rsidRPr="00EF2D2B" w:rsidTr="00D80958">
        <w:trPr>
          <w:trHeight w:val="304"/>
        </w:trPr>
        <w:tc>
          <w:tcPr>
            <w:tcW w:w="936"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LI</w:t>
            </w: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12</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r w:rsidR="004042A1" w:rsidRPr="00EF2D2B" w:rsidTr="00D80958">
        <w:trPr>
          <w:trHeight w:val="486"/>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00 FF ED</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ight="305"/>
              <w:rPr>
                <w:sz w:val="20"/>
                <w:szCs w:val="20"/>
                <w:lang w:val="mn-MN"/>
              </w:rPr>
            </w:pPr>
            <w:r w:rsidRPr="004042A1">
              <w:rPr>
                <w:sz w:val="20"/>
                <w:szCs w:val="20"/>
                <w:lang w:val="mn-MN"/>
              </w:rPr>
              <w:t>Doesn’t support jumbo packets for now</w:t>
            </w:r>
          </w:p>
        </w:tc>
        <w:tc>
          <w:tcPr>
            <w:tcW w:w="2074" w:type="dxa"/>
          </w:tcPr>
          <w:p w:rsidR="004042A1" w:rsidRPr="004042A1" w:rsidRDefault="004042A1" w:rsidP="00D80958">
            <w:pPr>
              <w:pStyle w:val="TableParagraph"/>
              <w:tabs>
                <w:tab w:val="left" w:pos="0"/>
              </w:tabs>
              <w:spacing w:line="276" w:lineRule="auto"/>
              <w:ind w:left="105" w:right="196"/>
              <w:rPr>
                <w:sz w:val="20"/>
                <w:szCs w:val="20"/>
                <w:lang w:val="mn-MN"/>
              </w:rPr>
            </w:pPr>
            <w:r w:rsidRPr="004042A1">
              <w:rPr>
                <w:sz w:val="20"/>
                <w:szCs w:val="20"/>
                <w:lang w:val="mn-MN"/>
              </w:rPr>
              <w:t>SPDU User Data Length</w:t>
            </w:r>
          </w:p>
        </w:tc>
      </w:tr>
      <w:tr w:rsidR="004042A1" w:rsidRPr="00EF2D2B" w:rsidTr="00D80958">
        <w:trPr>
          <w:trHeight w:val="489"/>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00 10 00 00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ight="305"/>
              <w:rPr>
                <w:sz w:val="20"/>
                <w:szCs w:val="20"/>
                <w:lang w:val="mn-MN"/>
              </w:rPr>
            </w:pPr>
            <w:r w:rsidRPr="004042A1">
              <w:rPr>
                <w:sz w:val="20"/>
                <w:szCs w:val="20"/>
                <w:lang w:val="mn-MN"/>
              </w:rPr>
              <w:t>For duplicate packet delivery and OOD</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SPDU Number</w:t>
            </w:r>
          </w:p>
        </w:tc>
      </w:tr>
      <w:tr w:rsidR="004042A1" w:rsidRPr="00EF2D2B"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00 01</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Version Number</w:t>
            </w:r>
          </w:p>
        </w:tc>
      </w:tr>
      <w:tr w:rsidR="004042A1" w:rsidRPr="00EF2D2B" w:rsidTr="00D80958">
        <w:trPr>
          <w:trHeight w:val="853"/>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4C F6 D9 FE</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ight="305"/>
              <w:rPr>
                <w:sz w:val="20"/>
                <w:szCs w:val="20"/>
                <w:lang w:val="mn-MN"/>
              </w:rPr>
            </w:pPr>
            <w:r w:rsidRPr="004042A1">
              <w:rPr>
                <w:sz w:val="20"/>
                <w:szCs w:val="20"/>
                <w:lang w:val="mn-MN"/>
              </w:rPr>
              <w:t>Seconds Since Epoch: 1970- 01-01 00:00:00 UTC (value =</w:t>
            </w:r>
          </w:p>
          <w:p w:rsidR="004042A1" w:rsidRPr="004042A1" w:rsidRDefault="004042A1" w:rsidP="00D80958">
            <w:pPr>
              <w:pStyle w:val="TableParagraph"/>
              <w:tabs>
                <w:tab w:val="left" w:pos="0"/>
              </w:tabs>
              <w:spacing w:before="0" w:line="276" w:lineRule="auto"/>
              <w:ind w:left="105" w:right="305"/>
              <w:rPr>
                <w:sz w:val="20"/>
                <w:szCs w:val="20"/>
                <w:lang w:val="mn-MN"/>
              </w:rPr>
            </w:pPr>
            <w:r w:rsidRPr="004042A1">
              <w:rPr>
                <w:sz w:val="20"/>
                <w:szCs w:val="20"/>
                <w:lang w:val="mn-MN"/>
              </w:rPr>
              <w:t>December 1, 2010 23:27:58 UTC)</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TimeOfCurrentKey</w:t>
            </w:r>
          </w:p>
        </w:tc>
      </w:tr>
      <w:tr w:rsidR="004042A1" w:rsidRPr="00EF2D2B"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before="58" w:line="276" w:lineRule="auto"/>
              <w:ind w:left="106"/>
              <w:rPr>
                <w:sz w:val="20"/>
                <w:szCs w:val="20"/>
                <w:lang w:val="mn-MN"/>
              </w:rPr>
            </w:pPr>
            <w:r w:rsidRPr="004042A1">
              <w:rPr>
                <w:sz w:val="20"/>
                <w:szCs w:val="20"/>
                <w:lang w:val="mn-MN"/>
              </w:rPr>
              <w:t>00 10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Minutes until key change</w:t>
            </w:r>
          </w:p>
        </w:tc>
        <w:tc>
          <w:tcPr>
            <w:tcW w:w="2074"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TimeToNextKey</w:t>
            </w:r>
          </w:p>
        </w:tc>
      </w:tr>
      <w:tr w:rsidR="004042A1" w:rsidRPr="00EF2D2B" w:rsidTr="00D80958">
        <w:trPr>
          <w:trHeight w:val="671"/>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ight="305"/>
              <w:rPr>
                <w:sz w:val="20"/>
                <w:szCs w:val="20"/>
                <w:lang w:val="mn-MN"/>
              </w:rPr>
            </w:pPr>
            <w:r w:rsidRPr="004042A1">
              <w:rPr>
                <w:sz w:val="20"/>
                <w:szCs w:val="20"/>
                <w:lang w:val="mn-MN"/>
              </w:rPr>
              <w:t>High byte = Encryption information</w:t>
            </w:r>
          </w:p>
          <w:p w:rsidR="004042A1" w:rsidRPr="004042A1" w:rsidRDefault="004042A1" w:rsidP="00D80958">
            <w:pPr>
              <w:pStyle w:val="TableParagraph"/>
              <w:tabs>
                <w:tab w:val="left" w:pos="0"/>
              </w:tabs>
              <w:spacing w:before="0" w:line="276" w:lineRule="auto"/>
              <w:ind w:left="105"/>
              <w:rPr>
                <w:sz w:val="20"/>
                <w:szCs w:val="20"/>
                <w:lang w:val="mn-MN"/>
              </w:rPr>
            </w:pPr>
            <w:r w:rsidRPr="004042A1">
              <w:rPr>
                <w:sz w:val="20"/>
                <w:szCs w:val="20"/>
                <w:lang w:val="mn-MN"/>
              </w:rPr>
              <w:t>(</w:t>
            </w:r>
            <w:r w:rsidRPr="004042A1">
              <w:rPr>
                <w:b/>
                <w:sz w:val="20"/>
                <w:szCs w:val="20"/>
                <w:lang w:val="mn-MN"/>
              </w:rPr>
              <w:t>none</w:t>
            </w:r>
            <w:r w:rsidRPr="004042A1">
              <w:rPr>
                <w:sz w:val="20"/>
                <w:szCs w:val="20"/>
                <w:lang w:val="mn-MN"/>
              </w:rPr>
              <w:t>, AES-128, AES-256)</w:t>
            </w: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Security Algorithms</w:t>
            </w:r>
          </w:p>
        </w:tc>
      </w:tr>
      <w:tr w:rsidR="004042A1" w:rsidRPr="00EF2D2B" w:rsidTr="00D80958">
        <w:trPr>
          <w:trHeight w:val="1041"/>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before="58" w:line="276" w:lineRule="auto"/>
              <w:ind w:left="106"/>
              <w:rPr>
                <w:sz w:val="20"/>
                <w:szCs w:val="20"/>
                <w:lang w:val="mn-MN"/>
              </w:rPr>
            </w:pPr>
            <w:r w:rsidRPr="004042A1">
              <w:rPr>
                <w:sz w:val="20"/>
                <w:szCs w:val="20"/>
                <w:lang w:val="mn-MN"/>
              </w:rPr>
              <w:t>02</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58" w:line="276" w:lineRule="auto"/>
              <w:ind w:left="105" w:right="305"/>
              <w:rPr>
                <w:sz w:val="20"/>
                <w:szCs w:val="20"/>
                <w:lang w:val="mn-MN"/>
              </w:rPr>
            </w:pPr>
            <w:r w:rsidRPr="004042A1">
              <w:rPr>
                <w:sz w:val="20"/>
                <w:szCs w:val="20"/>
                <w:lang w:val="mn-MN"/>
              </w:rPr>
              <w:t>Low byte = HMAC algorithm (none, ,</w:t>
            </w:r>
          </w:p>
          <w:p w:rsidR="004042A1" w:rsidRPr="004042A1" w:rsidRDefault="004042A1" w:rsidP="00D80958">
            <w:pPr>
              <w:pStyle w:val="TableParagraph"/>
              <w:tabs>
                <w:tab w:val="left" w:pos="0"/>
              </w:tabs>
              <w:spacing w:before="0" w:line="276" w:lineRule="auto"/>
              <w:ind w:left="105"/>
              <w:rPr>
                <w:sz w:val="20"/>
                <w:szCs w:val="20"/>
                <w:lang w:val="mn-MN"/>
              </w:rPr>
            </w:pPr>
            <w:r w:rsidRPr="004042A1">
              <w:rPr>
                <w:sz w:val="20"/>
                <w:szCs w:val="20"/>
                <w:lang w:val="mn-MN"/>
              </w:rPr>
              <w:t xml:space="preserve">SHA256-80, </w:t>
            </w:r>
            <w:r w:rsidRPr="004042A1">
              <w:rPr>
                <w:b/>
                <w:sz w:val="20"/>
                <w:szCs w:val="20"/>
                <w:lang w:val="mn-MN"/>
              </w:rPr>
              <w:t>SHA256-128</w:t>
            </w:r>
            <w:r w:rsidRPr="004042A1">
              <w:rPr>
                <w:sz w:val="20"/>
                <w:szCs w:val="20"/>
                <w:lang w:val="mn-MN"/>
              </w:rPr>
              <w:t>,</w:t>
            </w:r>
          </w:p>
          <w:p w:rsidR="004042A1" w:rsidRPr="004042A1" w:rsidRDefault="004042A1" w:rsidP="00D80958">
            <w:pPr>
              <w:pStyle w:val="TableParagraph"/>
              <w:tabs>
                <w:tab w:val="left" w:pos="0"/>
              </w:tabs>
              <w:spacing w:before="3" w:line="276" w:lineRule="auto"/>
              <w:ind w:left="105"/>
              <w:rPr>
                <w:sz w:val="20"/>
                <w:szCs w:val="20"/>
                <w:lang w:val="mn-MN"/>
              </w:rPr>
            </w:pPr>
            <w:r w:rsidRPr="004042A1">
              <w:rPr>
                <w:sz w:val="20"/>
                <w:szCs w:val="20"/>
                <w:lang w:val="mn-MN"/>
              </w:rPr>
              <w:t>SHA256-256, MD5-80, MD5-</w:t>
            </w:r>
          </w:p>
          <w:p w:rsidR="004042A1" w:rsidRPr="004042A1" w:rsidRDefault="004042A1" w:rsidP="00D80958">
            <w:pPr>
              <w:pStyle w:val="TableParagraph"/>
              <w:tabs>
                <w:tab w:val="left" w:pos="0"/>
              </w:tabs>
              <w:spacing w:before="0" w:line="276" w:lineRule="auto"/>
              <w:ind w:left="105"/>
              <w:rPr>
                <w:sz w:val="20"/>
                <w:szCs w:val="20"/>
                <w:lang w:val="mn-MN"/>
              </w:rPr>
            </w:pPr>
            <w:r w:rsidRPr="004042A1">
              <w:rPr>
                <w:sz w:val="20"/>
                <w:szCs w:val="20"/>
                <w:lang w:val="mn-MN"/>
              </w:rPr>
              <w:t>128, MD5-256)</w:t>
            </w:r>
          </w:p>
        </w:tc>
        <w:tc>
          <w:tcPr>
            <w:tcW w:w="2074" w:type="dxa"/>
          </w:tcPr>
          <w:p w:rsidR="004042A1" w:rsidRPr="004042A1" w:rsidRDefault="004042A1" w:rsidP="00D80958">
            <w:pPr>
              <w:pStyle w:val="TableParagraph"/>
              <w:tabs>
                <w:tab w:val="left" w:pos="0"/>
              </w:tabs>
              <w:spacing w:before="58" w:line="276" w:lineRule="auto"/>
              <w:ind w:left="105"/>
              <w:rPr>
                <w:sz w:val="20"/>
                <w:szCs w:val="20"/>
                <w:lang w:val="mn-MN"/>
              </w:rPr>
            </w:pPr>
            <w:r w:rsidRPr="004042A1">
              <w:rPr>
                <w:sz w:val="20"/>
                <w:szCs w:val="20"/>
                <w:lang w:val="mn-MN"/>
              </w:rPr>
              <w:t>Security Algorithms</w:t>
            </w:r>
          </w:p>
        </w:tc>
      </w:tr>
      <w:tr w:rsidR="004042A1" w:rsidRPr="00EF2D2B" w:rsidTr="00D80958">
        <w:trPr>
          <w:trHeight w:val="304"/>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00 00 01 00</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Key ID assigned from KDC</w:t>
            </w:r>
          </w:p>
        </w:tc>
        <w:tc>
          <w:tcPr>
            <w:tcW w:w="2074" w:type="dxa"/>
          </w:tcPr>
          <w:p w:rsidR="004042A1" w:rsidRPr="004042A1" w:rsidRDefault="004042A1" w:rsidP="00D80958">
            <w:pPr>
              <w:pStyle w:val="TableParagraph"/>
              <w:tabs>
                <w:tab w:val="left" w:pos="0"/>
              </w:tabs>
              <w:spacing w:before="0" w:line="276" w:lineRule="auto"/>
              <w:rPr>
                <w:sz w:val="20"/>
                <w:szCs w:val="20"/>
                <w:lang w:val="mn-MN"/>
              </w:rPr>
            </w:pPr>
          </w:p>
        </w:tc>
      </w:tr>
      <w:tr w:rsidR="004042A1" w:rsidRPr="00EF2D2B" w:rsidTr="00D80958">
        <w:trPr>
          <w:trHeight w:val="301"/>
        </w:trPr>
        <w:tc>
          <w:tcPr>
            <w:tcW w:w="936"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33" w:type="dxa"/>
          </w:tcPr>
          <w:p w:rsidR="004042A1" w:rsidRPr="004042A1" w:rsidRDefault="004042A1" w:rsidP="00D80958">
            <w:pPr>
              <w:pStyle w:val="TableParagraph"/>
              <w:tabs>
                <w:tab w:val="left" w:pos="0"/>
              </w:tabs>
              <w:spacing w:before="0" w:line="276" w:lineRule="auto"/>
              <w:rPr>
                <w:sz w:val="20"/>
                <w:szCs w:val="20"/>
                <w:lang w:val="mn-MN"/>
              </w:rPr>
            </w:pPr>
          </w:p>
        </w:tc>
        <w:tc>
          <w:tcPr>
            <w:tcW w:w="245" w:type="dxa"/>
          </w:tcPr>
          <w:p w:rsidR="004042A1" w:rsidRPr="004042A1" w:rsidRDefault="004042A1" w:rsidP="00D80958">
            <w:pPr>
              <w:pStyle w:val="TableParagraph"/>
              <w:tabs>
                <w:tab w:val="left" w:pos="0"/>
              </w:tabs>
              <w:spacing w:before="0" w:line="276" w:lineRule="auto"/>
              <w:rPr>
                <w:sz w:val="20"/>
                <w:szCs w:val="20"/>
                <w:lang w:val="mn-MN"/>
              </w:rPr>
            </w:pPr>
          </w:p>
        </w:tc>
        <w:tc>
          <w:tcPr>
            <w:tcW w:w="267" w:type="dxa"/>
          </w:tcPr>
          <w:p w:rsidR="004042A1" w:rsidRPr="004042A1" w:rsidRDefault="004042A1" w:rsidP="00D80958">
            <w:pPr>
              <w:pStyle w:val="TableParagraph"/>
              <w:tabs>
                <w:tab w:val="left" w:pos="0"/>
              </w:tabs>
              <w:spacing w:before="0" w:line="276" w:lineRule="auto"/>
              <w:rPr>
                <w:sz w:val="20"/>
                <w:szCs w:val="20"/>
                <w:lang w:val="mn-MN"/>
              </w:rPr>
            </w:pPr>
          </w:p>
        </w:tc>
        <w:tc>
          <w:tcPr>
            <w:tcW w:w="1678" w:type="dxa"/>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xx xx xx xx</w:t>
            </w:r>
          </w:p>
        </w:tc>
        <w:tc>
          <w:tcPr>
            <w:tcW w:w="516" w:type="dxa"/>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Pr>
          <w:p w:rsidR="004042A1" w:rsidRPr="004042A1" w:rsidRDefault="004042A1" w:rsidP="00D80958">
            <w:pPr>
              <w:pStyle w:val="TableParagraph"/>
              <w:tabs>
                <w:tab w:val="left" w:pos="0"/>
              </w:tabs>
              <w:spacing w:before="0" w:line="276" w:lineRule="auto"/>
              <w:rPr>
                <w:sz w:val="20"/>
                <w:szCs w:val="20"/>
                <w:lang w:val="mn-MN"/>
              </w:rPr>
            </w:pPr>
          </w:p>
        </w:tc>
        <w:tc>
          <w:tcPr>
            <w:tcW w:w="2074" w:type="dxa"/>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User Data Length</w:t>
            </w:r>
          </w:p>
        </w:tc>
      </w:tr>
      <w:tr w:rsidR="004042A1" w:rsidRPr="00EF2D2B" w:rsidTr="00D80958">
        <w:trPr>
          <w:trHeight w:val="301"/>
        </w:trPr>
        <w:tc>
          <w:tcPr>
            <w:tcW w:w="936"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81</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074"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GOOSE Payload type</w:t>
            </w:r>
          </w:p>
        </w:tc>
      </w:tr>
      <w:tr w:rsidR="004042A1" w:rsidRPr="00EF2D2B" w:rsidTr="00D80958">
        <w:trPr>
          <w:trHeight w:val="301"/>
        </w:trPr>
        <w:tc>
          <w:tcPr>
            <w:tcW w:w="936"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r w:rsidRPr="004042A1">
              <w:rPr>
                <w:sz w:val="20"/>
                <w:szCs w:val="20"/>
                <w:lang w:val="mn-MN"/>
              </w:rPr>
              <w:t>Simulation is FALSE</w:t>
            </w:r>
          </w:p>
        </w:tc>
        <w:tc>
          <w:tcPr>
            <w:tcW w:w="2074"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Simulation</w:t>
            </w:r>
          </w:p>
        </w:tc>
      </w:tr>
      <w:tr w:rsidR="004042A1" w:rsidRPr="00EF2D2B" w:rsidTr="00D80958">
        <w:trPr>
          <w:trHeight w:val="301"/>
        </w:trPr>
        <w:tc>
          <w:tcPr>
            <w:tcW w:w="936"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00 01</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r w:rsidRPr="004042A1">
              <w:rPr>
                <w:sz w:val="20"/>
                <w:szCs w:val="20"/>
                <w:lang w:val="mn-MN"/>
              </w:rPr>
              <w:t>APPID is a value of 1</w:t>
            </w:r>
          </w:p>
        </w:tc>
        <w:tc>
          <w:tcPr>
            <w:tcW w:w="2074"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APPID</w:t>
            </w:r>
          </w:p>
        </w:tc>
      </w:tr>
      <w:tr w:rsidR="004042A1" w:rsidRPr="00EF2D2B" w:rsidTr="00D80958">
        <w:trPr>
          <w:trHeight w:val="301"/>
        </w:trPr>
        <w:tc>
          <w:tcPr>
            <w:tcW w:w="936"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yyyy+ 3</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r w:rsidRPr="004042A1">
              <w:rPr>
                <w:sz w:val="20"/>
                <w:szCs w:val="20"/>
                <w:lang w:val="mn-MN"/>
              </w:rPr>
              <w:t>APDU Length</w:t>
            </w:r>
          </w:p>
        </w:tc>
        <w:tc>
          <w:tcPr>
            <w:tcW w:w="2074"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5"/>
              <w:rPr>
                <w:sz w:val="20"/>
                <w:szCs w:val="20"/>
                <w:lang w:val="mn-MN"/>
              </w:rPr>
            </w:pPr>
          </w:p>
        </w:tc>
      </w:tr>
      <w:tr w:rsidR="004042A1" w:rsidRPr="00EF2D2B" w:rsidTr="00D80958">
        <w:trPr>
          <w:trHeight w:val="301"/>
        </w:trPr>
        <w:tc>
          <w:tcPr>
            <w:tcW w:w="936"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61 yyyy</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074"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GOOSE PDU</w:t>
            </w:r>
          </w:p>
        </w:tc>
      </w:tr>
      <w:tr w:rsidR="004042A1" w:rsidRPr="00EF2D2B" w:rsidTr="00D80958">
        <w:trPr>
          <w:trHeight w:val="301"/>
        </w:trPr>
        <w:tc>
          <w:tcPr>
            <w:tcW w:w="936"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shd w:val="clear" w:color="auto" w:fill="FFCC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85</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074"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Signature</w:t>
            </w:r>
          </w:p>
        </w:tc>
      </w:tr>
      <w:tr w:rsidR="004042A1" w:rsidRPr="00EF2D2B" w:rsidTr="00D80958">
        <w:trPr>
          <w:trHeight w:val="301"/>
        </w:trPr>
        <w:tc>
          <w:tcPr>
            <w:tcW w:w="936"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r w:rsidRPr="004042A1">
              <w:rPr>
                <w:sz w:val="20"/>
                <w:szCs w:val="20"/>
                <w:lang w:val="mn-MN"/>
              </w:rPr>
              <w:t>LI</w:t>
            </w:r>
          </w:p>
        </w:tc>
        <w:tc>
          <w:tcPr>
            <w:tcW w:w="233" w:type="dxa"/>
            <w:tcBorders>
              <w:top w:val="single" w:sz="4" w:space="0" w:color="000000"/>
              <w:left w:val="single" w:sz="4" w:space="0" w:color="000000"/>
              <w:bottom w:val="single" w:sz="4" w:space="0" w:color="000000"/>
              <w:right w:val="single" w:sz="4" w:space="0" w:color="000000"/>
            </w:tcBorders>
            <w:shd w:val="clear" w:color="auto" w:fill="FFFF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shd w:val="clear" w:color="auto" w:fill="FFCC99"/>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shd w:val="clear" w:color="auto" w:fill="99CCFF"/>
          </w:tcPr>
          <w:p w:rsidR="004042A1" w:rsidRPr="004042A1" w:rsidRDefault="004042A1" w:rsidP="00D80958">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10</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074"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Length of HMAC</w:t>
            </w:r>
          </w:p>
        </w:tc>
      </w:tr>
      <w:tr w:rsidR="004042A1" w:rsidRPr="00EF2D2B" w:rsidTr="00D80958">
        <w:trPr>
          <w:trHeight w:val="301"/>
        </w:trPr>
        <w:tc>
          <w:tcPr>
            <w:tcW w:w="936"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line="276" w:lineRule="auto"/>
              <w:ind w:left="106"/>
              <w:rPr>
                <w:sz w:val="20"/>
                <w:szCs w:val="20"/>
                <w:lang w:val="mn-MN"/>
              </w:rPr>
            </w:pPr>
            <w:r w:rsidRPr="004042A1">
              <w:rPr>
                <w:sz w:val="20"/>
                <w:szCs w:val="20"/>
                <w:lang w:val="mn-MN"/>
              </w:rPr>
              <w:t>16 octets</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4042A1" w:rsidRPr="004042A1" w:rsidRDefault="004042A1" w:rsidP="00D80958">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before="0" w:line="276" w:lineRule="auto"/>
              <w:rPr>
                <w:sz w:val="20"/>
                <w:szCs w:val="20"/>
                <w:lang w:val="mn-MN"/>
              </w:rPr>
            </w:pPr>
            <w:r w:rsidRPr="004042A1">
              <w:rPr>
                <w:sz w:val="20"/>
                <w:szCs w:val="20"/>
                <w:lang w:val="mn-MN"/>
              </w:rPr>
              <w:t>For SHA1-128</w:t>
            </w:r>
          </w:p>
        </w:tc>
        <w:tc>
          <w:tcPr>
            <w:tcW w:w="2074" w:type="dxa"/>
            <w:tcBorders>
              <w:top w:val="single" w:sz="4" w:space="0" w:color="000000"/>
              <w:left w:val="single" w:sz="4" w:space="0" w:color="000000"/>
              <w:bottom w:val="single" w:sz="4" w:space="0" w:color="000000"/>
              <w:right w:val="single" w:sz="4" w:space="0" w:color="000000"/>
            </w:tcBorders>
          </w:tcPr>
          <w:p w:rsidR="004042A1" w:rsidRPr="004042A1" w:rsidRDefault="004042A1" w:rsidP="00D80958">
            <w:pPr>
              <w:pStyle w:val="TableParagraph"/>
              <w:tabs>
                <w:tab w:val="left" w:pos="0"/>
              </w:tabs>
              <w:spacing w:line="276" w:lineRule="auto"/>
              <w:ind w:left="105"/>
              <w:rPr>
                <w:sz w:val="20"/>
                <w:szCs w:val="20"/>
                <w:lang w:val="mn-MN"/>
              </w:rPr>
            </w:pPr>
            <w:r w:rsidRPr="004042A1">
              <w:rPr>
                <w:sz w:val="20"/>
                <w:szCs w:val="20"/>
                <w:lang w:val="mn-MN"/>
              </w:rPr>
              <w:t>HMAC</w:t>
            </w:r>
          </w:p>
        </w:tc>
      </w:tr>
    </w:tbl>
    <w:p w:rsidR="004042A1" w:rsidRDefault="004042A1" w:rsidP="004042A1">
      <w:pPr>
        <w:ind w:left="0" w:firstLine="0"/>
        <w:rPr>
          <w:b/>
          <w:lang w:val="en-US"/>
        </w:rPr>
      </w:pPr>
    </w:p>
    <w:p w:rsidR="004042A1" w:rsidRDefault="004042A1" w:rsidP="004042A1">
      <w:pPr>
        <w:ind w:left="0" w:firstLine="0"/>
        <w:jc w:val="center"/>
        <w:rPr>
          <w:b/>
          <w:lang w:val="en-US"/>
        </w:rPr>
      </w:pPr>
      <w:r w:rsidRPr="004042A1">
        <w:rPr>
          <w:b/>
          <w:lang w:val="en-US"/>
        </w:rPr>
        <w:t>Figure G.1 – Example encoding of GOOSE A-Профайл</w:t>
      </w:r>
    </w:p>
    <w:p w:rsidR="004042A1" w:rsidRDefault="004042A1" w:rsidP="004042A1">
      <w:pPr>
        <w:ind w:left="0" w:firstLine="0"/>
        <w:rPr>
          <w:b/>
          <w:lang w:val="en-US"/>
        </w:rPr>
      </w:pPr>
    </w:p>
    <w:tbl>
      <w:tblPr>
        <w:tblStyle w:val="TableGrid"/>
        <w:tblW w:w="0" w:type="auto"/>
        <w:tblLook w:val="04A0" w:firstRow="1" w:lastRow="0" w:firstColumn="1" w:lastColumn="0" w:noHBand="0" w:noVBand="1"/>
      </w:tblPr>
      <w:tblGrid>
        <w:gridCol w:w="4672"/>
        <w:gridCol w:w="4672"/>
      </w:tblGrid>
      <w:tr w:rsidR="004042A1" w:rsidTr="004042A1">
        <w:tc>
          <w:tcPr>
            <w:tcW w:w="4672" w:type="dxa"/>
          </w:tcPr>
          <w:p w:rsidR="004042A1" w:rsidRPr="004042A1" w:rsidRDefault="004042A1" w:rsidP="004042A1">
            <w:pPr>
              <w:tabs>
                <w:tab w:val="left" w:pos="0"/>
              </w:tabs>
              <w:ind w:left="0" w:firstLine="0"/>
              <w:jc w:val="center"/>
              <w:rPr>
                <w:rFonts w:eastAsia="Calibri"/>
                <w:b/>
                <w:bCs/>
                <w:szCs w:val="22"/>
              </w:rPr>
            </w:pPr>
            <w:r w:rsidRPr="004042A1">
              <w:rPr>
                <w:rFonts w:eastAsia="Calibri"/>
                <w:b/>
                <w:bCs/>
                <w:szCs w:val="22"/>
              </w:rPr>
              <w:t>Хавсралт H</w:t>
            </w:r>
          </w:p>
          <w:p w:rsidR="004042A1" w:rsidRPr="004042A1" w:rsidRDefault="004042A1" w:rsidP="004042A1">
            <w:pPr>
              <w:tabs>
                <w:tab w:val="left" w:pos="0"/>
              </w:tabs>
              <w:ind w:left="0" w:firstLine="0"/>
              <w:jc w:val="center"/>
              <w:rPr>
                <w:rFonts w:eastAsia="Calibri"/>
                <w:bCs/>
                <w:szCs w:val="22"/>
              </w:rPr>
            </w:pPr>
            <w:r w:rsidRPr="004042A1">
              <w:rPr>
                <w:rFonts w:eastAsia="Calibri"/>
                <w:bCs/>
                <w:szCs w:val="22"/>
              </w:rPr>
              <w:t>(мэдээллийн)</w:t>
            </w:r>
          </w:p>
          <w:p w:rsidR="004042A1" w:rsidRPr="004042A1" w:rsidRDefault="004042A1" w:rsidP="004042A1">
            <w:pPr>
              <w:tabs>
                <w:tab w:val="left" w:pos="0"/>
              </w:tabs>
              <w:ind w:left="0" w:right="557" w:firstLine="0"/>
              <w:rPr>
                <w:rFonts w:eastAsia="Calibri"/>
                <w:b/>
                <w:bCs/>
                <w:szCs w:val="22"/>
              </w:rPr>
            </w:pPr>
            <w:r w:rsidRPr="004042A1">
              <w:rPr>
                <w:rFonts w:eastAsia="Calibri"/>
                <w:b/>
                <w:bCs/>
                <w:szCs w:val="22"/>
              </w:rPr>
              <w:t>R-SV дамжуулалтын найдваржилтыг дээшлүүлэх</w:t>
            </w:r>
          </w:p>
          <w:p w:rsidR="004042A1" w:rsidRPr="004042A1" w:rsidRDefault="004042A1" w:rsidP="004042A1">
            <w:pPr>
              <w:tabs>
                <w:tab w:val="left" w:pos="0"/>
              </w:tabs>
              <w:ind w:left="0" w:firstLine="0"/>
              <w:rPr>
                <w:rFonts w:eastAsia="Calibri"/>
                <w:bCs/>
                <w:szCs w:val="22"/>
              </w:rPr>
            </w:pPr>
            <w:r w:rsidRPr="004042A1">
              <w:rPr>
                <w:rFonts w:eastAsia="Calibri"/>
                <w:bCs/>
                <w:szCs w:val="22"/>
              </w:rPr>
              <w:t>Multicast (UDP эсвэл Этернэт) ашиглах нь мессеж/өгөгдөл дамжуулах баталгаа болохгүй. Ихэнх multicast протоколуудад алдагдсан багцыг автоматаар илрүүлж дахин дамжуулдаггүй.</w:t>
            </w:r>
          </w:p>
          <w:p w:rsidR="004042A1" w:rsidRPr="004042A1" w:rsidRDefault="004042A1" w:rsidP="004042A1">
            <w:pPr>
              <w:tabs>
                <w:tab w:val="left" w:pos="0"/>
              </w:tabs>
              <w:ind w:left="0" w:firstLine="0"/>
              <w:rPr>
                <w:rFonts w:eastAsia="Calibri"/>
                <w:bCs/>
                <w:szCs w:val="22"/>
              </w:rPr>
            </w:pPr>
            <w:r w:rsidRPr="004042A1">
              <w:rPr>
                <w:rFonts w:eastAsia="Calibri"/>
                <w:bCs/>
                <w:szCs w:val="22"/>
              </w:rPr>
              <w:t xml:space="preserve">IOS 61850-8-1-д тодорхойлсоноор GOOSE илгээх сервес ба мессеж нь эхний өөрчлөгдсөн өгөгдлийн багцыг илгээсэний дараа дамжуулсан өгөгдлийн багцыг хэд хэдэн удаа давтах давталтын механизмаар энэ асуудлыг шийдвэрлэнэ. Ийм байдлаар сүлжээ </w:t>
            </w:r>
            <w:r w:rsidRPr="004042A1">
              <w:rPr>
                <w:rFonts w:eastAsia="Calibri"/>
                <w:bCs/>
                <w:szCs w:val="22"/>
              </w:rPr>
              <w:lastRenderedPageBreak/>
              <w:t>бүрэн бүтэн байгаа тул алдагдсан GOOSE мессежийг эцэст нь хүлээн авах магадлал маш өндөр байна. R-GOOSE нь GOOSE-ийн ашиглалтын шинж чанарыг уламжилсан тул энэ мессеж давталтын функцтай.</w:t>
            </w:r>
          </w:p>
          <w:p w:rsidR="004042A1" w:rsidRPr="004042A1" w:rsidRDefault="004042A1" w:rsidP="004042A1">
            <w:pPr>
              <w:tabs>
                <w:tab w:val="left" w:pos="0"/>
              </w:tabs>
              <w:ind w:left="0" w:firstLine="0"/>
              <w:rPr>
                <w:rFonts w:eastAsia="Calibri"/>
                <w:bCs/>
                <w:szCs w:val="22"/>
              </w:rPr>
            </w:pPr>
            <w:r w:rsidRPr="004042A1">
              <w:rPr>
                <w:rFonts w:eastAsia="Calibri"/>
                <w:bCs/>
                <w:szCs w:val="22"/>
              </w:rPr>
              <w:t>Түүврийн Утаг нь нөгөө талаараа давталтын механизмгүй. Тодорхой нөхцлүүдэд (ялангуяа мессеж илгээх хурд бага) хүлээн авсан өгөгдлийн найдваржилтыг дээшлүүлэх нь зүйтэй. Үүнийг R-SV өгөгдлийн багцыг дахин дамжуулах замаар гүйцэтгэж болно. Захиалагч нь давхардсан багцуудыг тодорхойлох ба татгалзах зориулалттай байдаг тул яг ижил өгөгдлийн багцыг дахин илгээх нь хүссэн үедээ илүү өндөр найдвартай байдалд хүрэх үр дүнтэй арга юм. Дахин эхлүүлэх механизм, дахин турших тоо, давталтын хоорондох хугацаа нь дотоод асуудал юм.</w:t>
            </w:r>
          </w:p>
          <w:p w:rsidR="004042A1" w:rsidRPr="004042A1" w:rsidRDefault="004042A1" w:rsidP="004042A1">
            <w:pPr>
              <w:tabs>
                <w:tab w:val="left" w:pos="0"/>
              </w:tabs>
              <w:ind w:left="0" w:firstLine="0"/>
              <w:rPr>
                <w:rFonts w:eastAsia="Calibri"/>
                <w:bCs/>
                <w:szCs w:val="22"/>
              </w:rPr>
            </w:pPr>
            <w:r w:rsidRPr="004042A1">
              <w:rPr>
                <w:rFonts w:eastAsia="Calibri"/>
                <w:bCs/>
                <w:szCs w:val="22"/>
              </w:rPr>
              <w:t>Ийм дахин дамжуулалт хийхэд SPDU дугаар нь эх багцтай ижил байх шаардлагатай. Энэ нь захиалагч эх багцыг хүлээн авсан тохиолдолд давхардсан дамжуулалтыг илрүүлэх боломжийг олгохын тулд шаардлагатай болно. Цаашид бүх SPDU-ийн агуулгыг давтаж байгаа эх багцын хуулбар байхыг зөвлөж байна</w:t>
            </w:r>
          </w:p>
          <w:p w:rsidR="004042A1" w:rsidRPr="004042A1" w:rsidRDefault="004042A1" w:rsidP="004042A1">
            <w:pPr>
              <w:tabs>
                <w:tab w:val="left" w:pos="0"/>
              </w:tabs>
              <w:ind w:left="0" w:firstLine="0"/>
              <w:jc w:val="center"/>
              <w:rPr>
                <w:rFonts w:eastAsia="Calibri"/>
                <w:bCs/>
                <w:szCs w:val="22"/>
              </w:rPr>
            </w:pPr>
            <w:r w:rsidRPr="004042A1">
              <w:rPr>
                <w:rFonts w:eastAsia="Calibri"/>
                <w:b/>
                <w:bCs/>
                <w:szCs w:val="22"/>
              </w:rPr>
              <w:t>Хавсралт I</w:t>
            </w:r>
            <w:r w:rsidRPr="004042A1">
              <w:rPr>
                <w:rFonts w:eastAsia="Calibri"/>
                <w:bCs/>
                <w:szCs w:val="22"/>
              </w:rPr>
              <w:t xml:space="preserve">                                                (мэдээллийн)</w:t>
            </w:r>
          </w:p>
          <w:p w:rsidR="004042A1" w:rsidRPr="004042A1" w:rsidRDefault="004042A1" w:rsidP="004042A1">
            <w:pPr>
              <w:tabs>
                <w:tab w:val="left" w:pos="0"/>
              </w:tabs>
              <w:ind w:left="0" w:firstLine="0"/>
              <w:rPr>
                <w:rFonts w:eastAsia="Calibri"/>
                <w:b/>
                <w:bCs/>
                <w:szCs w:val="22"/>
              </w:rPr>
            </w:pPr>
            <w:r w:rsidRPr="004042A1">
              <w:rPr>
                <w:rFonts w:eastAsia="Calibri"/>
                <w:b/>
                <w:bCs/>
                <w:szCs w:val="22"/>
              </w:rPr>
              <w:t>HMAC ба тайралтын талаархи удирдамж</w:t>
            </w:r>
          </w:p>
          <w:p w:rsidR="004042A1" w:rsidRPr="004042A1" w:rsidRDefault="004042A1" w:rsidP="004042A1">
            <w:pPr>
              <w:tabs>
                <w:tab w:val="left" w:pos="0"/>
              </w:tabs>
              <w:ind w:left="0" w:firstLine="0"/>
              <w:rPr>
                <w:rFonts w:eastAsia="Calibri"/>
                <w:bCs/>
                <w:szCs w:val="22"/>
              </w:rPr>
            </w:pPr>
            <w:r w:rsidRPr="004042A1">
              <w:rPr>
                <w:rFonts w:eastAsia="Calibri"/>
                <w:bCs/>
                <w:szCs w:val="22"/>
              </w:rPr>
              <w:t xml:space="preserve">HMAC бол хамтын хэрэглээний тэгш хэмтэй түлхүүрүүдээр дамжуулан хоёр талт нэвтрэлтэд баталгаажуулалт хийх стандарт арга юм. HMAC стандарт ба удирдамжид [6], [4], [5], [8], [9]1 HMAC-ийг ашиглах арга техник ба протоколуудаар хангадаг бөгөөд үүний үр дүнд баталгаажуулалтын протокол нь аюулгүй бөгөөд дахин халдлагад </w:t>
            </w:r>
            <w:r w:rsidRPr="004042A1">
              <w:rPr>
                <w:rFonts w:eastAsia="Calibri"/>
                <w:bCs/>
                <w:szCs w:val="22"/>
              </w:rPr>
              <w:lastRenderedPageBreak/>
              <w:t>тэсвэртэй байдаг. Дахин халдлагыг шийдвэрлэх нэг үр дүнтэй арга бол өгөгдсөн хамтын хэрэглээний түлхүүрийн мессеж бүрд өвөрмөц дарааллын дугаар болон нэг удаагын дугаар (nonce) байгаа эсэхийг баталгаажуулах явдал юм. Үүний тулд дарааллын дугаар эсвэл nonces-ийг ашиглана.[8] HMAC-ийг баталгаажуулалт хийхэд ашигладаг бол гаралтын тайралт нь зурвасын өргөнийг хадгалах зорилгоор хааяа ашигладаг сонголт юм. Тайралт нь HMAC стандартад [4], [9] боломжийн гэж тооцогддог бөгөөд практикт ашиглагддаг; жишээ нь, TLS-д. [7]</w:t>
            </w:r>
          </w:p>
          <w:p w:rsidR="004042A1" w:rsidRPr="004042A1" w:rsidRDefault="004042A1" w:rsidP="004042A1">
            <w:pPr>
              <w:tabs>
                <w:tab w:val="left" w:pos="0"/>
              </w:tabs>
              <w:ind w:left="0" w:firstLine="0"/>
              <w:rPr>
                <w:rFonts w:eastAsia="Calibri"/>
                <w:bCs/>
                <w:szCs w:val="22"/>
              </w:rPr>
            </w:pPr>
          </w:p>
          <w:p w:rsidR="004042A1" w:rsidRPr="004042A1" w:rsidRDefault="004042A1" w:rsidP="004042A1">
            <w:pPr>
              <w:tabs>
                <w:tab w:val="left" w:pos="0"/>
              </w:tabs>
              <w:ind w:left="0" w:firstLine="0"/>
              <w:rPr>
                <w:rFonts w:eastAsia="Calibri"/>
                <w:bCs/>
                <w:szCs w:val="22"/>
              </w:rPr>
            </w:pPr>
            <w:r w:rsidRPr="004042A1">
              <w:rPr>
                <w:rFonts w:eastAsia="Calibri"/>
                <w:bCs/>
                <w:szCs w:val="22"/>
              </w:rPr>
              <w:t>HMAC стандартууд ба удирдамжуудаас тайрах аргыг ашиглах зарим удирдамжийг дор үзүүлэв.</w:t>
            </w:r>
          </w:p>
          <w:p w:rsidR="004042A1" w:rsidRPr="004042A1" w:rsidRDefault="004042A1" w:rsidP="00472036">
            <w:pPr>
              <w:pStyle w:val="ListParagraph"/>
              <w:widowControl w:val="0"/>
              <w:numPr>
                <w:ilvl w:val="0"/>
                <w:numId w:val="36"/>
              </w:numPr>
              <w:tabs>
                <w:tab w:val="left" w:pos="0"/>
                <w:tab w:val="left" w:pos="459"/>
              </w:tabs>
              <w:autoSpaceDE w:val="0"/>
              <w:autoSpaceDN w:val="0"/>
              <w:spacing w:before="196" w:after="0"/>
              <w:ind w:left="0" w:right="406" w:firstLine="0"/>
              <w:contextualSpacing w:val="0"/>
              <w:rPr>
                <w:rFonts w:eastAsia="Calibri"/>
                <w:bCs/>
                <w:szCs w:val="22"/>
              </w:rPr>
            </w:pPr>
            <w:r w:rsidRPr="004042A1">
              <w:rPr>
                <w:rFonts w:eastAsia="Calibri"/>
                <w:bCs/>
                <w:szCs w:val="22"/>
              </w:rPr>
              <w:t>“Энэ чиглэлийн үр дүн нь тайралтын аюулгүй байдлын ерөнхий давуу талуудын хувьд үнэмлэхүй биш юм. ... HMAC аппликейшинууд нь HMAC тооцооллын хамгийн зүүн талын t б</w:t>
            </w:r>
          </w:p>
          <w:p w:rsidR="004042A1" w:rsidRPr="004042A1" w:rsidRDefault="004042A1" w:rsidP="00472036">
            <w:pPr>
              <w:pStyle w:val="ListParagraph"/>
              <w:widowControl w:val="0"/>
              <w:numPr>
                <w:ilvl w:val="0"/>
                <w:numId w:val="36"/>
              </w:numPr>
              <w:tabs>
                <w:tab w:val="left" w:pos="0"/>
                <w:tab w:val="left" w:pos="459"/>
              </w:tabs>
              <w:autoSpaceDE w:val="0"/>
              <w:autoSpaceDN w:val="0"/>
              <w:spacing w:before="196" w:after="0"/>
              <w:ind w:left="0" w:right="406" w:firstLine="0"/>
              <w:contextualSpacing w:val="0"/>
              <w:rPr>
                <w:rFonts w:eastAsia="Calibri"/>
                <w:bCs/>
                <w:szCs w:val="22"/>
              </w:rPr>
            </w:pPr>
            <w:r w:rsidRPr="004042A1">
              <w:rPr>
                <w:rFonts w:eastAsia="Calibri"/>
                <w:bCs/>
                <w:szCs w:val="22"/>
              </w:rPr>
              <w:t>итийг зарим параметр t-ийг гарган HMAC-ийн гаралтыг тайрах сонголтыг хийж болно ... Гаралтын урт t нь хэш гаралтын уртын тэн хагасаас багагүй байх нь тохиромжтой (мөчлөгт халдлагад тааруулж) ба 80 битээс багагүй байх ёстой.” [6]</w:t>
            </w:r>
          </w:p>
          <w:p w:rsidR="004042A1" w:rsidRPr="004042A1" w:rsidRDefault="004042A1" w:rsidP="00472036">
            <w:pPr>
              <w:pStyle w:val="ListParagraph"/>
              <w:widowControl w:val="0"/>
              <w:numPr>
                <w:ilvl w:val="0"/>
                <w:numId w:val="36"/>
              </w:numPr>
              <w:tabs>
                <w:tab w:val="left" w:pos="0"/>
                <w:tab w:val="left" w:pos="459"/>
              </w:tabs>
              <w:autoSpaceDE w:val="0"/>
              <w:autoSpaceDN w:val="0"/>
              <w:spacing w:before="101" w:after="0"/>
              <w:ind w:left="0" w:right="405" w:firstLine="0"/>
              <w:contextualSpacing w:val="0"/>
              <w:rPr>
                <w:rFonts w:eastAsia="Calibri"/>
                <w:bCs/>
                <w:szCs w:val="22"/>
              </w:rPr>
            </w:pPr>
            <w:r w:rsidRPr="004042A1">
              <w:rPr>
                <w:rFonts w:eastAsia="Calibri"/>
                <w:bCs/>
                <w:szCs w:val="22"/>
              </w:rPr>
              <w:t xml:space="preserve">“Тайралт хийгдсэн HMAC ашиглах үед HMAC тооцооллын хамгийн зүүн талын байтыг MAC болгон ашиглана. Гаралтын урт нь дөрвөн байтаас багагүй байх ёстой ... Гэвч аддликейшин буюу протокол нь олон тооны туршилтыг хэрэгжүүлэх боломжгүй бол t нь дор хаяж L/2 байт байх ёстой.”[1]. FIPS </w:t>
            </w:r>
            <w:r w:rsidRPr="004042A1">
              <w:rPr>
                <w:rFonts w:eastAsia="Calibri"/>
                <w:bCs/>
                <w:szCs w:val="22"/>
              </w:rPr>
              <w:lastRenderedPageBreak/>
              <w:t>198 [1] -ийг тайралт хийхэд NIST-SP800-107 руу шилжсэн [6] FIPS 198-1 [5] -ээр солигдсон болохыг анхаарна уу.</w:t>
            </w:r>
          </w:p>
          <w:p w:rsidR="004042A1" w:rsidRPr="004042A1" w:rsidRDefault="004042A1" w:rsidP="00472036">
            <w:pPr>
              <w:pStyle w:val="ListParagraph"/>
              <w:widowControl w:val="0"/>
              <w:numPr>
                <w:ilvl w:val="0"/>
                <w:numId w:val="36"/>
              </w:numPr>
              <w:tabs>
                <w:tab w:val="left" w:pos="0"/>
                <w:tab w:val="left" w:pos="459"/>
              </w:tabs>
              <w:autoSpaceDE w:val="0"/>
              <w:autoSpaceDN w:val="0"/>
              <w:spacing w:before="99" w:after="0"/>
              <w:ind w:left="0" w:right="403" w:firstLine="0"/>
              <w:contextualSpacing w:val="0"/>
              <w:rPr>
                <w:rFonts w:eastAsia="Calibri"/>
                <w:bCs/>
                <w:szCs w:val="22"/>
              </w:rPr>
            </w:pPr>
            <w:r w:rsidRPr="004042A1">
              <w:rPr>
                <w:rFonts w:eastAsia="Calibri"/>
                <w:bCs/>
                <w:szCs w:val="22"/>
              </w:rPr>
              <w:t>“Хуурамч өгөгдлийг хуурамч хүлээн зөвшөөрөлтөөс урьдчилан сэргийлэхийн тулд MacTag-ийн урт хангалттай урт байх ёстой.” [9]</w:t>
            </w:r>
          </w:p>
          <w:p w:rsidR="004042A1" w:rsidRPr="004042A1" w:rsidRDefault="004042A1" w:rsidP="004042A1">
            <w:pPr>
              <w:tabs>
                <w:tab w:val="left" w:pos="0"/>
              </w:tabs>
              <w:spacing w:after="200"/>
              <w:ind w:left="0" w:firstLine="0"/>
              <w:rPr>
                <w:rFonts w:eastAsia="Calibri"/>
                <w:bCs/>
                <w:szCs w:val="22"/>
              </w:rPr>
            </w:pPr>
            <w:r w:rsidRPr="004042A1">
              <w:rPr>
                <w:rFonts w:eastAsia="Calibri"/>
                <w:bCs/>
                <w:szCs w:val="22"/>
              </w:rPr>
              <w:t xml:space="preserve"> Практик жишээ болгон TLS нь 96 бит тайрагдсан гаралтыг санал болгож байна [7]</w:t>
            </w:r>
          </w:p>
        </w:tc>
        <w:tc>
          <w:tcPr>
            <w:tcW w:w="4672" w:type="dxa"/>
          </w:tcPr>
          <w:p w:rsidR="004042A1" w:rsidRPr="004042A1" w:rsidRDefault="004042A1" w:rsidP="004042A1">
            <w:pPr>
              <w:tabs>
                <w:tab w:val="left" w:pos="0"/>
              </w:tabs>
              <w:ind w:left="0" w:firstLine="0"/>
              <w:jc w:val="center"/>
              <w:rPr>
                <w:rFonts w:eastAsia="Calibri"/>
                <w:b/>
                <w:bCs/>
                <w:szCs w:val="22"/>
              </w:rPr>
            </w:pPr>
            <w:r w:rsidRPr="004042A1">
              <w:rPr>
                <w:rFonts w:eastAsia="Calibri"/>
                <w:b/>
                <w:bCs/>
                <w:szCs w:val="22"/>
              </w:rPr>
              <w:lastRenderedPageBreak/>
              <w:t>Annex H</w:t>
            </w:r>
          </w:p>
          <w:p w:rsidR="004042A1" w:rsidRPr="004042A1" w:rsidRDefault="004042A1" w:rsidP="004042A1">
            <w:pPr>
              <w:tabs>
                <w:tab w:val="left" w:pos="0"/>
              </w:tabs>
              <w:ind w:left="0" w:firstLine="0"/>
              <w:jc w:val="center"/>
              <w:rPr>
                <w:rFonts w:eastAsia="Calibri"/>
                <w:bCs/>
                <w:szCs w:val="22"/>
              </w:rPr>
            </w:pPr>
            <w:r w:rsidRPr="004042A1">
              <w:rPr>
                <w:rFonts w:eastAsia="Calibri"/>
                <w:bCs/>
                <w:szCs w:val="22"/>
              </w:rPr>
              <w:t>(informative)</w:t>
            </w:r>
          </w:p>
          <w:p w:rsidR="004042A1" w:rsidRPr="004042A1" w:rsidRDefault="004042A1" w:rsidP="004042A1">
            <w:pPr>
              <w:tabs>
                <w:tab w:val="left" w:pos="0"/>
              </w:tabs>
              <w:ind w:left="0" w:right="557" w:firstLine="0"/>
              <w:rPr>
                <w:rFonts w:eastAsia="Calibri"/>
                <w:b/>
                <w:bCs/>
                <w:szCs w:val="22"/>
              </w:rPr>
            </w:pPr>
            <w:r w:rsidRPr="004042A1">
              <w:rPr>
                <w:rFonts w:eastAsia="Calibri"/>
                <w:b/>
                <w:bCs/>
                <w:szCs w:val="22"/>
              </w:rPr>
              <w:t>Improving reliability of R-SV transmissions</w:t>
            </w:r>
          </w:p>
          <w:p w:rsidR="004042A1" w:rsidRPr="004042A1" w:rsidRDefault="004042A1" w:rsidP="004042A1">
            <w:pPr>
              <w:tabs>
                <w:tab w:val="left" w:pos="0"/>
              </w:tabs>
              <w:ind w:left="0" w:firstLine="0"/>
              <w:rPr>
                <w:rFonts w:eastAsia="Calibri"/>
                <w:bCs/>
                <w:szCs w:val="22"/>
              </w:rPr>
            </w:pPr>
            <w:r w:rsidRPr="004042A1">
              <w:rPr>
                <w:rFonts w:eastAsia="Calibri"/>
                <w:bCs/>
                <w:szCs w:val="22"/>
              </w:rPr>
              <w:t>The use of multicast (UDP or Ethernet) does not guarantee message/data delivery. In most multicast protocols, a lost packet is not automatically detected and re-transmitted.</w:t>
            </w:r>
          </w:p>
          <w:p w:rsidR="004042A1" w:rsidRPr="004042A1" w:rsidRDefault="004042A1" w:rsidP="004042A1">
            <w:pPr>
              <w:tabs>
                <w:tab w:val="left" w:pos="0"/>
              </w:tabs>
              <w:ind w:left="0" w:firstLine="0"/>
              <w:rPr>
                <w:rFonts w:eastAsia="Calibri"/>
                <w:bCs/>
                <w:szCs w:val="22"/>
              </w:rPr>
            </w:pPr>
            <w:r w:rsidRPr="004042A1">
              <w:rPr>
                <w:rFonts w:eastAsia="Calibri"/>
                <w:bCs/>
                <w:szCs w:val="22"/>
              </w:rPr>
              <w:t xml:space="preserve">The GOOSE send service and message, as specified in IEC 61850-8-1, addresses this issue through a repeat mechanism where the transmitted dataset is repeated several times after the initial changed data packet is sent. As such, there is a very high probability, given that the network is intact, that a lost GOOSE message will </w:t>
            </w:r>
            <w:r w:rsidRPr="004042A1">
              <w:rPr>
                <w:rFonts w:eastAsia="Calibri"/>
                <w:bCs/>
                <w:szCs w:val="22"/>
              </w:rPr>
              <w:lastRenderedPageBreak/>
              <w:t>eventually be received. The R-GOOSE, in that it inherits the operational characteristics of the GOOSE, will possess this message repeat function.</w:t>
            </w:r>
          </w:p>
          <w:p w:rsidR="004042A1" w:rsidRPr="004042A1" w:rsidRDefault="004042A1" w:rsidP="004042A1">
            <w:pPr>
              <w:tabs>
                <w:tab w:val="left" w:pos="0"/>
              </w:tabs>
              <w:ind w:left="0" w:firstLine="0"/>
              <w:rPr>
                <w:rFonts w:eastAsia="Calibri"/>
                <w:bCs/>
                <w:szCs w:val="22"/>
              </w:rPr>
            </w:pPr>
            <w:r w:rsidRPr="004042A1">
              <w:rPr>
                <w:rFonts w:eastAsia="Calibri"/>
                <w:bCs/>
                <w:szCs w:val="22"/>
              </w:rPr>
              <w:t>Sample Values, on the other hand, do not possess a repeat mechanism. In certain circumstances (especially at low message send rates), it may be desirable to increase the reliability of the received data. This can be achieved through a re-transmit of the R-SV data packet. In as much as the subscriber is designed to identify and reject duplicate packets, re- sending the exact same data packet is an effective way to achieve higher-reliability when desired. The re-launch mechanism, number of re-tries, and time between retries is a  local issue.</w:t>
            </w:r>
          </w:p>
          <w:p w:rsidR="004042A1" w:rsidRPr="004042A1" w:rsidRDefault="004042A1" w:rsidP="004042A1">
            <w:pPr>
              <w:tabs>
                <w:tab w:val="left" w:pos="0"/>
              </w:tabs>
              <w:ind w:left="0" w:firstLine="0"/>
              <w:rPr>
                <w:rFonts w:eastAsia="Calibri"/>
                <w:bCs/>
                <w:szCs w:val="22"/>
              </w:rPr>
            </w:pPr>
          </w:p>
          <w:p w:rsidR="004042A1" w:rsidRDefault="004042A1" w:rsidP="004042A1">
            <w:pPr>
              <w:tabs>
                <w:tab w:val="left" w:pos="0"/>
              </w:tabs>
              <w:ind w:left="0" w:firstLine="0"/>
              <w:rPr>
                <w:rFonts w:eastAsia="Calibri"/>
                <w:bCs/>
                <w:szCs w:val="22"/>
              </w:rPr>
            </w:pPr>
            <w:r w:rsidRPr="004042A1">
              <w:rPr>
                <w:rFonts w:eastAsia="Calibri"/>
                <w:bCs/>
                <w:szCs w:val="22"/>
              </w:rPr>
              <w:t>For such re-transmissions, the SPDU Number needs to be  identical to  the  original packet.  This is required in order to allow the subscriber to detect duplicate delivery should the original packet have been received. It is further recommended that the contents of the entire SPDU be  a duplicate of the original packet that is being repeated.</w:t>
            </w:r>
          </w:p>
          <w:p w:rsidR="004042A1" w:rsidRDefault="004042A1" w:rsidP="004042A1">
            <w:pPr>
              <w:tabs>
                <w:tab w:val="left" w:pos="0"/>
              </w:tabs>
              <w:ind w:left="0" w:firstLine="0"/>
              <w:rPr>
                <w:rFonts w:eastAsia="Calibri"/>
                <w:bCs/>
                <w:szCs w:val="22"/>
              </w:rPr>
            </w:pPr>
          </w:p>
          <w:p w:rsidR="004042A1" w:rsidRPr="004042A1" w:rsidRDefault="004042A1" w:rsidP="004042A1">
            <w:pPr>
              <w:tabs>
                <w:tab w:val="left" w:pos="0"/>
              </w:tabs>
              <w:ind w:left="0" w:firstLine="0"/>
              <w:rPr>
                <w:rFonts w:eastAsia="Calibri"/>
                <w:bCs/>
                <w:szCs w:val="22"/>
              </w:rPr>
            </w:pPr>
          </w:p>
          <w:p w:rsidR="004042A1" w:rsidRPr="004042A1" w:rsidRDefault="004042A1" w:rsidP="004042A1">
            <w:pPr>
              <w:tabs>
                <w:tab w:val="left" w:pos="0"/>
              </w:tabs>
              <w:ind w:left="0" w:firstLine="0"/>
              <w:jc w:val="center"/>
              <w:rPr>
                <w:rFonts w:eastAsia="Calibri"/>
                <w:bCs/>
                <w:szCs w:val="22"/>
              </w:rPr>
            </w:pPr>
            <w:r w:rsidRPr="004042A1">
              <w:rPr>
                <w:rFonts w:eastAsia="Calibri"/>
                <w:b/>
                <w:bCs/>
                <w:szCs w:val="22"/>
              </w:rPr>
              <w:t>Annex I</w:t>
            </w:r>
            <w:r w:rsidRPr="004042A1">
              <w:rPr>
                <w:rFonts w:eastAsia="Calibri"/>
                <w:bCs/>
                <w:szCs w:val="22"/>
              </w:rPr>
              <w:t xml:space="preserve">                                                     (informative)</w:t>
            </w:r>
          </w:p>
          <w:p w:rsidR="004042A1" w:rsidRPr="004042A1" w:rsidRDefault="004042A1" w:rsidP="004042A1">
            <w:pPr>
              <w:tabs>
                <w:tab w:val="left" w:pos="0"/>
              </w:tabs>
              <w:ind w:left="0" w:firstLine="0"/>
              <w:rPr>
                <w:rFonts w:eastAsia="Calibri"/>
                <w:b/>
                <w:bCs/>
                <w:szCs w:val="22"/>
              </w:rPr>
            </w:pPr>
            <w:r w:rsidRPr="004042A1">
              <w:rPr>
                <w:rFonts w:eastAsia="Calibri"/>
                <w:b/>
                <w:bCs/>
                <w:szCs w:val="22"/>
              </w:rPr>
              <w:t>Guidance on HMAC and truncation</w:t>
            </w:r>
          </w:p>
          <w:p w:rsidR="004042A1" w:rsidRPr="004042A1" w:rsidRDefault="004042A1" w:rsidP="004042A1">
            <w:pPr>
              <w:tabs>
                <w:tab w:val="left" w:pos="0"/>
              </w:tabs>
              <w:ind w:left="0" w:firstLine="0"/>
              <w:rPr>
                <w:rFonts w:eastAsia="Calibri"/>
                <w:bCs/>
                <w:szCs w:val="22"/>
              </w:rPr>
            </w:pPr>
            <w:r w:rsidRPr="004042A1">
              <w:rPr>
                <w:rFonts w:eastAsia="Calibri"/>
                <w:bCs/>
                <w:szCs w:val="22"/>
              </w:rPr>
              <w:t xml:space="preserve">HMAC is a standard approach for achieving two-party authentication via shared symmetric keys. The HMAC standards and guidelines [6], [4], [5], [8], [9] </w:t>
            </w:r>
            <w:hyperlink w:anchor="_bookmark95" w:history="1">
              <w:r w:rsidRPr="004042A1">
                <w:rPr>
                  <w:rFonts w:eastAsia="Calibri"/>
                  <w:bCs/>
                  <w:szCs w:val="22"/>
                </w:rPr>
                <w:t>1</w:t>
              </w:r>
            </w:hyperlink>
            <w:r w:rsidRPr="004042A1">
              <w:rPr>
                <w:rFonts w:eastAsia="Calibri"/>
                <w:bCs/>
                <w:szCs w:val="22"/>
              </w:rPr>
              <w:t xml:space="preserve"> provide techniques and protocols to use HMAC such that the resulting authentication protocol is secure and resistant   to replay attacks. One effective approach for dealing with replay attacks  is  to  ensure  that there is either a unique sequence number or a nonce for each </w:t>
            </w:r>
            <w:r w:rsidRPr="004042A1">
              <w:rPr>
                <w:rFonts w:eastAsia="Calibri"/>
                <w:bCs/>
                <w:szCs w:val="22"/>
              </w:rPr>
              <w:lastRenderedPageBreak/>
              <w:t>message for any given shared key. This can be achieved by using either sequence numbers or nonces [8]. When HMAC is used for authentication, truncation of the output is an option occasionally used to conserve bandwidth. Truncation is considered reasonable in HMAC standards  [4], [9] and is also used  in practice; e.g., in TLS [7].</w:t>
            </w:r>
          </w:p>
          <w:p w:rsidR="004042A1" w:rsidRPr="004042A1" w:rsidRDefault="004042A1" w:rsidP="004042A1">
            <w:pPr>
              <w:tabs>
                <w:tab w:val="left" w:pos="0"/>
              </w:tabs>
              <w:ind w:left="0" w:firstLine="0"/>
              <w:rPr>
                <w:rFonts w:eastAsia="Calibri"/>
                <w:bCs/>
                <w:szCs w:val="22"/>
              </w:rPr>
            </w:pPr>
            <w:r w:rsidRPr="004042A1">
              <w:rPr>
                <w:rFonts w:eastAsia="Calibri"/>
                <w:bCs/>
                <w:szCs w:val="22"/>
              </w:rPr>
              <w:t>The following are some guidelines regarding the use of truncation from HMAC standards and guidelines.</w:t>
            </w:r>
          </w:p>
          <w:p w:rsidR="004042A1" w:rsidRPr="004042A1" w:rsidRDefault="004042A1" w:rsidP="00472036">
            <w:pPr>
              <w:pStyle w:val="ListParagraph"/>
              <w:widowControl w:val="0"/>
              <w:numPr>
                <w:ilvl w:val="0"/>
                <w:numId w:val="37"/>
              </w:numPr>
              <w:tabs>
                <w:tab w:val="left" w:pos="0"/>
                <w:tab w:val="left" w:pos="459"/>
              </w:tabs>
              <w:autoSpaceDE w:val="0"/>
              <w:autoSpaceDN w:val="0"/>
              <w:spacing w:before="196" w:after="0"/>
              <w:ind w:left="0" w:right="406" w:firstLine="0"/>
              <w:contextualSpacing w:val="0"/>
              <w:rPr>
                <w:rFonts w:eastAsia="Calibri"/>
                <w:bCs/>
                <w:szCs w:val="22"/>
              </w:rPr>
            </w:pPr>
            <w:r w:rsidRPr="004042A1">
              <w:rPr>
                <w:rFonts w:eastAsia="Calibri"/>
                <w:bCs/>
                <w:szCs w:val="22"/>
              </w:rPr>
              <w:t>“The results in this area are not absolute as for the overall security advantages of truncation. ... Applications of HMAC can choose to truncate the output of HMAC by outputting the t leftmost bits of the HMAC computation for some parameter t ... We recommend that the output length t be not less than half the length of the hash output (to match the birthday attack bound) and not less than 80 bits.” [6]</w:t>
            </w:r>
          </w:p>
          <w:p w:rsidR="004042A1" w:rsidRPr="004042A1" w:rsidRDefault="004042A1" w:rsidP="00472036">
            <w:pPr>
              <w:pStyle w:val="ListParagraph"/>
              <w:widowControl w:val="0"/>
              <w:numPr>
                <w:ilvl w:val="0"/>
                <w:numId w:val="37"/>
              </w:numPr>
              <w:tabs>
                <w:tab w:val="left" w:pos="0"/>
                <w:tab w:val="left" w:pos="459"/>
              </w:tabs>
              <w:autoSpaceDE w:val="0"/>
              <w:autoSpaceDN w:val="0"/>
              <w:spacing w:before="101" w:after="0"/>
              <w:ind w:left="0" w:right="405" w:firstLine="0"/>
              <w:contextualSpacing w:val="0"/>
              <w:rPr>
                <w:rFonts w:eastAsia="Calibri"/>
                <w:bCs/>
                <w:szCs w:val="22"/>
              </w:rPr>
            </w:pPr>
            <w:r w:rsidRPr="004042A1">
              <w:rPr>
                <w:rFonts w:eastAsia="Calibri"/>
                <w:bCs/>
                <w:szCs w:val="22"/>
              </w:rPr>
              <w:t>“When a truncated HMAC is used, the leftmost bytes of the HMAC computation shall be used as the MAC. The output length, shall be no less than four bytes ... However, t  shall  be at least L/2 bytes unless an application or protocol makes numerous trials impractical” [1]. Note that FIPS 198 [1] has been superseded by FIPS 198-1 [5], which defers to NIST-SP800-107 for truncation [6].</w:t>
            </w:r>
          </w:p>
          <w:p w:rsidR="004042A1" w:rsidRPr="004042A1" w:rsidRDefault="004042A1" w:rsidP="00472036">
            <w:pPr>
              <w:pStyle w:val="ListParagraph"/>
              <w:widowControl w:val="0"/>
              <w:numPr>
                <w:ilvl w:val="0"/>
                <w:numId w:val="37"/>
              </w:numPr>
              <w:tabs>
                <w:tab w:val="left" w:pos="0"/>
                <w:tab w:val="left" w:pos="459"/>
              </w:tabs>
              <w:autoSpaceDE w:val="0"/>
              <w:autoSpaceDN w:val="0"/>
              <w:spacing w:before="99" w:after="0"/>
              <w:ind w:left="0" w:right="403" w:firstLine="0"/>
              <w:contextualSpacing w:val="0"/>
              <w:rPr>
                <w:rFonts w:eastAsia="Calibri"/>
                <w:bCs/>
                <w:szCs w:val="22"/>
              </w:rPr>
            </w:pPr>
            <w:r w:rsidRPr="004042A1">
              <w:rPr>
                <w:rFonts w:eastAsia="Calibri"/>
                <w:bCs/>
                <w:szCs w:val="22"/>
              </w:rPr>
              <w:t>“The length of a MacTag shall be sufficiently long to prevent false acceptance of forged data. For most applications, a length of 64 to 96 bits is sufficient.” [9]</w:t>
            </w:r>
          </w:p>
          <w:p w:rsidR="004042A1" w:rsidRPr="004042A1" w:rsidRDefault="004042A1" w:rsidP="004042A1">
            <w:pPr>
              <w:pStyle w:val="BodyText"/>
              <w:tabs>
                <w:tab w:val="left" w:pos="0"/>
              </w:tabs>
              <w:spacing w:before="6" w:line="276" w:lineRule="auto"/>
              <w:jc w:val="both"/>
              <w:rPr>
                <w:rFonts w:eastAsia="Calibri"/>
                <w:sz w:val="24"/>
                <w:szCs w:val="22"/>
                <w:lang w:val="mn-MN"/>
              </w:rPr>
            </w:pPr>
          </w:p>
          <w:p w:rsidR="004042A1" w:rsidRPr="004042A1" w:rsidRDefault="004042A1" w:rsidP="004042A1">
            <w:pPr>
              <w:pStyle w:val="BodyText"/>
              <w:tabs>
                <w:tab w:val="left" w:pos="0"/>
              </w:tabs>
              <w:spacing w:line="276" w:lineRule="auto"/>
              <w:jc w:val="both"/>
              <w:rPr>
                <w:rFonts w:eastAsia="Calibri"/>
                <w:sz w:val="24"/>
                <w:szCs w:val="22"/>
                <w:lang w:val="mn-MN"/>
              </w:rPr>
            </w:pPr>
            <w:r w:rsidRPr="004042A1">
              <w:rPr>
                <w:rFonts w:eastAsia="Calibri"/>
                <w:sz w:val="24"/>
                <w:szCs w:val="22"/>
                <w:lang w:val="mn-MN"/>
              </w:rPr>
              <w:t xml:space="preserve">As a practical example, TLS recommends </w:t>
            </w:r>
            <w:r w:rsidRPr="004042A1">
              <w:rPr>
                <w:rFonts w:eastAsia="Calibri"/>
                <w:sz w:val="24"/>
                <w:szCs w:val="22"/>
                <w:lang w:val="mn-MN"/>
              </w:rPr>
              <w:lastRenderedPageBreak/>
              <w:t>a 96 bit truncated output [7].</w:t>
            </w:r>
          </w:p>
        </w:tc>
      </w:tr>
    </w:tbl>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Default="004042A1" w:rsidP="00F57390">
      <w:pPr>
        <w:ind w:left="0" w:firstLine="0"/>
        <w:jc w:val="center"/>
        <w:rPr>
          <w:b/>
          <w:lang w:val="en-US"/>
        </w:rPr>
      </w:pPr>
    </w:p>
    <w:p w:rsidR="004042A1" w:rsidRPr="00EA2FCA" w:rsidRDefault="004042A1" w:rsidP="004042A1">
      <w:pPr>
        <w:pStyle w:val="Heading3"/>
        <w:tabs>
          <w:tab w:val="left" w:pos="0"/>
        </w:tabs>
        <w:spacing w:before="91" w:line="276" w:lineRule="auto"/>
        <w:jc w:val="center"/>
        <w:rPr>
          <w:rFonts w:ascii="Arial" w:hAnsi="Arial" w:cs="Arial"/>
          <w:color w:val="auto"/>
          <w:lang w:val="mn-MN"/>
        </w:rPr>
      </w:pPr>
      <w:r w:rsidRPr="00EF2D2B">
        <w:rPr>
          <w:rFonts w:ascii="Arial" w:hAnsi="Arial" w:cs="Arial"/>
          <w:color w:val="auto"/>
          <w:lang w:val="mn-MN"/>
        </w:rPr>
        <w:lastRenderedPageBreak/>
        <w:t>Bibliography</w:t>
      </w:r>
    </w:p>
    <w:p w:rsidR="004042A1" w:rsidRPr="00EA2FCA" w:rsidRDefault="004042A1" w:rsidP="00472036">
      <w:pPr>
        <w:pStyle w:val="ListParagraph"/>
        <w:widowControl w:val="0"/>
        <w:numPr>
          <w:ilvl w:val="0"/>
          <w:numId w:val="35"/>
        </w:numPr>
        <w:tabs>
          <w:tab w:val="left" w:pos="0"/>
          <w:tab w:val="left" w:pos="1076"/>
        </w:tabs>
        <w:autoSpaceDE w:val="0"/>
        <w:autoSpaceDN w:val="0"/>
        <w:spacing w:after="0"/>
        <w:ind w:right="399"/>
        <w:contextualSpacing w:val="0"/>
        <w:rPr>
          <w:i/>
        </w:rPr>
      </w:pPr>
      <w:r w:rsidRPr="00EF2D2B">
        <w:rPr>
          <w:spacing w:val="7"/>
        </w:rPr>
        <w:t xml:space="preserve">“Undervoltage </w:t>
      </w:r>
      <w:r w:rsidRPr="00EF2D2B">
        <w:rPr>
          <w:spacing w:val="6"/>
        </w:rPr>
        <w:t xml:space="preserve">load </w:t>
      </w:r>
      <w:r w:rsidRPr="00EF2D2B">
        <w:rPr>
          <w:spacing w:val="7"/>
        </w:rPr>
        <w:t xml:space="preserve">shedding protection”, </w:t>
      </w:r>
      <w:r w:rsidRPr="00EF2D2B">
        <w:rPr>
          <w:spacing w:val="6"/>
        </w:rPr>
        <w:t xml:space="preserve">IEEE Power System Relaying </w:t>
      </w:r>
      <w:r w:rsidRPr="00EF2D2B">
        <w:rPr>
          <w:spacing w:val="8"/>
        </w:rPr>
        <w:t xml:space="preserve">Committee, </w:t>
      </w:r>
      <w:r w:rsidRPr="00EF2D2B">
        <w:rPr>
          <w:spacing w:val="5"/>
        </w:rPr>
        <w:t xml:space="preserve">C13   </w:t>
      </w:r>
      <w:r w:rsidRPr="00EF2D2B">
        <w:rPr>
          <w:spacing w:val="7"/>
        </w:rPr>
        <w:t xml:space="preserve">Working   </w:t>
      </w:r>
      <w:r w:rsidRPr="00EF2D2B">
        <w:rPr>
          <w:spacing w:val="6"/>
        </w:rPr>
        <w:t xml:space="preserve">Group Report   </w:t>
      </w:r>
      <w:r w:rsidRPr="00EF2D2B">
        <w:rPr>
          <w:spacing w:val="7"/>
        </w:rPr>
        <w:t xml:space="preserve">(available   </w:t>
      </w:r>
      <w:r w:rsidRPr="00EF2D2B">
        <w:rPr>
          <w:spacing w:val="3"/>
        </w:rPr>
        <w:t xml:space="preserve">in   </w:t>
      </w:r>
      <w:hyperlink r:id="rId127">
        <w:r w:rsidRPr="00EF2D2B">
          <w:rPr>
            <w:spacing w:val="7"/>
          </w:rPr>
          <w:t>http://www.pes-psrc.org/c/</w:t>
        </w:r>
      </w:hyperlink>
      <w:r w:rsidRPr="00EF2D2B">
        <w:rPr>
          <w:spacing w:val="7"/>
        </w:rPr>
        <w:t xml:space="preserve">)   </w:t>
      </w:r>
      <w:r w:rsidRPr="00731F96">
        <w:rPr>
          <w:i/>
          <w:spacing w:val="6"/>
        </w:rPr>
        <w:t xml:space="preserve">(website </w:t>
      </w:r>
      <w:r w:rsidRPr="00EF2D2B">
        <w:rPr>
          <w:i/>
          <w:spacing w:val="7"/>
        </w:rPr>
        <w:t>checked2012-04-02)</w:t>
      </w:r>
    </w:p>
    <w:p w:rsidR="004042A1" w:rsidRPr="00EA2FCA" w:rsidRDefault="004042A1" w:rsidP="00472036">
      <w:pPr>
        <w:pStyle w:val="ListParagraph"/>
        <w:widowControl w:val="0"/>
        <w:numPr>
          <w:ilvl w:val="0"/>
          <w:numId w:val="35"/>
        </w:numPr>
        <w:tabs>
          <w:tab w:val="left" w:pos="0"/>
          <w:tab w:val="left" w:pos="1076"/>
        </w:tabs>
        <w:autoSpaceDE w:val="0"/>
        <w:autoSpaceDN w:val="0"/>
        <w:spacing w:after="0"/>
        <w:ind w:left="1075" w:right="407"/>
        <w:contextualSpacing w:val="0"/>
      </w:pPr>
      <w:r w:rsidRPr="00EF2D2B">
        <w:rPr>
          <w:spacing w:val="6"/>
        </w:rPr>
        <w:t xml:space="preserve">IMAI, </w:t>
      </w:r>
      <w:r w:rsidRPr="00EF2D2B">
        <w:rPr>
          <w:spacing w:val="5"/>
        </w:rPr>
        <w:t xml:space="preserve">S., </w:t>
      </w:r>
      <w:r w:rsidRPr="00EF2D2B">
        <w:rPr>
          <w:spacing w:val="7"/>
        </w:rPr>
        <w:t xml:space="preserve">“Undervoltage </w:t>
      </w:r>
      <w:r w:rsidRPr="00EF2D2B">
        <w:rPr>
          <w:spacing w:val="5"/>
        </w:rPr>
        <w:t xml:space="preserve">load </w:t>
      </w:r>
      <w:r w:rsidRPr="00EF2D2B">
        <w:rPr>
          <w:spacing w:val="7"/>
        </w:rPr>
        <w:t xml:space="preserve">shedding improving security </w:t>
      </w:r>
      <w:r w:rsidRPr="00EF2D2B">
        <w:rPr>
          <w:spacing w:val="3"/>
        </w:rPr>
        <w:t xml:space="preserve">as  </w:t>
      </w:r>
      <w:r w:rsidRPr="00EF2D2B">
        <w:rPr>
          <w:spacing w:val="7"/>
        </w:rPr>
        <w:t xml:space="preserve">reasonable </w:t>
      </w:r>
      <w:r w:rsidRPr="00EF2D2B">
        <w:rPr>
          <w:spacing w:val="6"/>
        </w:rPr>
        <w:t xml:space="preserve">measure  </w:t>
      </w:r>
      <w:r w:rsidRPr="00EF2D2B">
        <w:rPr>
          <w:spacing w:val="5"/>
        </w:rPr>
        <w:t xml:space="preserve">for </w:t>
      </w:r>
      <w:r w:rsidRPr="00EF2D2B">
        <w:rPr>
          <w:spacing w:val="6"/>
        </w:rPr>
        <w:t xml:space="preserve">extreme </w:t>
      </w:r>
      <w:r w:rsidRPr="00EF2D2B">
        <w:rPr>
          <w:spacing w:val="7"/>
        </w:rPr>
        <w:t xml:space="preserve">contingencies”, </w:t>
      </w:r>
      <w:r w:rsidRPr="00EF2D2B">
        <w:rPr>
          <w:spacing w:val="6"/>
        </w:rPr>
        <w:t xml:space="preserve">IEEE Power </w:t>
      </w:r>
      <w:r w:rsidRPr="00EF2D2B">
        <w:rPr>
          <w:spacing w:val="7"/>
        </w:rPr>
        <w:t xml:space="preserve">Engineering Society </w:t>
      </w:r>
      <w:r w:rsidRPr="00EF2D2B">
        <w:rPr>
          <w:spacing w:val="6"/>
        </w:rPr>
        <w:t xml:space="preserve">General </w:t>
      </w:r>
      <w:r w:rsidRPr="00EF2D2B">
        <w:rPr>
          <w:spacing w:val="7"/>
        </w:rPr>
        <w:t xml:space="preserve">Meeting,  </w:t>
      </w:r>
      <w:r w:rsidRPr="00EF2D2B">
        <w:rPr>
          <w:spacing w:val="6"/>
        </w:rPr>
        <w:t>2005,</w:t>
      </w:r>
      <w:r w:rsidRPr="00EF2D2B">
        <w:rPr>
          <w:spacing w:val="8"/>
        </w:rPr>
        <w:t>IEEE</w:t>
      </w:r>
    </w:p>
    <w:p w:rsidR="004042A1" w:rsidRPr="00EF2D2B" w:rsidRDefault="004042A1" w:rsidP="00472036">
      <w:pPr>
        <w:pStyle w:val="ListParagraph"/>
        <w:widowControl w:val="0"/>
        <w:numPr>
          <w:ilvl w:val="0"/>
          <w:numId w:val="35"/>
        </w:numPr>
        <w:tabs>
          <w:tab w:val="left" w:pos="0"/>
          <w:tab w:val="left" w:pos="1076"/>
        </w:tabs>
        <w:autoSpaceDE w:val="0"/>
        <w:autoSpaceDN w:val="0"/>
        <w:spacing w:after="0"/>
        <w:ind w:left="1075" w:right="397"/>
        <w:contextualSpacing w:val="0"/>
      </w:pPr>
      <w:r w:rsidRPr="00EF2D2B">
        <w:rPr>
          <w:spacing w:val="6"/>
        </w:rPr>
        <w:t>OHURA</w:t>
      </w:r>
      <w:r w:rsidRPr="00EF2D2B">
        <w:rPr>
          <w:spacing w:val="5"/>
        </w:rPr>
        <w:t xml:space="preserve">Y., </w:t>
      </w:r>
      <w:r w:rsidRPr="00EF2D2B">
        <w:rPr>
          <w:spacing w:val="6"/>
        </w:rPr>
        <w:t xml:space="preserve">SUZUKI </w:t>
      </w:r>
      <w:r w:rsidRPr="00EF2D2B">
        <w:rPr>
          <w:spacing w:val="5"/>
        </w:rPr>
        <w:t xml:space="preserve">M., </w:t>
      </w:r>
      <w:r w:rsidRPr="00EF2D2B">
        <w:rPr>
          <w:spacing w:val="7"/>
        </w:rPr>
        <w:t xml:space="preserve">YANAGIHASHI </w:t>
      </w:r>
      <w:r w:rsidRPr="00EF2D2B">
        <w:rPr>
          <w:spacing w:val="5"/>
        </w:rPr>
        <w:t xml:space="preserve">K., </w:t>
      </w:r>
      <w:r w:rsidRPr="00EF2D2B">
        <w:rPr>
          <w:spacing w:val="6"/>
        </w:rPr>
        <w:t xml:space="preserve">YAMAURA  </w:t>
      </w:r>
      <w:r w:rsidRPr="00EF2D2B">
        <w:rPr>
          <w:spacing w:val="5"/>
        </w:rPr>
        <w:t xml:space="preserve">M.,  </w:t>
      </w:r>
      <w:r w:rsidRPr="00EF2D2B">
        <w:rPr>
          <w:spacing w:val="7"/>
        </w:rPr>
        <w:t xml:space="preserve">OMATA  K., NAKAMURA </w:t>
      </w:r>
      <w:r w:rsidRPr="00EF2D2B">
        <w:rPr>
          <w:spacing w:val="5"/>
        </w:rPr>
        <w:t xml:space="preserve">T., </w:t>
      </w:r>
      <w:r w:rsidRPr="00EF2D2B">
        <w:rPr>
          <w:spacing w:val="7"/>
        </w:rPr>
        <w:t xml:space="preserve">MITAMURA </w:t>
      </w:r>
      <w:r w:rsidRPr="00EF2D2B">
        <w:rPr>
          <w:spacing w:val="3"/>
        </w:rPr>
        <w:t xml:space="preserve">S. </w:t>
      </w:r>
      <w:r w:rsidRPr="00EF2D2B">
        <w:t>&amp;</w:t>
      </w:r>
      <w:r w:rsidRPr="00EF2D2B">
        <w:rPr>
          <w:spacing w:val="7"/>
        </w:rPr>
        <w:t xml:space="preserve">WATANABE </w:t>
      </w:r>
      <w:r w:rsidRPr="00EF2D2B">
        <w:rPr>
          <w:spacing w:val="5"/>
        </w:rPr>
        <w:t xml:space="preserve">H., “A </w:t>
      </w:r>
      <w:r w:rsidRPr="00EF2D2B">
        <w:rPr>
          <w:spacing w:val="7"/>
        </w:rPr>
        <w:t xml:space="preserve">Predictive </w:t>
      </w:r>
      <w:r w:rsidRPr="00EF2D2B">
        <w:rPr>
          <w:spacing w:val="8"/>
        </w:rPr>
        <w:t xml:space="preserve">Out-of-step </w:t>
      </w:r>
      <w:r w:rsidRPr="00EF2D2B">
        <w:rPr>
          <w:spacing w:val="7"/>
        </w:rPr>
        <w:t xml:space="preserve">Protection </w:t>
      </w:r>
      <w:r w:rsidRPr="00EF2D2B">
        <w:rPr>
          <w:spacing w:val="6"/>
        </w:rPr>
        <w:t xml:space="preserve">Based </w:t>
      </w:r>
      <w:r w:rsidRPr="00EF2D2B">
        <w:rPr>
          <w:spacing w:val="4"/>
        </w:rPr>
        <w:t>on</w:t>
      </w:r>
      <w:r w:rsidRPr="00EF2D2B">
        <w:rPr>
          <w:spacing w:val="7"/>
        </w:rPr>
        <w:t xml:space="preserve">Observation </w:t>
      </w:r>
      <w:r w:rsidRPr="00EF2D2B">
        <w:rPr>
          <w:spacing w:val="3"/>
        </w:rPr>
        <w:t xml:space="preserve">of </w:t>
      </w:r>
      <w:r w:rsidRPr="00EF2D2B">
        <w:rPr>
          <w:spacing w:val="5"/>
        </w:rPr>
        <w:t xml:space="preserve">the </w:t>
      </w:r>
      <w:r w:rsidRPr="00EF2D2B">
        <w:rPr>
          <w:spacing w:val="6"/>
        </w:rPr>
        <w:t xml:space="preserve">Phase Difference </w:t>
      </w:r>
      <w:r w:rsidRPr="00EF2D2B">
        <w:rPr>
          <w:spacing w:val="7"/>
        </w:rPr>
        <w:t>betweenSubstations”,</w:t>
      </w:r>
    </w:p>
    <w:p w:rsidR="004042A1" w:rsidRPr="00EF2D2B" w:rsidRDefault="004042A1" w:rsidP="004042A1">
      <w:pPr>
        <w:pStyle w:val="BodyText"/>
        <w:tabs>
          <w:tab w:val="left" w:pos="0"/>
        </w:tabs>
        <w:spacing w:before="1" w:line="276" w:lineRule="auto"/>
        <w:ind w:left="1075"/>
        <w:jc w:val="both"/>
        <w:rPr>
          <w:sz w:val="24"/>
          <w:szCs w:val="24"/>
          <w:lang w:val="mn-MN"/>
        </w:rPr>
      </w:pPr>
      <w:r w:rsidRPr="00EF2D2B">
        <w:rPr>
          <w:spacing w:val="5"/>
          <w:sz w:val="24"/>
          <w:szCs w:val="24"/>
          <w:lang w:val="mn-MN"/>
        </w:rPr>
        <w:t xml:space="preserve">IEEE </w:t>
      </w:r>
      <w:r w:rsidRPr="00EF2D2B">
        <w:rPr>
          <w:spacing w:val="6"/>
          <w:sz w:val="24"/>
          <w:szCs w:val="24"/>
          <w:lang w:val="mn-MN"/>
        </w:rPr>
        <w:t xml:space="preserve">Trans. Power </w:t>
      </w:r>
      <w:r w:rsidRPr="00EF2D2B">
        <w:rPr>
          <w:spacing w:val="7"/>
          <w:sz w:val="24"/>
          <w:szCs w:val="24"/>
          <w:lang w:val="mn-MN"/>
        </w:rPr>
        <w:t xml:space="preserve">Delivery, </w:t>
      </w:r>
      <w:r w:rsidRPr="00EF2D2B">
        <w:rPr>
          <w:spacing w:val="6"/>
          <w:sz w:val="24"/>
          <w:szCs w:val="24"/>
          <w:lang w:val="mn-MN"/>
        </w:rPr>
        <w:t>PWRD-5. No.4</w:t>
      </w:r>
      <w:r w:rsidRPr="00EF2D2B">
        <w:rPr>
          <w:spacing w:val="7"/>
          <w:sz w:val="24"/>
          <w:szCs w:val="24"/>
          <w:lang w:val="mn-MN"/>
        </w:rPr>
        <w:t>Nov.1990</w:t>
      </w:r>
    </w:p>
    <w:p w:rsidR="004042A1" w:rsidRPr="00EF2D2B" w:rsidRDefault="004042A1" w:rsidP="00472036">
      <w:pPr>
        <w:pStyle w:val="ListParagraph"/>
        <w:widowControl w:val="0"/>
        <w:numPr>
          <w:ilvl w:val="0"/>
          <w:numId w:val="35"/>
        </w:numPr>
        <w:tabs>
          <w:tab w:val="left" w:pos="0"/>
          <w:tab w:val="left" w:pos="1076"/>
        </w:tabs>
        <w:autoSpaceDE w:val="0"/>
        <w:autoSpaceDN w:val="0"/>
        <w:spacing w:after="0"/>
        <w:ind w:left="1075" w:right="399" w:hanging="599"/>
        <w:contextualSpacing w:val="0"/>
      </w:pPr>
      <w:r w:rsidRPr="00EF2D2B">
        <w:rPr>
          <w:spacing w:val="6"/>
        </w:rPr>
        <w:t>National</w:t>
      </w:r>
      <w:r w:rsidRPr="00EF2D2B">
        <w:rPr>
          <w:spacing w:val="7"/>
        </w:rPr>
        <w:t xml:space="preserve">Institute </w:t>
      </w:r>
      <w:r w:rsidRPr="00EF2D2B">
        <w:rPr>
          <w:spacing w:val="3"/>
        </w:rPr>
        <w:t xml:space="preserve">of </w:t>
      </w:r>
      <w:r w:rsidRPr="00EF2D2B">
        <w:rPr>
          <w:spacing w:val="6"/>
        </w:rPr>
        <w:t xml:space="preserve">Standards  </w:t>
      </w:r>
      <w:r w:rsidRPr="00EF2D2B">
        <w:rPr>
          <w:spacing w:val="5"/>
        </w:rPr>
        <w:t xml:space="preserve">and </w:t>
      </w:r>
      <w:r w:rsidRPr="00EF2D2B">
        <w:rPr>
          <w:spacing w:val="7"/>
        </w:rPr>
        <w:t xml:space="preserve">Technology, </w:t>
      </w:r>
      <w:r w:rsidRPr="00EF2D2B">
        <w:rPr>
          <w:spacing w:val="6"/>
        </w:rPr>
        <w:t xml:space="preserve">The  </w:t>
      </w:r>
      <w:r w:rsidRPr="00EF2D2B">
        <w:rPr>
          <w:spacing w:val="7"/>
        </w:rPr>
        <w:t xml:space="preserve">Keyed-Hash Message Authentication </w:t>
      </w:r>
      <w:r w:rsidRPr="00EF2D2B">
        <w:rPr>
          <w:spacing w:val="6"/>
        </w:rPr>
        <w:t xml:space="preserve">Code (HMAC), </w:t>
      </w:r>
      <w:r w:rsidRPr="00EF2D2B">
        <w:rPr>
          <w:spacing w:val="7"/>
        </w:rPr>
        <w:t xml:space="preserve">(Standard, </w:t>
      </w:r>
      <w:r w:rsidRPr="00EF2D2B">
        <w:rPr>
          <w:spacing w:val="6"/>
        </w:rPr>
        <w:t xml:space="preserve">2002). </w:t>
      </w:r>
      <w:r w:rsidRPr="00EF2D2B">
        <w:rPr>
          <w:spacing w:val="7"/>
        </w:rPr>
        <w:t xml:space="preserve">Available </w:t>
      </w:r>
      <w:r w:rsidRPr="00EF2D2B">
        <w:rPr>
          <w:spacing w:val="4"/>
        </w:rPr>
        <w:t>at</w:t>
      </w:r>
      <w:hyperlink r:id="rId128">
        <w:r w:rsidRPr="00EF2D2B">
          <w:rPr>
            <w:spacing w:val="7"/>
          </w:rPr>
          <w:t>http://csrc.nist.gov/publications/fips/fips198/fips-198a.pdf.</w:t>
        </w:r>
      </w:hyperlink>
    </w:p>
    <w:p w:rsidR="004042A1" w:rsidRPr="00EF2D2B" w:rsidRDefault="004042A1" w:rsidP="004042A1">
      <w:pPr>
        <w:tabs>
          <w:tab w:val="left" w:pos="0"/>
        </w:tabs>
        <w:ind w:left="1075"/>
        <w:rPr>
          <w:i/>
        </w:rPr>
      </w:pPr>
      <w:r>
        <w:rPr>
          <w:i/>
        </w:rPr>
        <w:t>(website checked 2012-04-02)</w:t>
      </w:r>
    </w:p>
    <w:p w:rsidR="004042A1" w:rsidRPr="00EA2FCA" w:rsidRDefault="004042A1" w:rsidP="00472036">
      <w:pPr>
        <w:pStyle w:val="ListParagraph"/>
        <w:widowControl w:val="0"/>
        <w:numPr>
          <w:ilvl w:val="0"/>
          <w:numId w:val="35"/>
        </w:numPr>
        <w:tabs>
          <w:tab w:val="left" w:pos="0"/>
          <w:tab w:val="left" w:pos="1076"/>
        </w:tabs>
        <w:autoSpaceDE w:val="0"/>
        <w:autoSpaceDN w:val="0"/>
        <w:spacing w:after="0"/>
        <w:ind w:right="399"/>
        <w:contextualSpacing w:val="0"/>
      </w:pPr>
      <w:r w:rsidRPr="00EF2D2B">
        <w:rPr>
          <w:spacing w:val="6"/>
        </w:rPr>
        <w:t>National</w:t>
      </w:r>
      <w:r w:rsidRPr="00EF2D2B">
        <w:rPr>
          <w:spacing w:val="7"/>
        </w:rPr>
        <w:t xml:space="preserve">Institute </w:t>
      </w:r>
      <w:r w:rsidRPr="00EF2D2B">
        <w:rPr>
          <w:spacing w:val="3"/>
        </w:rPr>
        <w:t xml:space="preserve">of </w:t>
      </w:r>
      <w:r w:rsidRPr="00EF2D2B">
        <w:rPr>
          <w:spacing w:val="6"/>
        </w:rPr>
        <w:t xml:space="preserve">Standards  </w:t>
      </w:r>
      <w:r w:rsidRPr="00EF2D2B">
        <w:rPr>
          <w:spacing w:val="5"/>
        </w:rPr>
        <w:t xml:space="preserve">and </w:t>
      </w:r>
      <w:r w:rsidRPr="00EF2D2B">
        <w:rPr>
          <w:spacing w:val="7"/>
        </w:rPr>
        <w:t xml:space="preserve">Technology, </w:t>
      </w:r>
      <w:r w:rsidRPr="00EF2D2B">
        <w:rPr>
          <w:spacing w:val="6"/>
        </w:rPr>
        <w:t xml:space="preserve">The  </w:t>
      </w:r>
      <w:r w:rsidRPr="00EF2D2B">
        <w:rPr>
          <w:spacing w:val="7"/>
        </w:rPr>
        <w:t xml:space="preserve">Keyed-Hash Message Authentication </w:t>
      </w:r>
      <w:r w:rsidRPr="00EF2D2B">
        <w:rPr>
          <w:spacing w:val="6"/>
        </w:rPr>
        <w:t xml:space="preserve">Code </w:t>
      </w:r>
      <w:r w:rsidRPr="00EF2D2B">
        <w:rPr>
          <w:spacing w:val="7"/>
        </w:rPr>
        <w:t xml:space="preserve">(HMAC), </w:t>
      </w:r>
      <w:r w:rsidRPr="00EF2D2B">
        <w:rPr>
          <w:spacing w:val="6"/>
        </w:rPr>
        <w:t>(July,</w:t>
      </w:r>
      <w:r w:rsidRPr="00EF2D2B">
        <w:rPr>
          <w:spacing w:val="7"/>
        </w:rPr>
        <w:t>2008)</w:t>
      </w:r>
    </w:p>
    <w:p w:rsidR="004042A1" w:rsidRPr="00EA2FCA" w:rsidRDefault="004042A1" w:rsidP="00472036">
      <w:pPr>
        <w:pStyle w:val="ListParagraph"/>
        <w:widowControl w:val="0"/>
        <w:numPr>
          <w:ilvl w:val="0"/>
          <w:numId w:val="35"/>
        </w:numPr>
        <w:tabs>
          <w:tab w:val="left" w:pos="0"/>
          <w:tab w:val="left" w:pos="1077"/>
        </w:tabs>
        <w:autoSpaceDE w:val="0"/>
        <w:autoSpaceDN w:val="0"/>
        <w:spacing w:after="0"/>
        <w:ind w:right="398"/>
        <w:contextualSpacing w:val="0"/>
      </w:pPr>
      <w:r w:rsidRPr="00EF2D2B">
        <w:rPr>
          <w:spacing w:val="7"/>
        </w:rPr>
        <w:t xml:space="preserve">KRAWCZYK, </w:t>
      </w:r>
      <w:r w:rsidRPr="00EF2D2B">
        <w:rPr>
          <w:spacing w:val="5"/>
        </w:rPr>
        <w:t xml:space="preserve">H., </w:t>
      </w:r>
      <w:r w:rsidRPr="00EF2D2B">
        <w:rPr>
          <w:spacing w:val="6"/>
        </w:rPr>
        <w:t xml:space="preserve">BELLARE, </w:t>
      </w:r>
      <w:r w:rsidRPr="00EF2D2B">
        <w:rPr>
          <w:spacing w:val="5"/>
        </w:rPr>
        <w:t xml:space="preserve">M., and </w:t>
      </w:r>
      <w:r w:rsidRPr="00EF2D2B">
        <w:rPr>
          <w:spacing w:val="7"/>
        </w:rPr>
        <w:t xml:space="preserve">CANETTI, </w:t>
      </w:r>
      <w:r w:rsidRPr="00EF2D2B">
        <w:rPr>
          <w:spacing w:val="4"/>
        </w:rPr>
        <w:t xml:space="preserve">R., </w:t>
      </w:r>
      <w:r w:rsidRPr="00EF2D2B">
        <w:rPr>
          <w:spacing w:val="6"/>
        </w:rPr>
        <w:t xml:space="preserve">1997 Hmac: </w:t>
      </w:r>
      <w:r w:rsidRPr="00EF2D2B">
        <w:rPr>
          <w:spacing w:val="7"/>
        </w:rPr>
        <w:t xml:space="preserve">Keyed-Hashing for </w:t>
      </w:r>
      <w:r w:rsidRPr="00EF2D2B">
        <w:rPr>
          <w:spacing w:val="6"/>
        </w:rPr>
        <w:t xml:space="preserve">Message </w:t>
      </w:r>
      <w:r w:rsidRPr="00EF2D2B">
        <w:rPr>
          <w:spacing w:val="7"/>
        </w:rPr>
        <w:t xml:space="preserve">Authentication. </w:t>
      </w:r>
      <w:r w:rsidRPr="00EF2D2B">
        <w:rPr>
          <w:spacing w:val="6"/>
        </w:rPr>
        <w:t xml:space="preserve">RFC. </w:t>
      </w:r>
      <w:r w:rsidRPr="00EF2D2B">
        <w:rPr>
          <w:spacing w:val="5"/>
        </w:rPr>
        <w:t>RFC</w:t>
      </w:r>
      <w:r w:rsidRPr="00EF2D2B">
        <w:rPr>
          <w:spacing w:val="7"/>
        </w:rPr>
        <w:t>Editor</w:t>
      </w:r>
    </w:p>
    <w:p w:rsidR="004042A1" w:rsidRPr="00EA2FCA" w:rsidRDefault="004042A1" w:rsidP="00472036">
      <w:pPr>
        <w:pStyle w:val="ListParagraph"/>
        <w:widowControl w:val="0"/>
        <w:numPr>
          <w:ilvl w:val="0"/>
          <w:numId w:val="35"/>
        </w:numPr>
        <w:tabs>
          <w:tab w:val="left" w:pos="0"/>
          <w:tab w:val="left" w:pos="1077"/>
        </w:tabs>
        <w:autoSpaceDE w:val="0"/>
        <w:autoSpaceDN w:val="0"/>
        <w:spacing w:before="1" w:after="0"/>
        <w:ind w:left="1075" w:right="405"/>
        <w:contextualSpacing w:val="0"/>
        <w:rPr>
          <w:i/>
        </w:rPr>
      </w:pPr>
      <w:r w:rsidRPr="00EF2D2B">
        <w:rPr>
          <w:spacing w:val="7"/>
        </w:rPr>
        <w:t xml:space="preserve">BLAKE-WILSON </w:t>
      </w:r>
      <w:r w:rsidRPr="00EF2D2B">
        <w:rPr>
          <w:spacing w:val="4"/>
        </w:rPr>
        <w:t xml:space="preserve">S. </w:t>
      </w:r>
      <w:r w:rsidRPr="00EF2D2B">
        <w:rPr>
          <w:spacing w:val="5"/>
        </w:rPr>
        <w:t xml:space="preserve">et. </w:t>
      </w:r>
      <w:r w:rsidRPr="00EF2D2B">
        <w:rPr>
          <w:spacing w:val="6"/>
        </w:rPr>
        <w:t xml:space="preserve">al., </w:t>
      </w:r>
      <w:r w:rsidRPr="00EF2D2B">
        <w:rPr>
          <w:spacing w:val="5"/>
        </w:rPr>
        <w:t xml:space="preserve">RFC </w:t>
      </w:r>
      <w:r w:rsidRPr="00EF2D2B">
        <w:rPr>
          <w:spacing w:val="6"/>
        </w:rPr>
        <w:t xml:space="preserve">4336 Transport </w:t>
      </w:r>
      <w:r w:rsidRPr="00EF2D2B">
        <w:rPr>
          <w:spacing w:val="5"/>
        </w:rPr>
        <w:t xml:space="preserve">Layer </w:t>
      </w:r>
      <w:r w:rsidRPr="00EF2D2B">
        <w:rPr>
          <w:spacing w:val="7"/>
        </w:rPr>
        <w:t xml:space="preserve">Security </w:t>
      </w:r>
      <w:r w:rsidRPr="00EF2D2B">
        <w:rPr>
          <w:spacing w:val="6"/>
        </w:rPr>
        <w:t xml:space="preserve">(TLS) </w:t>
      </w:r>
      <w:r w:rsidRPr="00EF2D2B">
        <w:rPr>
          <w:spacing w:val="7"/>
        </w:rPr>
        <w:t xml:space="preserve">Extensions, </w:t>
      </w:r>
      <w:r w:rsidRPr="00EF2D2B">
        <w:rPr>
          <w:spacing w:val="6"/>
        </w:rPr>
        <w:t xml:space="preserve">Network </w:t>
      </w:r>
      <w:r w:rsidRPr="00EF2D2B">
        <w:rPr>
          <w:spacing w:val="7"/>
        </w:rPr>
        <w:t xml:space="preserve">Working </w:t>
      </w:r>
      <w:r w:rsidRPr="00EF2D2B">
        <w:rPr>
          <w:spacing w:val="6"/>
        </w:rPr>
        <w:t xml:space="preserve">Group (IETF 2006). </w:t>
      </w:r>
      <w:r w:rsidRPr="00EF2D2B">
        <w:rPr>
          <w:spacing w:val="7"/>
        </w:rPr>
        <w:t xml:space="preserve">Available </w:t>
      </w:r>
      <w:r w:rsidRPr="00EF2D2B">
        <w:rPr>
          <w:spacing w:val="4"/>
        </w:rPr>
        <w:t xml:space="preserve">at </w:t>
      </w:r>
      <w:hyperlink r:id="rId129">
        <w:r w:rsidRPr="00EF2D2B">
          <w:rPr>
            <w:spacing w:val="7"/>
          </w:rPr>
          <w:t>http://www.ietf.org/rfc/rfc4366.txt.</w:t>
        </w:r>
      </w:hyperlink>
      <w:r w:rsidRPr="00EF2D2B">
        <w:rPr>
          <w:i/>
          <w:spacing w:val="6"/>
        </w:rPr>
        <w:t xml:space="preserve">(website </w:t>
      </w:r>
      <w:r w:rsidRPr="00731F96">
        <w:rPr>
          <w:i/>
          <w:spacing w:val="7"/>
        </w:rPr>
        <w:t>checked2012-04-02)</w:t>
      </w:r>
    </w:p>
    <w:p w:rsidR="004042A1" w:rsidRPr="00EA2FCA" w:rsidRDefault="004042A1" w:rsidP="00472036">
      <w:pPr>
        <w:pStyle w:val="ListParagraph"/>
        <w:widowControl w:val="0"/>
        <w:numPr>
          <w:ilvl w:val="0"/>
          <w:numId w:val="35"/>
        </w:numPr>
        <w:tabs>
          <w:tab w:val="left" w:pos="0"/>
          <w:tab w:val="left" w:pos="1076"/>
        </w:tabs>
        <w:autoSpaceDE w:val="0"/>
        <w:autoSpaceDN w:val="0"/>
        <w:spacing w:after="0"/>
        <w:ind w:left="1075" w:right="406"/>
        <w:contextualSpacing w:val="0"/>
      </w:pPr>
      <w:r w:rsidRPr="00EF2D2B">
        <w:rPr>
          <w:spacing w:val="7"/>
        </w:rPr>
        <w:t xml:space="preserve">International </w:t>
      </w:r>
      <w:r w:rsidRPr="00EF2D2B">
        <w:rPr>
          <w:spacing w:val="6"/>
        </w:rPr>
        <w:t xml:space="preserve">Standards </w:t>
      </w:r>
      <w:r w:rsidRPr="00EF2D2B">
        <w:rPr>
          <w:spacing w:val="7"/>
        </w:rPr>
        <w:t xml:space="preserve">Organization, International Electrotechnical Commission, </w:t>
      </w:r>
      <w:r w:rsidRPr="00EF2D2B">
        <w:rPr>
          <w:spacing w:val="6"/>
        </w:rPr>
        <w:t>ISO/IETF</w:t>
      </w:r>
      <w:r w:rsidRPr="00EF2D2B">
        <w:rPr>
          <w:spacing w:val="7"/>
        </w:rPr>
        <w:t xml:space="preserve">9798-4:1999, </w:t>
      </w:r>
      <w:r w:rsidRPr="00EF2D2B">
        <w:rPr>
          <w:i/>
          <w:spacing w:val="7"/>
        </w:rPr>
        <w:t xml:space="preserve">Information technology </w:t>
      </w:r>
      <w:r w:rsidRPr="00EF2D2B">
        <w:rPr>
          <w:i/>
          <w:spacing w:val="6"/>
        </w:rPr>
        <w:t xml:space="preserve">Security  </w:t>
      </w:r>
      <w:r w:rsidRPr="00EF2D2B">
        <w:rPr>
          <w:i/>
          <w:spacing w:val="7"/>
        </w:rPr>
        <w:t xml:space="preserve">techniques </w:t>
      </w:r>
      <w:r w:rsidRPr="00EF2D2B">
        <w:rPr>
          <w:i/>
          <w:spacing w:val="5"/>
        </w:rPr>
        <w:t xml:space="preserve">Entity </w:t>
      </w:r>
      <w:r w:rsidRPr="00EF2D2B">
        <w:rPr>
          <w:i/>
          <w:spacing w:val="7"/>
        </w:rPr>
        <w:t xml:space="preserve">authentication </w:t>
      </w:r>
      <w:r w:rsidRPr="00EF2D2B">
        <w:rPr>
          <w:i/>
        </w:rPr>
        <w:t xml:space="preserve">– </w:t>
      </w:r>
      <w:r w:rsidRPr="00EF2D2B">
        <w:rPr>
          <w:i/>
          <w:spacing w:val="5"/>
        </w:rPr>
        <w:t xml:space="preserve">Part </w:t>
      </w:r>
      <w:r w:rsidRPr="00EF2D2B">
        <w:rPr>
          <w:i/>
          <w:spacing w:val="3"/>
        </w:rPr>
        <w:t xml:space="preserve">4: </w:t>
      </w:r>
      <w:r w:rsidRPr="00EF2D2B">
        <w:rPr>
          <w:i/>
          <w:spacing w:val="7"/>
        </w:rPr>
        <w:t xml:space="preserve">Mechanisms </w:t>
      </w:r>
      <w:r w:rsidRPr="00EF2D2B">
        <w:rPr>
          <w:i/>
          <w:spacing w:val="6"/>
        </w:rPr>
        <w:t>using</w:t>
      </w:r>
      <w:r w:rsidRPr="00EF2D2B">
        <w:rPr>
          <w:i/>
        </w:rPr>
        <w:t xml:space="preserve">a </w:t>
      </w:r>
      <w:r w:rsidRPr="00EF2D2B">
        <w:rPr>
          <w:i/>
          <w:spacing w:val="7"/>
        </w:rPr>
        <w:t xml:space="preserve">cryptographic </w:t>
      </w:r>
      <w:r w:rsidRPr="00EF2D2B">
        <w:rPr>
          <w:i/>
          <w:spacing w:val="6"/>
        </w:rPr>
        <w:t xml:space="preserve">check  </w:t>
      </w:r>
      <w:r w:rsidRPr="00EF2D2B">
        <w:rPr>
          <w:i/>
          <w:spacing w:val="7"/>
        </w:rPr>
        <w:t>function</w:t>
      </w:r>
      <w:r w:rsidRPr="00EF2D2B">
        <w:rPr>
          <w:spacing w:val="7"/>
        </w:rPr>
        <w:t xml:space="preserve">, </w:t>
      </w:r>
      <w:r w:rsidRPr="00EF2D2B">
        <w:rPr>
          <w:spacing w:val="6"/>
        </w:rPr>
        <w:t xml:space="preserve">(Standard, 1999). Available </w:t>
      </w:r>
      <w:r w:rsidRPr="00EF2D2B">
        <w:rPr>
          <w:spacing w:val="4"/>
        </w:rPr>
        <w:t>at</w:t>
      </w:r>
      <w:hyperlink r:id="rId130">
        <w:r w:rsidRPr="00EF2D2B">
          <w:rPr>
            <w:spacing w:val="7"/>
          </w:rPr>
          <w:t>http://www.iso.org.</w:t>
        </w:r>
      </w:hyperlink>
    </w:p>
    <w:p w:rsidR="004042A1" w:rsidRPr="00EF2D2B" w:rsidRDefault="004042A1" w:rsidP="00472036">
      <w:pPr>
        <w:pStyle w:val="ListParagraph"/>
        <w:widowControl w:val="0"/>
        <w:numPr>
          <w:ilvl w:val="0"/>
          <w:numId w:val="35"/>
        </w:numPr>
        <w:tabs>
          <w:tab w:val="left" w:pos="0"/>
          <w:tab w:val="left" w:pos="1076"/>
        </w:tabs>
        <w:autoSpaceDE w:val="0"/>
        <w:autoSpaceDN w:val="0"/>
        <w:spacing w:after="0"/>
        <w:ind w:left="1075" w:right="608"/>
        <w:contextualSpacing w:val="0"/>
      </w:pPr>
      <w:r w:rsidRPr="00EF2D2B">
        <w:rPr>
          <w:spacing w:val="6"/>
        </w:rPr>
        <w:t xml:space="preserve">National </w:t>
      </w:r>
      <w:r w:rsidRPr="00EF2D2B">
        <w:rPr>
          <w:spacing w:val="7"/>
        </w:rPr>
        <w:t xml:space="preserve">Institute </w:t>
      </w:r>
      <w:r w:rsidRPr="00EF2D2B">
        <w:rPr>
          <w:spacing w:val="3"/>
        </w:rPr>
        <w:t xml:space="preserve">of </w:t>
      </w:r>
      <w:r w:rsidRPr="00EF2D2B">
        <w:rPr>
          <w:spacing w:val="6"/>
        </w:rPr>
        <w:t xml:space="preserve">Standards and </w:t>
      </w:r>
      <w:r w:rsidRPr="00EF2D2B">
        <w:rPr>
          <w:spacing w:val="7"/>
        </w:rPr>
        <w:t xml:space="preserve">Technology, Recommendation </w:t>
      </w:r>
      <w:r w:rsidRPr="00EF2D2B">
        <w:rPr>
          <w:spacing w:val="5"/>
        </w:rPr>
        <w:t xml:space="preserve">for </w:t>
      </w:r>
      <w:r w:rsidRPr="00EF2D2B">
        <w:rPr>
          <w:spacing w:val="7"/>
        </w:rPr>
        <w:t xml:space="preserve">Applications </w:t>
      </w:r>
      <w:r w:rsidRPr="00EF2D2B">
        <w:rPr>
          <w:spacing w:val="5"/>
        </w:rPr>
        <w:t xml:space="preserve">Us- </w:t>
      </w:r>
      <w:r w:rsidRPr="00EF2D2B">
        <w:rPr>
          <w:spacing w:val="4"/>
        </w:rPr>
        <w:t xml:space="preserve">ing </w:t>
      </w:r>
      <w:r w:rsidRPr="00EF2D2B">
        <w:rPr>
          <w:spacing w:val="6"/>
        </w:rPr>
        <w:t xml:space="preserve">Approved Hash </w:t>
      </w:r>
      <w:r w:rsidRPr="00EF2D2B">
        <w:rPr>
          <w:spacing w:val="7"/>
        </w:rPr>
        <w:t xml:space="preserve">Algorithms, (Special Publication 800-107, </w:t>
      </w:r>
      <w:r w:rsidRPr="00EF2D2B">
        <w:rPr>
          <w:spacing w:val="6"/>
        </w:rPr>
        <w:t xml:space="preserve">2009). </w:t>
      </w:r>
      <w:r w:rsidRPr="00EF2D2B">
        <w:rPr>
          <w:spacing w:val="7"/>
        </w:rPr>
        <w:t xml:space="preserve">Available </w:t>
      </w:r>
      <w:r w:rsidRPr="00EF2D2B">
        <w:rPr>
          <w:spacing w:val="3"/>
        </w:rPr>
        <w:t>at</w:t>
      </w:r>
      <w:hyperlink r:id="rId131">
        <w:r w:rsidRPr="00EF2D2B">
          <w:rPr>
            <w:spacing w:val="7"/>
          </w:rPr>
          <w:t>http://csrc.nist.gov/publications/nistpubs/800-107/NIST-SP-800-107.pdf</w:t>
        </w:r>
      </w:hyperlink>
    </w:p>
    <w:p w:rsidR="004042A1" w:rsidRPr="00EF2D2B" w:rsidRDefault="004042A1" w:rsidP="004042A1">
      <w:pPr>
        <w:tabs>
          <w:tab w:val="left" w:pos="0"/>
        </w:tabs>
        <w:ind w:left="1075"/>
        <w:rPr>
          <w:i/>
        </w:rPr>
      </w:pPr>
      <w:r>
        <w:rPr>
          <w:i/>
        </w:rPr>
        <w:t>(website checked 2012-04-02)</w:t>
      </w:r>
    </w:p>
    <w:p w:rsidR="004042A1" w:rsidRPr="00EA2FCA" w:rsidRDefault="004042A1" w:rsidP="00472036">
      <w:pPr>
        <w:pStyle w:val="ListParagraph"/>
        <w:widowControl w:val="0"/>
        <w:numPr>
          <w:ilvl w:val="0"/>
          <w:numId w:val="35"/>
        </w:numPr>
        <w:tabs>
          <w:tab w:val="left" w:pos="0"/>
          <w:tab w:val="left" w:pos="1076"/>
        </w:tabs>
        <w:autoSpaceDE w:val="0"/>
        <w:autoSpaceDN w:val="0"/>
        <w:spacing w:before="1" w:after="0"/>
        <w:ind w:right="409" w:hanging="599"/>
        <w:contextualSpacing w:val="0"/>
      </w:pPr>
      <w:r w:rsidRPr="00EF2D2B">
        <w:rPr>
          <w:spacing w:val="6"/>
        </w:rPr>
        <w:t>IEC/TR</w:t>
      </w:r>
      <w:r w:rsidRPr="00EF2D2B">
        <w:rPr>
          <w:spacing w:val="7"/>
        </w:rPr>
        <w:t xml:space="preserve">61850-90-4, </w:t>
      </w:r>
      <w:r w:rsidRPr="00EF2D2B">
        <w:rPr>
          <w:i/>
          <w:spacing w:val="7"/>
        </w:rPr>
        <w:t xml:space="preserve">Communication </w:t>
      </w:r>
      <w:r w:rsidRPr="00EF2D2B">
        <w:rPr>
          <w:i/>
          <w:spacing w:val="6"/>
        </w:rPr>
        <w:t xml:space="preserve">networks  </w:t>
      </w:r>
      <w:r w:rsidRPr="00EF2D2B">
        <w:rPr>
          <w:i/>
          <w:spacing w:val="5"/>
        </w:rPr>
        <w:t xml:space="preserve">and </w:t>
      </w:r>
      <w:r w:rsidRPr="00EF2D2B">
        <w:rPr>
          <w:i/>
          <w:spacing w:val="6"/>
        </w:rPr>
        <w:t xml:space="preserve">systems  </w:t>
      </w:r>
      <w:r w:rsidRPr="00EF2D2B">
        <w:rPr>
          <w:i/>
          <w:spacing w:val="5"/>
        </w:rPr>
        <w:t xml:space="preserve">for </w:t>
      </w:r>
      <w:r w:rsidRPr="00EF2D2B">
        <w:rPr>
          <w:i/>
          <w:spacing w:val="6"/>
        </w:rPr>
        <w:t xml:space="preserve">power  utility </w:t>
      </w:r>
      <w:r w:rsidRPr="00EF2D2B">
        <w:rPr>
          <w:i/>
          <w:spacing w:val="7"/>
        </w:rPr>
        <w:t xml:space="preserve">automation </w:t>
      </w:r>
      <w:r w:rsidRPr="00EF2D2B">
        <w:rPr>
          <w:i/>
        </w:rPr>
        <w:t xml:space="preserve">– </w:t>
      </w:r>
      <w:r w:rsidRPr="00EF2D2B">
        <w:rPr>
          <w:i/>
          <w:spacing w:val="6"/>
        </w:rPr>
        <w:t xml:space="preserve">Part 90-4: Network </w:t>
      </w:r>
      <w:r w:rsidRPr="00EF2D2B">
        <w:rPr>
          <w:i/>
          <w:spacing w:val="7"/>
        </w:rPr>
        <w:t xml:space="preserve">engineering </w:t>
      </w:r>
      <w:r w:rsidRPr="00EF2D2B">
        <w:rPr>
          <w:i/>
          <w:spacing w:val="6"/>
        </w:rPr>
        <w:t xml:space="preserve">guidelines </w:t>
      </w:r>
      <w:r w:rsidRPr="00EF2D2B">
        <w:rPr>
          <w:i/>
          <w:spacing w:val="5"/>
        </w:rPr>
        <w:t>for</w:t>
      </w:r>
      <w:r w:rsidRPr="00EF2D2B">
        <w:rPr>
          <w:i/>
          <w:spacing w:val="7"/>
        </w:rPr>
        <w:t xml:space="preserve">substations </w:t>
      </w:r>
      <w:hyperlink w:anchor="_bookmark96" w:history="1">
        <w:r w:rsidRPr="00EF2D2B">
          <w:rPr>
            <w:position w:val="4"/>
          </w:rPr>
          <w:t>2</w:t>
        </w:r>
      </w:hyperlink>
    </w:p>
    <w:p w:rsidR="004042A1" w:rsidRPr="00EA2FCA" w:rsidRDefault="004042A1" w:rsidP="00472036">
      <w:pPr>
        <w:pStyle w:val="ListParagraph"/>
        <w:widowControl w:val="0"/>
        <w:numPr>
          <w:ilvl w:val="0"/>
          <w:numId w:val="35"/>
        </w:numPr>
        <w:tabs>
          <w:tab w:val="left" w:pos="0"/>
          <w:tab w:val="left" w:pos="1076"/>
        </w:tabs>
        <w:autoSpaceDE w:val="0"/>
        <w:autoSpaceDN w:val="0"/>
        <w:spacing w:before="1" w:after="0"/>
        <w:ind w:right="403"/>
        <w:contextualSpacing w:val="0"/>
        <w:rPr>
          <w:i/>
        </w:rPr>
      </w:pPr>
      <w:r w:rsidRPr="00EF2D2B">
        <w:rPr>
          <w:spacing w:val="6"/>
        </w:rPr>
        <w:t xml:space="preserve">IEC/TS </w:t>
      </w:r>
      <w:r w:rsidRPr="00EF2D2B">
        <w:rPr>
          <w:spacing w:val="7"/>
        </w:rPr>
        <w:t xml:space="preserve">62351-2:2008, </w:t>
      </w:r>
      <w:r w:rsidRPr="00EF2D2B">
        <w:rPr>
          <w:i/>
          <w:spacing w:val="5"/>
        </w:rPr>
        <w:t xml:space="preserve">Power </w:t>
      </w:r>
      <w:r w:rsidRPr="00EF2D2B">
        <w:rPr>
          <w:i/>
          <w:spacing w:val="6"/>
        </w:rPr>
        <w:t xml:space="preserve">systems </w:t>
      </w:r>
      <w:r w:rsidRPr="00EF2D2B">
        <w:rPr>
          <w:i/>
          <w:spacing w:val="7"/>
        </w:rPr>
        <w:t xml:space="preserve">management </w:t>
      </w:r>
      <w:r w:rsidRPr="00EF2D2B">
        <w:rPr>
          <w:i/>
          <w:spacing w:val="6"/>
        </w:rPr>
        <w:t xml:space="preserve">and </w:t>
      </w:r>
      <w:r w:rsidRPr="00EF2D2B">
        <w:rPr>
          <w:i/>
          <w:spacing w:val="7"/>
        </w:rPr>
        <w:t xml:space="preserve">associated information </w:t>
      </w:r>
      <w:r w:rsidRPr="00EF2D2B">
        <w:rPr>
          <w:i/>
          <w:spacing w:val="6"/>
        </w:rPr>
        <w:t>exchange</w:t>
      </w:r>
      <w:r w:rsidRPr="00EF2D2B">
        <w:rPr>
          <w:i/>
        </w:rPr>
        <w:t>–</w:t>
      </w:r>
      <w:r w:rsidRPr="00EF2D2B">
        <w:rPr>
          <w:i/>
          <w:spacing w:val="6"/>
        </w:rPr>
        <w:t>Dataand</w:t>
      </w:r>
      <w:r w:rsidRPr="00EF2D2B">
        <w:rPr>
          <w:i/>
          <w:spacing w:val="7"/>
        </w:rPr>
        <w:t>communications</w:t>
      </w:r>
      <w:r w:rsidRPr="00EF2D2B">
        <w:rPr>
          <w:i/>
          <w:spacing w:val="6"/>
        </w:rPr>
        <w:t>security</w:t>
      </w:r>
      <w:r w:rsidRPr="00EF2D2B">
        <w:rPr>
          <w:i/>
        </w:rPr>
        <w:t>–</w:t>
      </w:r>
      <w:r w:rsidRPr="00EF2D2B">
        <w:rPr>
          <w:i/>
          <w:spacing w:val="5"/>
        </w:rPr>
        <w:t>Part</w:t>
      </w:r>
      <w:r w:rsidRPr="00EF2D2B">
        <w:rPr>
          <w:i/>
          <w:spacing w:val="4"/>
        </w:rPr>
        <w:t>2:</w:t>
      </w:r>
      <w:r w:rsidRPr="00EF2D2B">
        <w:rPr>
          <w:i/>
          <w:spacing w:val="6"/>
        </w:rPr>
        <w:t>Glossary</w:t>
      </w:r>
      <w:r w:rsidRPr="00EF2D2B">
        <w:rPr>
          <w:i/>
          <w:spacing w:val="3"/>
        </w:rPr>
        <w:t>of</w:t>
      </w:r>
      <w:r w:rsidRPr="00EF2D2B">
        <w:rPr>
          <w:i/>
          <w:spacing w:val="7"/>
        </w:rPr>
        <w:t>terms</w:t>
      </w:r>
    </w:p>
    <w:p w:rsidR="004042A1" w:rsidRPr="00EA2FCA" w:rsidRDefault="004042A1" w:rsidP="00472036">
      <w:pPr>
        <w:pStyle w:val="ListParagraph"/>
        <w:widowControl w:val="0"/>
        <w:numPr>
          <w:ilvl w:val="0"/>
          <w:numId w:val="35"/>
        </w:numPr>
        <w:tabs>
          <w:tab w:val="left" w:pos="0"/>
          <w:tab w:val="left" w:pos="1076"/>
        </w:tabs>
        <w:autoSpaceDE w:val="0"/>
        <w:autoSpaceDN w:val="0"/>
        <w:spacing w:before="1" w:after="0"/>
        <w:ind w:right="404"/>
        <w:contextualSpacing w:val="0"/>
        <w:rPr>
          <w:i/>
        </w:rPr>
      </w:pPr>
      <w:r w:rsidRPr="00EF2D2B">
        <w:rPr>
          <w:spacing w:val="5"/>
        </w:rPr>
        <w:t xml:space="preserve">IEC </w:t>
      </w:r>
      <w:r w:rsidRPr="00EF2D2B">
        <w:rPr>
          <w:spacing w:val="7"/>
        </w:rPr>
        <w:t xml:space="preserve">62351-7:2010, </w:t>
      </w:r>
      <w:r w:rsidRPr="00EF2D2B">
        <w:rPr>
          <w:i/>
          <w:spacing w:val="6"/>
        </w:rPr>
        <w:t>Power  systems</w:t>
      </w:r>
      <w:r w:rsidRPr="00EF2D2B">
        <w:rPr>
          <w:i/>
          <w:spacing w:val="7"/>
        </w:rPr>
        <w:t xml:space="preserve">management </w:t>
      </w:r>
      <w:r w:rsidRPr="00EF2D2B">
        <w:rPr>
          <w:i/>
          <w:spacing w:val="5"/>
        </w:rPr>
        <w:t xml:space="preserve">and </w:t>
      </w:r>
      <w:r w:rsidRPr="00EF2D2B">
        <w:rPr>
          <w:i/>
          <w:spacing w:val="7"/>
        </w:rPr>
        <w:t xml:space="preserve">associated information </w:t>
      </w:r>
      <w:r w:rsidRPr="00EF2D2B">
        <w:rPr>
          <w:i/>
          <w:spacing w:val="6"/>
        </w:rPr>
        <w:t xml:space="preserve">exchange </w:t>
      </w:r>
      <w:r w:rsidRPr="00EF2D2B">
        <w:rPr>
          <w:i/>
        </w:rPr>
        <w:t xml:space="preserve">– </w:t>
      </w:r>
      <w:r w:rsidRPr="00EF2D2B">
        <w:rPr>
          <w:i/>
          <w:spacing w:val="6"/>
        </w:rPr>
        <w:t xml:space="preserve">Data </w:t>
      </w:r>
      <w:r w:rsidRPr="00EF2D2B">
        <w:rPr>
          <w:i/>
          <w:spacing w:val="5"/>
        </w:rPr>
        <w:t xml:space="preserve">and </w:t>
      </w:r>
      <w:r w:rsidRPr="00EF2D2B">
        <w:rPr>
          <w:i/>
          <w:spacing w:val="7"/>
        </w:rPr>
        <w:t xml:space="preserve">communications </w:t>
      </w:r>
      <w:r w:rsidRPr="00EF2D2B">
        <w:rPr>
          <w:i/>
          <w:spacing w:val="6"/>
        </w:rPr>
        <w:t xml:space="preserve">security </w:t>
      </w:r>
      <w:r w:rsidRPr="00EF2D2B">
        <w:rPr>
          <w:i/>
        </w:rPr>
        <w:t xml:space="preserve">– </w:t>
      </w:r>
      <w:r w:rsidRPr="00EF2D2B">
        <w:rPr>
          <w:i/>
          <w:spacing w:val="6"/>
        </w:rPr>
        <w:t xml:space="preserve">Part </w:t>
      </w:r>
      <w:r w:rsidRPr="00EF2D2B">
        <w:rPr>
          <w:i/>
          <w:spacing w:val="3"/>
        </w:rPr>
        <w:t xml:space="preserve">7: </w:t>
      </w:r>
      <w:r w:rsidRPr="00EF2D2B">
        <w:rPr>
          <w:i/>
          <w:spacing w:val="6"/>
        </w:rPr>
        <w:t xml:space="preserve">Network </w:t>
      </w:r>
      <w:r w:rsidRPr="00EF2D2B">
        <w:rPr>
          <w:i/>
          <w:spacing w:val="5"/>
        </w:rPr>
        <w:t xml:space="preserve">and </w:t>
      </w:r>
      <w:r w:rsidRPr="00EF2D2B">
        <w:rPr>
          <w:i/>
          <w:spacing w:val="7"/>
        </w:rPr>
        <w:t xml:space="preserve">system management </w:t>
      </w:r>
      <w:r w:rsidRPr="00EF2D2B">
        <w:rPr>
          <w:i/>
          <w:spacing w:val="6"/>
        </w:rPr>
        <w:t>(NSM) data objectmodels</w:t>
      </w:r>
    </w:p>
    <w:p w:rsidR="004042A1" w:rsidRPr="00EA2FCA" w:rsidRDefault="004042A1" w:rsidP="00472036">
      <w:pPr>
        <w:pStyle w:val="ListParagraph"/>
        <w:widowControl w:val="0"/>
        <w:numPr>
          <w:ilvl w:val="0"/>
          <w:numId w:val="35"/>
        </w:numPr>
        <w:tabs>
          <w:tab w:val="left" w:pos="0"/>
          <w:tab w:val="left" w:pos="1075"/>
          <w:tab w:val="left" w:pos="1076"/>
        </w:tabs>
        <w:autoSpaceDE w:val="0"/>
        <w:autoSpaceDN w:val="0"/>
        <w:spacing w:before="96" w:after="0"/>
        <w:ind w:left="1075" w:right="942"/>
        <w:contextualSpacing w:val="0"/>
        <w:jc w:val="left"/>
      </w:pPr>
      <w:r w:rsidRPr="00EF2D2B">
        <w:rPr>
          <w:spacing w:val="5"/>
        </w:rPr>
        <w:t xml:space="preserve">IEC </w:t>
      </w:r>
      <w:r w:rsidRPr="00EF2D2B">
        <w:rPr>
          <w:spacing w:val="7"/>
        </w:rPr>
        <w:t xml:space="preserve">62439-3, </w:t>
      </w:r>
      <w:r w:rsidRPr="00EF2D2B">
        <w:rPr>
          <w:i/>
          <w:spacing w:val="7"/>
        </w:rPr>
        <w:t xml:space="preserve">Industrial communication </w:t>
      </w:r>
      <w:r w:rsidRPr="00EF2D2B">
        <w:rPr>
          <w:i/>
          <w:spacing w:val="6"/>
        </w:rPr>
        <w:t xml:space="preserve">networks </w:t>
      </w:r>
      <w:r w:rsidRPr="00EF2D2B">
        <w:rPr>
          <w:i/>
        </w:rPr>
        <w:t xml:space="preserve">– </w:t>
      </w:r>
      <w:r w:rsidRPr="00EF2D2B">
        <w:rPr>
          <w:i/>
          <w:spacing w:val="5"/>
        </w:rPr>
        <w:t xml:space="preserve">High </w:t>
      </w:r>
      <w:r w:rsidRPr="00EF2D2B">
        <w:rPr>
          <w:i/>
          <w:spacing w:val="7"/>
        </w:rPr>
        <w:lastRenderedPageBreak/>
        <w:t xml:space="preserve">availability automation </w:t>
      </w:r>
      <w:r w:rsidRPr="00EF2D2B">
        <w:rPr>
          <w:i/>
          <w:spacing w:val="6"/>
        </w:rPr>
        <w:t xml:space="preserve">networks </w:t>
      </w:r>
      <w:r w:rsidRPr="00EF2D2B">
        <w:rPr>
          <w:i/>
        </w:rPr>
        <w:t xml:space="preserve">– </w:t>
      </w:r>
      <w:r w:rsidRPr="00EF2D2B">
        <w:rPr>
          <w:i/>
          <w:spacing w:val="5"/>
        </w:rPr>
        <w:t xml:space="preserve">Part </w:t>
      </w:r>
      <w:r w:rsidRPr="00EF2D2B">
        <w:rPr>
          <w:i/>
          <w:spacing w:val="4"/>
        </w:rPr>
        <w:t xml:space="preserve">3: </w:t>
      </w:r>
      <w:r w:rsidRPr="00EF2D2B">
        <w:rPr>
          <w:i/>
          <w:spacing w:val="6"/>
        </w:rPr>
        <w:t xml:space="preserve">Parallel Redundancy Protocol (PRP) </w:t>
      </w:r>
      <w:r w:rsidRPr="00EF2D2B">
        <w:rPr>
          <w:i/>
          <w:spacing w:val="5"/>
        </w:rPr>
        <w:t xml:space="preserve">and </w:t>
      </w:r>
      <w:r w:rsidRPr="00EF2D2B">
        <w:rPr>
          <w:i/>
          <w:spacing w:val="7"/>
        </w:rPr>
        <w:t xml:space="preserve">High-availability </w:t>
      </w:r>
      <w:r w:rsidRPr="00EF2D2B">
        <w:rPr>
          <w:i/>
          <w:spacing w:val="6"/>
        </w:rPr>
        <w:t>Seamless Redundancy (HSR)</w:t>
      </w:r>
      <w:hyperlink w:anchor="_bookmark97" w:history="1">
        <w:r w:rsidRPr="00EF2D2B">
          <w:rPr>
            <w:position w:val="4"/>
          </w:rPr>
          <w:t>3</w:t>
        </w:r>
      </w:hyperlink>
    </w:p>
    <w:p w:rsidR="004042A1" w:rsidRPr="00EA2FCA" w:rsidRDefault="004042A1" w:rsidP="00472036">
      <w:pPr>
        <w:pStyle w:val="ListParagraph"/>
        <w:widowControl w:val="0"/>
        <w:numPr>
          <w:ilvl w:val="0"/>
          <w:numId w:val="35"/>
        </w:numPr>
        <w:tabs>
          <w:tab w:val="left" w:pos="0"/>
          <w:tab w:val="left" w:pos="1075"/>
          <w:tab w:val="left" w:pos="1076"/>
          <w:tab w:val="left" w:pos="1680"/>
          <w:tab w:val="left" w:pos="3190"/>
          <w:tab w:val="left" w:pos="4317"/>
          <w:tab w:val="left" w:pos="5620"/>
          <w:tab w:val="left" w:pos="6712"/>
          <w:tab w:val="left" w:pos="8316"/>
        </w:tabs>
        <w:autoSpaceDE w:val="0"/>
        <w:autoSpaceDN w:val="0"/>
        <w:spacing w:after="0"/>
        <w:ind w:right="410"/>
        <w:contextualSpacing w:val="0"/>
        <w:jc w:val="left"/>
        <w:rPr>
          <w:i/>
        </w:rPr>
      </w:pPr>
      <w:r w:rsidRPr="00EF2D2B">
        <w:rPr>
          <w:spacing w:val="5"/>
        </w:rPr>
        <w:t xml:space="preserve">ISO </w:t>
      </w:r>
      <w:r w:rsidRPr="00EF2D2B">
        <w:rPr>
          <w:spacing w:val="7"/>
        </w:rPr>
        <w:t>9506-1:2003,</w:t>
      </w:r>
      <w:r w:rsidRPr="00EF2D2B">
        <w:rPr>
          <w:spacing w:val="7"/>
        </w:rPr>
        <w:tab/>
      </w:r>
      <w:r w:rsidRPr="00EF2D2B">
        <w:rPr>
          <w:i/>
          <w:spacing w:val="7"/>
        </w:rPr>
        <w:t>Industrial</w:t>
      </w:r>
      <w:r w:rsidRPr="00EF2D2B">
        <w:rPr>
          <w:i/>
          <w:spacing w:val="7"/>
        </w:rPr>
        <w:tab/>
        <w:t>automation</w:t>
      </w:r>
      <w:r w:rsidRPr="00EF2D2B">
        <w:rPr>
          <w:i/>
          <w:spacing w:val="7"/>
        </w:rPr>
        <w:tab/>
        <w:t>systems,</w:t>
      </w:r>
      <w:r w:rsidRPr="00EF2D2B">
        <w:rPr>
          <w:i/>
          <w:spacing w:val="7"/>
        </w:rPr>
        <w:tab/>
        <w:t>Manufacturing</w:t>
      </w:r>
      <w:r w:rsidRPr="00EF2D2B">
        <w:rPr>
          <w:i/>
          <w:spacing w:val="7"/>
        </w:rPr>
        <w:tab/>
      </w:r>
      <w:r w:rsidRPr="00EF2D2B">
        <w:rPr>
          <w:i/>
          <w:spacing w:val="4"/>
        </w:rPr>
        <w:t xml:space="preserve">Message </w:t>
      </w:r>
      <w:r w:rsidRPr="00EF2D2B">
        <w:rPr>
          <w:i/>
          <w:spacing w:val="7"/>
        </w:rPr>
        <w:t xml:space="preserve">Specification </w:t>
      </w:r>
      <w:r w:rsidRPr="00EF2D2B">
        <w:rPr>
          <w:i/>
        </w:rPr>
        <w:t xml:space="preserve">– </w:t>
      </w:r>
      <w:r w:rsidRPr="00EF2D2B">
        <w:rPr>
          <w:i/>
          <w:spacing w:val="6"/>
        </w:rPr>
        <w:t xml:space="preserve">Part </w:t>
      </w:r>
      <w:r w:rsidRPr="00EF2D2B">
        <w:rPr>
          <w:i/>
          <w:spacing w:val="3"/>
        </w:rPr>
        <w:t xml:space="preserve">1: </w:t>
      </w:r>
      <w:r w:rsidRPr="00EF2D2B">
        <w:rPr>
          <w:i/>
          <w:spacing w:val="6"/>
        </w:rPr>
        <w:t>Service</w:t>
      </w:r>
      <w:r w:rsidRPr="00EF2D2B">
        <w:rPr>
          <w:i/>
          <w:spacing w:val="8"/>
        </w:rPr>
        <w:t>Definition</w:t>
      </w:r>
    </w:p>
    <w:p w:rsidR="004042A1" w:rsidRPr="00EA2FCA" w:rsidRDefault="004042A1" w:rsidP="00472036">
      <w:pPr>
        <w:pStyle w:val="ListParagraph"/>
        <w:widowControl w:val="0"/>
        <w:numPr>
          <w:ilvl w:val="0"/>
          <w:numId w:val="35"/>
        </w:numPr>
        <w:tabs>
          <w:tab w:val="left" w:pos="0"/>
          <w:tab w:val="left" w:pos="1075"/>
          <w:tab w:val="left" w:pos="1076"/>
          <w:tab w:val="left" w:pos="1680"/>
          <w:tab w:val="left" w:pos="3190"/>
          <w:tab w:val="left" w:pos="4317"/>
          <w:tab w:val="left" w:pos="5621"/>
          <w:tab w:val="left" w:pos="6713"/>
          <w:tab w:val="left" w:pos="8317"/>
        </w:tabs>
        <w:autoSpaceDE w:val="0"/>
        <w:autoSpaceDN w:val="0"/>
        <w:spacing w:before="1" w:after="0"/>
        <w:ind w:right="402"/>
        <w:contextualSpacing w:val="0"/>
        <w:jc w:val="left"/>
        <w:rPr>
          <w:i/>
        </w:rPr>
      </w:pPr>
      <w:r w:rsidRPr="00EF2D2B">
        <w:rPr>
          <w:spacing w:val="5"/>
        </w:rPr>
        <w:t>ISO</w:t>
      </w:r>
      <w:r w:rsidRPr="00EF2D2B">
        <w:rPr>
          <w:spacing w:val="5"/>
        </w:rPr>
        <w:tab/>
      </w:r>
      <w:r w:rsidRPr="00EF2D2B">
        <w:rPr>
          <w:spacing w:val="7"/>
        </w:rPr>
        <w:t>9506-2:2003,</w:t>
      </w:r>
      <w:r w:rsidRPr="00EF2D2B">
        <w:rPr>
          <w:spacing w:val="7"/>
        </w:rPr>
        <w:tab/>
      </w:r>
      <w:r w:rsidRPr="00EF2D2B">
        <w:rPr>
          <w:i/>
          <w:spacing w:val="7"/>
        </w:rPr>
        <w:t>Industrial</w:t>
      </w:r>
      <w:r w:rsidRPr="00EF2D2B">
        <w:rPr>
          <w:i/>
          <w:spacing w:val="7"/>
        </w:rPr>
        <w:tab/>
        <w:t>automation</w:t>
      </w:r>
      <w:r w:rsidRPr="00EF2D2B">
        <w:rPr>
          <w:i/>
          <w:spacing w:val="7"/>
        </w:rPr>
        <w:tab/>
        <w:t>systems,</w:t>
      </w:r>
      <w:r w:rsidRPr="00EF2D2B">
        <w:rPr>
          <w:i/>
          <w:spacing w:val="7"/>
        </w:rPr>
        <w:tab/>
        <w:t>Manufacturing</w:t>
      </w:r>
      <w:r w:rsidRPr="00EF2D2B">
        <w:rPr>
          <w:i/>
          <w:spacing w:val="7"/>
        </w:rPr>
        <w:tab/>
      </w:r>
      <w:r w:rsidRPr="00EF2D2B">
        <w:rPr>
          <w:i/>
          <w:spacing w:val="5"/>
        </w:rPr>
        <w:t xml:space="preserve">Message </w:t>
      </w:r>
      <w:r w:rsidRPr="00EF2D2B">
        <w:rPr>
          <w:i/>
          <w:spacing w:val="7"/>
        </w:rPr>
        <w:t xml:space="preserve">Specification </w:t>
      </w:r>
      <w:r w:rsidRPr="00EF2D2B">
        <w:rPr>
          <w:i/>
        </w:rPr>
        <w:t xml:space="preserve">– </w:t>
      </w:r>
      <w:r w:rsidRPr="00EF2D2B">
        <w:rPr>
          <w:i/>
          <w:spacing w:val="6"/>
        </w:rPr>
        <w:t xml:space="preserve">Part </w:t>
      </w:r>
      <w:r w:rsidRPr="00EF2D2B">
        <w:rPr>
          <w:i/>
          <w:spacing w:val="3"/>
        </w:rPr>
        <w:t xml:space="preserve">1: </w:t>
      </w:r>
      <w:r w:rsidRPr="00EF2D2B">
        <w:rPr>
          <w:i/>
          <w:spacing w:val="6"/>
        </w:rPr>
        <w:t>Protocol</w:t>
      </w:r>
      <w:r w:rsidRPr="00EF2D2B">
        <w:rPr>
          <w:i/>
          <w:spacing w:val="7"/>
        </w:rPr>
        <w:t>Specification</w:t>
      </w:r>
    </w:p>
    <w:p w:rsidR="004042A1" w:rsidRPr="00EA2FCA" w:rsidRDefault="004042A1" w:rsidP="00472036">
      <w:pPr>
        <w:pStyle w:val="ListParagraph"/>
        <w:widowControl w:val="0"/>
        <w:numPr>
          <w:ilvl w:val="0"/>
          <w:numId w:val="35"/>
        </w:numPr>
        <w:tabs>
          <w:tab w:val="left" w:pos="0"/>
          <w:tab w:val="left" w:pos="1075"/>
          <w:tab w:val="left" w:pos="1076"/>
        </w:tabs>
        <w:autoSpaceDE w:val="0"/>
        <w:autoSpaceDN w:val="0"/>
        <w:spacing w:after="0"/>
        <w:ind w:left="1075" w:right="408"/>
        <w:contextualSpacing w:val="0"/>
        <w:jc w:val="left"/>
        <w:rPr>
          <w:i/>
        </w:rPr>
      </w:pPr>
      <w:r w:rsidRPr="00EF2D2B">
        <w:rPr>
          <w:spacing w:val="7"/>
        </w:rPr>
        <w:t xml:space="preserve">IEC/IEEE 60255-118-1, </w:t>
      </w:r>
      <w:r w:rsidRPr="00EF2D2B">
        <w:rPr>
          <w:i/>
          <w:spacing w:val="6"/>
        </w:rPr>
        <w:t xml:space="preserve">Measuring relays </w:t>
      </w:r>
      <w:r w:rsidRPr="00EF2D2B">
        <w:rPr>
          <w:i/>
          <w:spacing w:val="5"/>
        </w:rPr>
        <w:t xml:space="preserve">and </w:t>
      </w:r>
      <w:r w:rsidRPr="00EF2D2B">
        <w:rPr>
          <w:i/>
          <w:spacing w:val="7"/>
        </w:rPr>
        <w:t xml:space="preserve">protection </w:t>
      </w:r>
      <w:r w:rsidRPr="00EF2D2B">
        <w:rPr>
          <w:i/>
          <w:spacing w:val="6"/>
        </w:rPr>
        <w:t xml:space="preserve">equipment </w:t>
      </w:r>
      <w:r w:rsidRPr="00EF2D2B">
        <w:rPr>
          <w:i/>
        </w:rPr>
        <w:t xml:space="preserve">– </w:t>
      </w:r>
      <w:r w:rsidRPr="00EF2D2B">
        <w:rPr>
          <w:i/>
          <w:spacing w:val="5"/>
        </w:rPr>
        <w:t xml:space="preserve">Part </w:t>
      </w:r>
      <w:r w:rsidRPr="00EF2D2B">
        <w:rPr>
          <w:i/>
          <w:spacing w:val="6"/>
        </w:rPr>
        <w:t xml:space="preserve">118-1 </w:t>
      </w:r>
      <w:r w:rsidRPr="00EF2D2B">
        <w:rPr>
          <w:i/>
          <w:spacing w:val="7"/>
        </w:rPr>
        <w:t xml:space="preserve">Synchrophasor </w:t>
      </w:r>
      <w:r w:rsidRPr="00EF2D2B">
        <w:rPr>
          <w:i/>
          <w:spacing w:val="5"/>
        </w:rPr>
        <w:t xml:space="preserve">for </w:t>
      </w:r>
      <w:r w:rsidRPr="00EF2D2B">
        <w:rPr>
          <w:i/>
          <w:spacing w:val="6"/>
        </w:rPr>
        <w:t xml:space="preserve">power system </w:t>
      </w:r>
      <w:r w:rsidRPr="00EF2D2B">
        <w:rPr>
          <w:i/>
        </w:rPr>
        <w:t>–</w:t>
      </w:r>
      <w:r w:rsidRPr="00EF2D2B">
        <w:rPr>
          <w:i/>
          <w:spacing w:val="6"/>
        </w:rPr>
        <w:t xml:space="preserve"> Measurements</w:t>
      </w:r>
    </w:p>
    <w:p w:rsidR="004042A1" w:rsidRPr="00EA2FCA" w:rsidRDefault="004042A1" w:rsidP="00472036">
      <w:pPr>
        <w:pStyle w:val="ListParagraph"/>
        <w:widowControl w:val="0"/>
        <w:numPr>
          <w:ilvl w:val="0"/>
          <w:numId w:val="35"/>
        </w:numPr>
        <w:tabs>
          <w:tab w:val="left" w:pos="0"/>
          <w:tab w:val="left" w:pos="1075"/>
          <w:tab w:val="left" w:pos="1076"/>
        </w:tabs>
        <w:autoSpaceDE w:val="0"/>
        <w:autoSpaceDN w:val="0"/>
        <w:spacing w:after="0"/>
        <w:ind w:hanging="599"/>
        <w:contextualSpacing w:val="0"/>
        <w:jc w:val="left"/>
        <w:rPr>
          <w:i/>
        </w:rPr>
      </w:pPr>
      <w:r w:rsidRPr="00EF2D2B">
        <w:rPr>
          <w:spacing w:val="5"/>
        </w:rPr>
        <w:t xml:space="preserve">IEEE </w:t>
      </w:r>
      <w:r w:rsidRPr="00EF2D2B">
        <w:rPr>
          <w:spacing w:val="7"/>
        </w:rPr>
        <w:t xml:space="preserve">1344:1995, </w:t>
      </w:r>
      <w:r w:rsidRPr="00EF2D2B">
        <w:rPr>
          <w:i/>
          <w:spacing w:val="6"/>
        </w:rPr>
        <w:t xml:space="preserve">IEEE Standard </w:t>
      </w:r>
      <w:r w:rsidRPr="00EF2D2B">
        <w:rPr>
          <w:i/>
          <w:spacing w:val="5"/>
        </w:rPr>
        <w:t xml:space="preserve">for </w:t>
      </w:r>
      <w:r w:rsidRPr="00EF2D2B">
        <w:rPr>
          <w:i/>
          <w:spacing w:val="7"/>
        </w:rPr>
        <w:t xml:space="preserve">Synchrophasors </w:t>
      </w:r>
      <w:r w:rsidRPr="00EF2D2B">
        <w:rPr>
          <w:i/>
          <w:spacing w:val="5"/>
        </w:rPr>
        <w:t>for Power</w:t>
      </w:r>
      <w:r w:rsidRPr="00EF2D2B">
        <w:rPr>
          <w:i/>
          <w:spacing w:val="7"/>
        </w:rPr>
        <w:t>Systems</w:t>
      </w:r>
    </w:p>
    <w:p w:rsidR="004042A1" w:rsidRDefault="004042A1" w:rsidP="00F57390">
      <w:pPr>
        <w:ind w:left="0" w:firstLine="0"/>
        <w:jc w:val="center"/>
        <w:rPr>
          <w:b/>
          <w:lang w:val="en-US"/>
        </w:rPr>
      </w:pPr>
    </w:p>
    <w:p w:rsidR="004042A1" w:rsidRPr="00EF2D2B" w:rsidRDefault="004042A1" w:rsidP="004042A1">
      <w:pPr>
        <w:pStyle w:val="BodyText"/>
        <w:tabs>
          <w:tab w:val="left" w:pos="0"/>
        </w:tabs>
        <w:spacing w:line="276" w:lineRule="auto"/>
        <w:ind w:right="2219"/>
        <w:rPr>
          <w:sz w:val="24"/>
          <w:szCs w:val="24"/>
          <w:lang w:val="mn-MN"/>
        </w:rPr>
      </w:pPr>
    </w:p>
    <w:p w:rsidR="006148BD" w:rsidRDefault="006148BD" w:rsidP="00F57390">
      <w:pPr>
        <w:ind w:left="0" w:firstLine="0"/>
        <w:jc w:val="center"/>
        <w:rPr>
          <w:b/>
          <w:lang w:val="en-US"/>
        </w:rPr>
      </w:pPr>
    </w:p>
    <w:p w:rsidR="006148BD" w:rsidRDefault="006148BD" w:rsidP="00F57390">
      <w:pPr>
        <w:ind w:left="0" w:firstLine="0"/>
        <w:jc w:val="center"/>
        <w:rPr>
          <w:b/>
          <w:lang w:val="en-US"/>
        </w:rPr>
      </w:pPr>
    </w:p>
    <w:p w:rsidR="006148BD" w:rsidRDefault="006148BD" w:rsidP="00F57390">
      <w:pPr>
        <w:ind w:left="0" w:firstLine="0"/>
        <w:jc w:val="center"/>
        <w:rPr>
          <w:b/>
          <w:lang w:val="en-US"/>
        </w:rPr>
      </w:pPr>
    </w:p>
    <w:p w:rsidR="00F57390" w:rsidRDefault="00F57390" w:rsidP="00F57390">
      <w:pPr>
        <w:jc w:val="center"/>
        <w:rPr>
          <w:b/>
        </w:rPr>
      </w:pPr>
    </w:p>
    <w:p w:rsidR="00F57390" w:rsidRPr="00731F96" w:rsidRDefault="00F57390" w:rsidP="00F57390">
      <w:pPr>
        <w:jc w:val="center"/>
        <w:rPr>
          <w:b/>
        </w:rPr>
      </w:pPr>
    </w:p>
    <w:p w:rsidR="00F57390" w:rsidRDefault="00F57390" w:rsidP="00F57390">
      <w:pPr>
        <w:ind w:left="0" w:firstLine="0"/>
        <w:jc w:val="center"/>
        <w:rPr>
          <w:b/>
          <w:lang w:val="en-US"/>
        </w:rPr>
      </w:pPr>
    </w:p>
    <w:p w:rsidR="00F57390" w:rsidRDefault="00F57390" w:rsidP="00F57390">
      <w:pPr>
        <w:ind w:left="0" w:firstLine="0"/>
        <w:jc w:val="center"/>
        <w:rPr>
          <w:b/>
        </w:rPr>
      </w:pPr>
    </w:p>
    <w:p w:rsidR="00F57390" w:rsidRPr="00EF2D2B" w:rsidRDefault="00F57390" w:rsidP="00F57390">
      <w:pPr>
        <w:ind w:left="0" w:firstLine="0"/>
        <w:jc w:val="center"/>
        <w:rPr>
          <w:b/>
        </w:rPr>
      </w:pPr>
    </w:p>
    <w:p w:rsidR="00F57390" w:rsidRPr="00731F96" w:rsidRDefault="00F57390" w:rsidP="009602BB">
      <w:pPr>
        <w:tabs>
          <w:tab w:val="left" w:pos="0"/>
        </w:tabs>
        <w:jc w:val="center"/>
        <w:rPr>
          <w:b/>
        </w:rPr>
      </w:pPr>
    </w:p>
    <w:p w:rsidR="009602BB" w:rsidRPr="00D159BF" w:rsidRDefault="009602BB" w:rsidP="00E07CB1">
      <w:pPr>
        <w:ind w:left="0" w:firstLine="0"/>
        <w:jc w:val="center"/>
        <w:rPr>
          <w:b/>
          <w:lang w:val="en-US"/>
        </w:rPr>
      </w:pPr>
    </w:p>
    <w:p w:rsidR="007A69FC" w:rsidRDefault="007A69FC" w:rsidP="00CD1812">
      <w:pPr>
        <w:ind w:left="0" w:firstLine="0"/>
        <w:jc w:val="center"/>
        <w:rPr>
          <w:b/>
        </w:rPr>
      </w:pPr>
    </w:p>
    <w:p w:rsidR="003209C3" w:rsidRDefault="003209C3" w:rsidP="00CD1812">
      <w:pPr>
        <w:ind w:left="0" w:firstLine="0"/>
        <w:jc w:val="center"/>
        <w:rPr>
          <w:b/>
        </w:rPr>
      </w:pPr>
    </w:p>
    <w:p w:rsidR="002F6308" w:rsidRPr="00D33687" w:rsidRDefault="002F6308" w:rsidP="002F6308">
      <w:pPr>
        <w:tabs>
          <w:tab w:val="left" w:pos="0"/>
        </w:tabs>
        <w:ind w:left="870"/>
      </w:pPr>
    </w:p>
    <w:p w:rsidR="002F6308" w:rsidRDefault="002F6308" w:rsidP="00CD1812">
      <w:pPr>
        <w:ind w:left="0" w:firstLine="0"/>
        <w:jc w:val="center"/>
        <w:rPr>
          <w:b/>
        </w:rPr>
      </w:pPr>
    </w:p>
    <w:p w:rsidR="002F6308" w:rsidRDefault="002F6308" w:rsidP="00CD1812">
      <w:pPr>
        <w:ind w:left="0" w:firstLine="0"/>
        <w:jc w:val="center"/>
        <w:rPr>
          <w:b/>
        </w:rPr>
      </w:pPr>
    </w:p>
    <w:p w:rsidR="000A1C8C" w:rsidRPr="00731F96" w:rsidRDefault="000A1C8C" w:rsidP="000A1C8C">
      <w:pPr>
        <w:jc w:val="center"/>
        <w:rPr>
          <w:b/>
        </w:rPr>
      </w:pPr>
    </w:p>
    <w:p w:rsidR="000A1C8C" w:rsidRDefault="000A1C8C" w:rsidP="00CD1812">
      <w:pPr>
        <w:ind w:left="0" w:firstLine="0"/>
        <w:jc w:val="center"/>
        <w:rPr>
          <w:b/>
        </w:rPr>
      </w:pPr>
    </w:p>
    <w:p w:rsidR="000A1C8C" w:rsidRDefault="000A1C8C" w:rsidP="000A1C8C">
      <w:pPr>
        <w:jc w:val="center"/>
        <w:rPr>
          <w:b/>
        </w:rPr>
      </w:pPr>
    </w:p>
    <w:p w:rsidR="000A1C8C" w:rsidRPr="00731F96" w:rsidRDefault="000A1C8C" w:rsidP="000A1C8C">
      <w:pPr>
        <w:jc w:val="center"/>
        <w:rPr>
          <w:b/>
        </w:rPr>
      </w:pPr>
    </w:p>
    <w:p w:rsidR="000A1C8C" w:rsidRPr="00731F96" w:rsidRDefault="000A1C8C" w:rsidP="000A1C8C">
      <w:pPr>
        <w:jc w:val="center"/>
        <w:rPr>
          <w:b/>
        </w:rPr>
      </w:pPr>
    </w:p>
    <w:p w:rsidR="000A1C8C" w:rsidRPr="00731F96" w:rsidRDefault="000A1C8C" w:rsidP="00CD1812">
      <w:pPr>
        <w:ind w:left="0" w:firstLine="0"/>
        <w:jc w:val="center"/>
        <w:rPr>
          <w:b/>
        </w:rPr>
      </w:pPr>
    </w:p>
    <w:p w:rsidR="00CD1812" w:rsidRDefault="00CD1812" w:rsidP="00095C1D">
      <w:pPr>
        <w:tabs>
          <w:tab w:val="left" w:pos="142"/>
        </w:tabs>
        <w:ind w:left="142"/>
        <w:jc w:val="center"/>
        <w:rPr>
          <w:b/>
        </w:rPr>
      </w:pPr>
    </w:p>
    <w:p w:rsidR="00CD1812" w:rsidRDefault="00CD1812" w:rsidP="00095C1D">
      <w:pPr>
        <w:tabs>
          <w:tab w:val="left" w:pos="142"/>
        </w:tabs>
        <w:ind w:left="142"/>
        <w:jc w:val="center"/>
        <w:rPr>
          <w:b/>
        </w:rPr>
      </w:pPr>
    </w:p>
    <w:p w:rsidR="00CD1812" w:rsidRPr="00CD1812" w:rsidRDefault="00CD1812" w:rsidP="00CD1812">
      <w:pPr>
        <w:jc w:val="center"/>
      </w:pPr>
    </w:p>
    <w:p w:rsidR="00CD1812" w:rsidRPr="00CD1812" w:rsidRDefault="00CD1812" w:rsidP="00095C1D">
      <w:pPr>
        <w:tabs>
          <w:tab w:val="left" w:pos="142"/>
        </w:tabs>
        <w:ind w:left="142"/>
        <w:jc w:val="center"/>
      </w:pPr>
    </w:p>
    <w:p w:rsidR="003738D7" w:rsidRPr="00EF2D2B" w:rsidRDefault="003738D7" w:rsidP="003738D7">
      <w:pPr>
        <w:jc w:val="center"/>
        <w:rPr>
          <w:b/>
        </w:rPr>
      </w:pPr>
    </w:p>
    <w:p w:rsidR="003738D7" w:rsidRDefault="003738D7" w:rsidP="00095C1D">
      <w:pPr>
        <w:tabs>
          <w:tab w:val="left" w:pos="142"/>
        </w:tabs>
        <w:ind w:left="142"/>
        <w:jc w:val="center"/>
        <w:rPr>
          <w:b/>
        </w:rPr>
      </w:pPr>
    </w:p>
    <w:p w:rsidR="003738D7" w:rsidRPr="003738D7" w:rsidRDefault="003738D7" w:rsidP="00095C1D">
      <w:pPr>
        <w:tabs>
          <w:tab w:val="left" w:pos="142"/>
        </w:tabs>
        <w:ind w:left="142"/>
        <w:jc w:val="center"/>
        <w:rPr>
          <w:b/>
        </w:rPr>
      </w:pPr>
    </w:p>
    <w:p w:rsidR="00B70A0D" w:rsidRPr="00A660DC" w:rsidRDefault="00B70A0D" w:rsidP="00B70A0D">
      <w:pPr>
        <w:jc w:val="center"/>
        <w:rPr>
          <w:b/>
        </w:rPr>
      </w:pPr>
    </w:p>
    <w:p w:rsidR="00235E69" w:rsidRDefault="00235E69" w:rsidP="00CC195F">
      <w:pPr>
        <w:ind w:left="0" w:firstLine="0"/>
      </w:pPr>
    </w:p>
    <w:p w:rsidR="00811BEA" w:rsidRPr="00811BEA" w:rsidRDefault="00811BEA" w:rsidP="00811BEA">
      <w:pPr>
        <w:ind w:left="0" w:firstLine="0"/>
        <w:jc w:val="center"/>
        <w:rPr>
          <w:b/>
          <w:lang w:val="en-US"/>
        </w:rPr>
        <w:sectPr w:rsidR="00811BEA" w:rsidRPr="00811BEA" w:rsidSect="001C4C31">
          <w:headerReference w:type="default" r:id="rId132"/>
          <w:footerReference w:type="default" r:id="rId133"/>
          <w:pgSz w:w="11906" w:h="16838"/>
          <w:pgMar w:top="1134" w:right="851" w:bottom="1134" w:left="1701" w:header="709" w:footer="709" w:gutter="0"/>
          <w:cols w:space="708"/>
          <w:docGrid w:linePitch="360"/>
        </w:sectPr>
      </w:pPr>
    </w:p>
    <w:p w:rsidR="001C4C31" w:rsidRPr="00A71B0E" w:rsidRDefault="001C4C31" w:rsidP="001C4C31">
      <w:pPr>
        <w:ind w:left="0" w:firstLine="0"/>
        <w:rPr>
          <w:lang w:val="en-US"/>
        </w:rPr>
      </w:pPr>
    </w:p>
    <w:sectPr w:rsidR="001C4C31" w:rsidRPr="00A71B0E" w:rsidSect="001C4C31">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F6D" w:rsidRDefault="002B3F6D">
      <w:pPr>
        <w:spacing w:after="0" w:line="240" w:lineRule="auto"/>
      </w:pPr>
      <w:r>
        <w:separator/>
      </w:r>
    </w:p>
  </w:endnote>
  <w:endnote w:type="continuationSeparator" w:id="0">
    <w:p w:rsidR="002B3F6D" w:rsidRDefault="002B3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5173776"/>
      <w:docPartObj>
        <w:docPartGallery w:val="Page Numbers (Bottom of Page)"/>
        <w:docPartUnique/>
      </w:docPartObj>
    </w:sdtPr>
    <w:sdtEndPr>
      <w:rPr>
        <w:sz w:val="20"/>
        <w:szCs w:val="20"/>
      </w:rPr>
    </w:sdtEndPr>
    <w:sdtContent>
      <w:p w:rsidR="00D80958" w:rsidRPr="00247286" w:rsidRDefault="00D80958">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CC195F">
          <w:rPr>
            <w:noProof/>
            <w:sz w:val="20"/>
            <w:szCs w:val="20"/>
          </w:rPr>
          <w:t>284</w:t>
        </w:r>
        <w:r w:rsidRPr="00247286">
          <w:rPr>
            <w:sz w:val="20"/>
            <w:szCs w:val="20"/>
          </w:rPr>
          <w:fldChar w:fldCharType="end"/>
        </w:r>
      </w:p>
    </w:sdtContent>
  </w:sdt>
  <w:p w:rsidR="00D80958" w:rsidRDefault="00D809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F6D" w:rsidRDefault="002B3F6D">
      <w:pPr>
        <w:spacing w:after="0" w:line="240" w:lineRule="auto"/>
      </w:pPr>
      <w:r>
        <w:separator/>
      </w:r>
    </w:p>
  </w:footnote>
  <w:footnote w:type="continuationSeparator" w:id="0">
    <w:p w:rsidR="002B3F6D" w:rsidRDefault="002B3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958" w:rsidRPr="000D7C43" w:rsidRDefault="00D80958" w:rsidP="001C4C31">
    <w:pPr>
      <w:pStyle w:val="Header"/>
      <w:ind w:left="0" w:firstLine="0"/>
      <w:rPr>
        <w:b/>
      </w:rPr>
    </w:pPr>
    <w:r>
      <w:rPr>
        <w:b/>
        <w:lang w:val="en-US"/>
      </w:rPr>
      <w:t>MNS IEC 61850-90-5:2021</w:t>
    </w:r>
  </w:p>
  <w:p w:rsidR="00D80958" w:rsidRDefault="00D80958" w:rsidP="001C4C31">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45C"/>
    <w:multiLevelType w:val="multilevel"/>
    <w:tmpl w:val="5CAE44AD"/>
    <w:lvl w:ilvl="0">
      <w:numFmt w:val="bullet"/>
      <w:lvlText w:val="–"/>
      <w:lvlJc w:val="left"/>
      <w:pPr>
        <w:ind w:left="836" w:hanging="341"/>
      </w:pPr>
      <w:rPr>
        <w:rFonts w:ascii="Arial" w:eastAsia="Arial" w:hAnsi="Arial" w:cs="Arial" w:hint="default"/>
        <w:b/>
        <w:bCs/>
        <w:w w:val="99"/>
        <w:sz w:val="20"/>
        <w:szCs w:val="20"/>
        <w:lang w:val="en-US" w:eastAsia="en-US" w:bidi="ar-SA"/>
      </w:rPr>
    </w:lvl>
    <w:lvl w:ilvl="1">
      <w:numFmt w:val="bullet"/>
      <w:lvlText w:val="•"/>
      <w:lvlJc w:val="left"/>
      <w:pPr>
        <w:ind w:left="1778" w:hanging="341"/>
      </w:pPr>
      <w:rPr>
        <w:rFonts w:hint="default"/>
        <w:b/>
        <w:bCs/>
        <w:spacing w:val="0"/>
        <w:w w:val="99"/>
        <w:sz w:val="20"/>
        <w:szCs w:val="20"/>
        <w:lang w:val="en-US" w:eastAsia="en-US" w:bidi="ar-SA"/>
      </w:rPr>
    </w:lvl>
    <w:lvl w:ilvl="2">
      <w:numFmt w:val="bullet"/>
      <w:lvlText w:val="•"/>
      <w:lvlJc w:val="left"/>
      <w:pPr>
        <w:ind w:left="2717" w:hanging="341"/>
      </w:pPr>
      <w:rPr>
        <w:rFonts w:hint="default"/>
        <w:b/>
        <w:bCs/>
        <w:spacing w:val="0"/>
        <w:w w:val="99"/>
        <w:sz w:val="20"/>
        <w:szCs w:val="20"/>
        <w:lang w:val="en-US" w:eastAsia="en-US" w:bidi="ar-SA"/>
      </w:rPr>
    </w:lvl>
    <w:lvl w:ilvl="3">
      <w:numFmt w:val="bullet"/>
      <w:lvlText w:val="•"/>
      <w:lvlJc w:val="left"/>
      <w:pPr>
        <w:ind w:left="3655" w:hanging="341"/>
      </w:pPr>
      <w:rPr>
        <w:rFonts w:hint="default"/>
        <w:b/>
        <w:bCs/>
        <w:spacing w:val="0"/>
        <w:w w:val="99"/>
        <w:sz w:val="20"/>
        <w:szCs w:val="20"/>
        <w:lang w:val="en-US" w:eastAsia="en-US" w:bidi="ar-SA"/>
      </w:rPr>
    </w:lvl>
    <w:lvl w:ilvl="4">
      <w:numFmt w:val="bullet"/>
      <w:lvlText w:val="•"/>
      <w:lvlJc w:val="left"/>
      <w:pPr>
        <w:ind w:left="4594" w:hanging="341"/>
      </w:pPr>
      <w:rPr>
        <w:rFonts w:hint="default"/>
        <w:b/>
        <w:bCs/>
        <w:spacing w:val="0"/>
        <w:w w:val="99"/>
        <w:sz w:val="20"/>
        <w:szCs w:val="20"/>
        <w:lang w:val="en-US" w:eastAsia="en-US" w:bidi="ar-SA"/>
      </w:rPr>
    </w:lvl>
    <w:lvl w:ilvl="5">
      <w:numFmt w:val="bullet"/>
      <w:lvlText w:val="•"/>
      <w:lvlJc w:val="left"/>
      <w:pPr>
        <w:ind w:left="5533" w:hanging="341"/>
      </w:pPr>
      <w:rPr>
        <w:rFonts w:hint="default"/>
        <w:w w:val="99"/>
        <w:sz w:val="20"/>
        <w:szCs w:val="20"/>
        <w:lang w:val="en-US" w:eastAsia="en-US" w:bidi="ar-SA"/>
      </w:rPr>
    </w:lvl>
    <w:lvl w:ilvl="6">
      <w:numFmt w:val="bullet"/>
      <w:lvlText w:val="•"/>
      <w:lvlJc w:val="left"/>
      <w:pPr>
        <w:ind w:left="6471" w:hanging="341"/>
      </w:pPr>
      <w:rPr>
        <w:rFonts w:hint="default"/>
        <w:lang w:val="en-US" w:eastAsia="en-US" w:bidi="ar-SA"/>
      </w:rPr>
    </w:lvl>
    <w:lvl w:ilvl="7">
      <w:numFmt w:val="bullet"/>
      <w:lvlText w:val="•"/>
      <w:lvlJc w:val="left"/>
      <w:pPr>
        <w:ind w:left="7410" w:hanging="341"/>
      </w:pPr>
      <w:rPr>
        <w:rFonts w:hint="default"/>
        <w:lang w:val="en-US" w:eastAsia="en-US" w:bidi="ar-SA"/>
      </w:rPr>
    </w:lvl>
    <w:lvl w:ilvl="8">
      <w:numFmt w:val="bullet"/>
      <w:lvlText w:val="•"/>
      <w:lvlJc w:val="left"/>
      <w:pPr>
        <w:ind w:left="8349" w:hanging="341"/>
      </w:pPr>
      <w:rPr>
        <w:rFonts w:hint="default"/>
        <w:lang w:val="en-US" w:eastAsia="en-US" w:bidi="ar-SA"/>
      </w:rPr>
    </w:lvl>
  </w:abstractNum>
  <w:abstractNum w:abstractNumId="1" w15:restartNumberingAfterBreak="0">
    <w:nsid w:val="0251104E"/>
    <w:multiLevelType w:val="hybridMultilevel"/>
    <w:tmpl w:val="BDDA0F3E"/>
    <w:lvl w:ilvl="0" w:tplc="1C240AD4">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44C2B"/>
    <w:multiLevelType w:val="hybridMultilevel"/>
    <w:tmpl w:val="676881DE"/>
    <w:lvl w:ilvl="0" w:tplc="25A69364">
      <w:numFmt w:val="bullet"/>
      <w:lvlText w:val=""/>
      <w:lvlJc w:val="left"/>
      <w:pPr>
        <w:ind w:left="899" w:hanging="341"/>
      </w:pPr>
      <w:rPr>
        <w:rFonts w:ascii="Symbol" w:eastAsia="Symbol" w:hAnsi="Symbol" w:cs="Symbol" w:hint="default"/>
        <w:w w:val="99"/>
        <w:sz w:val="20"/>
        <w:szCs w:val="20"/>
        <w:lang w:val="en-US" w:eastAsia="en-US" w:bidi="ar-SA"/>
      </w:rPr>
    </w:lvl>
    <w:lvl w:ilvl="1" w:tplc="E5E66248">
      <w:numFmt w:val="bullet"/>
      <w:lvlText w:val="–"/>
      <w:lvlJc w:val="left"/>
      <w:pPr>
        <w:ind w:left="1236" w:hanging="339"/>
      </w:pPr>
      <w:rPr>
        <w:rFonts w:ascii="Arial" w:eastAsia="Arial" w:hAnsi="Arial" w:cs="Arial" w:hint="default"/>
        <w:w w:val="99"/>
        <w:sz w:val="20"/>
        <w:szCs w:val="20"/>
        <w:lang w:val="en-US" w:eastAsia="en-US" w:bidi="ar-SA"/>
      </w:rPr>
    </w:lvl>
    <w:lvl w:ilvl="2" w:tplc="D29E7C38">
      <w:numFmt w:val="bullet"/>
      <w:lvlText w:val="•"/>
      <w:lvlJc w:val="left"/>
      <w:pPr>
        <w:ind w:left="2227" w:hanging="339"/>
      </w:pPr>
      <w:rPr>
        <w:rFonts w:hint="default"/>
        <w:lang w:val="en-US" w:eastAsia="en-US" w:bidi="ar-SA"/>
      </w:rPr>
    </w:lvl>
    <w:lvl w:ilvl="3" w:tplc="073E3FE8">
      <w:numFmt w:val="bullet"/>
      <w:lvlText w:val="•"/>
      <w:lvlJc w:val="left"/>
      <w:pPr>
        <w:ind w:left="3214" w:hanging="339"/>
      </w:pPr>
      <w:rPr>
        <w:rFonts w:hint="default"/>
        <w:lang w:val="en-US" w:eastAsia="en-US" w:bidi="ar-SA"/>
      </w:rPr>
    </w:lvl>
    <w:lvl w:ilvl="4" w:tplc="1EF4F1F2">
      <w:numFmt w:val="bullet"/>
      <w:lvlText w:val="•"/>
      <w:lvlJc w:val="left"/>
      <w:pPr>
        <w:ind w:left="4202" w:hanging="339"/>
      </w:pPr>
      <w:rPr>
        <w:rFonts w:hint="default"/>
        <w:lang w:val="en-US" w:eastAsia="en-US" w:bidi="ar-SA"/>
      </w:rPr>
    </w:lvl>
    <w:lvl w:ilvl="5" w:tplc="55D41D34">
      <w:numFmt w:val="bullet"/>
      <w:lvlText w:val="•"/>
      <w:lvlJc w:val="left"/>
      <w:pPr>
        <w:ind w:left="5189" w:hanging="339"/>
      </w:pPr>
      <w:rPr>
        <w:rFonts w:hint="default"/>
        <w:lang w:val="en-US" w:eastAsia="en-US" w:bidi="ar-SA"/>
      </w:rPr>
    </w:lvl>
    <w:lvl w:ilvl="6" w:tplc="A1A25EC2">
      <w:numFmt w:val="bullet"/>
      <w:lvlText w:val="•"/>
      <w:lvlJc w:val="left"/>
      <w:pPr>
        <w:ind w:left="6176" w:hanging="339"/>
      </w:pPr>
      <w:rPr>
        <w:rFonts w:hint="default"/>
        <w:lang w:val="en-US" w:eastAsia="en-US" w:bidi="ar-SA"/>
      </w:rPr>
    </w:lvl>
    <w:lvl w:ilvl="7" w:tplc="9D3EED00">
      <w:numFmt w:val="bullet"/>
      <w:lvlText w:val="•"/>
      <w:lvlJc w:val="left"/>
      <w:pPr>
        <w:ind w:left="7164" w:hanging="339"/>
      </w:pPr>
      <w:rPr>
        <w:rFonts w:hint="default"/>
        <w:lang w:val="en-US" w:eastAsia="en-US" w:bidi="ar-SA"/>
      </w:rPr>
    </w:lvl>
    <w:lvl w:ilvl="8" w:tplc="DF7E9D9C">
      <w:numFmt w:val="bullet"/>
      <w:lvlText w:val="•"/>
      <w:lvlJc w:val="left"/>
      <w:pPr>
        <w:ind w:left="8151" w:hanging="339"/>
      </w:pPr>
      <w:rPr>
        <w:rFonts w:hint="default"/>
        <w:lang w:val="en-US" w:eastAsia="en-US" w:bidi="ar-SA"/>
      </w:rPr>
    </w:lvl>
  </w:abstractNum>
  <w:abstractNum w:abstractNumId="3" w15:restartNumberingAfterBreak="0">
    <w:nsid w:val="0A6C008A"/>
    <w:multiLevelType w:val="multilevel"/>
    <w:tmpl w:val="AAD6456C"/>
    <w:lvl w:ilvl="0">
      <w:start w:val="11"/>
      <w:numFmt w:val="decimal"/>
      <w:lvlText w:val="%1"/>
      <w:lvlJc w:val="left"/>
      <w:pPr>
        <w:ind w:left="660" w:hanging="660"/>
      </w:pPr>
      <w:rPr>
        <w:rFonts w:hint="default"/>
      </w:rPr>
    </w:lvl>
    <w:lvl w:ilvl="1">
      <w:start w:val="4"/>
      <w:numFmt w:val="decimal"/>
      <w:lvlText w:val="%1.%2"/>
      <w:lvlJc w:val="left"/>
      <w:pPr>
        <w:ind w:left="1370" w:hanging="6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19B31217"/>
    <w:multiLevelType w:val="multilevel"/>
    <w:tmpl w:val="02B053C8"/>
    <w:lvl w:ilvl="0">
      <w:start w:val="1"/>
      <w:numFmt w:val="decimal"/>
      <w:lvlText w:val="%1"/>
      <w:lvlJc w:val="left"/>
      <w:pPr>
        <w:ind w:left="680" w:hanging="396"/>
      </w:pPr>
      <w:rPr>
        <w:rFonts w:ascii="Arial" w:eastAsia="Arial" w:hAnsi="Arial" w:cs="Arial" w:hint="default"/>
        <w:w w:val="99"/>
        <w:sz w:val="24"/>
        <w:szCs w:val="24"/>
        <w:lang w:val="en-US" w:eastAsia="en-US" w:bidi="ar-SA"/>
      </w:rPr>
    </w:lvl>
    <w:lvl w:ilvl="1">
      <w:start w:val="1"/>
      <w:numFmt w:val="decimal"/>
      <w:lvlText w:val="%1.%2"/>
      <w:lvlJc w:val="left"/>
      <w:pPr>
        <w:ind w:left="1523" w:hanging="569"/>
      </w:pPr>
      <w:rPr>
        <w:rFonts w:ascii="Arial" w:eastAsia="Arial" w:hAnsi="Arial" w:cs="Arial" w:hint="default"/>
        <w:spacing w:val="0"/>
        <w:w w:val="99"/>
        <w:sz w:val="24"/>
        <w:szCs w:val="24"/>
        <w:lang w:val="en-US" w:eastAsia="en-US" w:bidi="ar-SA"/>
      </w:rPr>
    </w:lvl>
    <w:lvl w:ilvl="2">
      <w:start w:val="1"/>
      <w:numFmt w:val="decimal"/>
      <w:pStyle w:val="TOC4"/>
      <w:lvlText w:val="%1.%2.%3"/>
      <w:lvlJc w:val="left"/>
      <w:pPr>
        <w:ind w:left="2260" w:hanging="737"/>
      </w:pPr>
      <w:rPr>
        <w:rFonts w:ascii="Arial" w:eastAsia="Arial" w:hAnsi="Arial" w:cs="Arial" w:hint="default"/>
        <w:spacing w:val="0"/>
        <w:w w:val="99"/>
        <w:sz w:val="24"/>
        <w:szCs w:val="24"/>
        <w:lang w:val="mn-MN" w:eastAsia="en-US" w:bidi="ar-SA"/>
      </w:rPr>
    </w:lvl>
    <w:lvl w:ilvl="3">
      <w:numFmt w:val="bullet"/>
      <w:lvlText w:val="•"/>
      <w:lvlJc w:val="left"/>
      <w:pPr>
        <w:ind w:left="3243" w:hanging="737"/>
      </w:pPr>
      <w:rPr>
        <w:rFonts w:hint="default"/>
        <w:lang w:val="en-US" w:eastAsia="en-US" w:bidi="ar-SA"/>
      </w:rPr>
    </w:lvl>
    <w:lvl w:ilvl="4">
      <w:numFmt w:val="bullet"/>
      <w:lvlText w:val="•"/>
      <w:lvlJc w:val="left"/>
      <w:pPr>
        <w:ind w:left="4226" w:hanging="737"/>
      </w:pPr>
      <w:rPr>
        <w:rFonts w:hint="default"/>
        <w:lang w:val="en-US" w:eastAsia="en-US" w:bidi="ar-SA"/>
      </w:rPr>
    </w:lvl>
    <w:lvl w:ilvl="5">
      <w:numFmt w:val="bullet"/>
      <w:lvlText w:val="•"/>
      <w:lvlJc w:val="left"/>
      <w:pPr>
        <w:ind w:left="5209" w:hanging="737"/>
      </w:pPr>
      <w:rPr>
        <w:rFonts w:hint="default"/>
        <w:lang w:val="en-US" w:eastAsia="en-US" w:bidi="ar-SA"/>
      </w:rPr>
    </w:lvl>
    <w:lvl w:ilvl="6">
      <w:numFmt w:val="bullet"/>
      <w:lvlText w:val="•"/>
      <w:lvlJc w:val="left"/>
      <w:pPr>
        <w:ind w:left="6193" w:hanging="737"/>
      </w:pPr>
      <w:rPr>
        <w:rFonts w:hint="default"/>
        <w:lang w:val="en-US" w:eastAsia="en-US" w:bidi="ar-SA"/>
      </w:rPr>
    </w:lvl>
    <w:lvl w:ilvl="7">
      <w:numFmt w:val="bullet"/>
      <w:lvlText w:val="•"/>
      <w:lvlJc w:val="left"/>
      <w:pPr>
        <w:ind w:left="7176" w:hanging="737"/>
      </w:pPr>
      <w:rPr>
        <w:rFonts w:hint="default"/>
        <w:lang w:val="en-US" w:eastAsia="en-US" w:bidi="ar-SA"/>
      </w:rPr>
    </w:lvl>
    <w:lvl w:ilvl="8">
      <w:numFmt w:val="bullet"/>
      <w:lvlText w:val="•"/>
      <w:lvlJc w:val="left"/>
      <w:pPr>
        <w:ind w:left="8159" w:hanging="737"/>
      </w:pPr>
      <w:rPr>
        <w:rFonts w:hint="default"/>
        <w:lang w:val="en-US" w:eastAsia="en-US" w:bidi="ar-SA"/>
      </w:rPr>
    </w:lvl>
  </w:abstractNum>
  <w:abstractNum w:abstractNumId="5" w15:restartNumberingAfterBreak="0">
    <w:nsid w:val="1B176A19"/>
    <w:multiLevelType w:val="multilevel"/>
    <w:tmpl w:val="80EC4E22"/>
    <w:lvl w:ilvl="0">
      <w:start w:val="8"/>
      <w:numFmt w:val="decimal"/>
      <w:lvlText w:val="%1"/>
      <w:lvlJc w:val="left"/>
      <w:pPr>
        <w:ind w:left="954" w:hanging="397"/>
      </w:pPr>
      <w:rPr>
        <w:rFonts w:ascii="Arial" w:eastAsia="Arial" w:hAnsi="Arial" w:cs="Arial" w:hint="default"/>
        <w:b/>
        <w:bCs/>
        <w:w w:val="100"/>
        <w:sz w:val="22"/>
        <w:szCs w:val="22"/>
        <w:lang w:val="en-US" w:eastAsia="en-US" w:bidi="ar-SA"/>
      </w:rPr>
    </w:lvl>
    <w:lvl w:ilvl="1">
      <w:start w:val="1"/>
      <w:numFmt w:val="decimal"/>
      <w:lvlText w:val="%1.%2"/>
      <w:lvlJc w:val="left"/>
      <w:pPr>
        <w:ind w:left="1182" w:hanging="624"/>
      </w:pPr>
      <w:rPr>
        <w:rFonts w:ascii="Arial" w:eastAsia="Arial" w:hAnsi="Arial" w:cs="Arial" w:hint="default"/>
        <w:b/>
        <w:bCs/>
        <w:spacing w:val="0"/>
        <w:w w:val="99"/>
        <w:sz w:val="20"/>
        <w:szCs w:val="20"/>
        <w:lang w:val="en-US" w:eastAsia="en-US" w:bidi="ar-SA"/>
      </w:rPr>
    </w:lvl>
    <w:lvl w:ilvl="2">
      <w:start w:val="1"/>
      <w:numFmt w:val="decimal"/>
      <w:lvlText w:val="%1.%2.%3"/>
      <w:lvlJc w:val="left"/>
      <w:pPr>
        <w:ind w:left="1409" w:hanging="852"/>
      </w:pPr>
      <w:rPr>
        <w:rFonts w:ascii="Arial" w:eastAsia="Arial" w:hAnsi="Arial" w:cs="Arial" w:hint="default"/>
        <w:b/>
        <w:bCs/>
        <w:spacing w:val="0"/>
        <w:w w:val="99"/>
        <w:sz w:val="20"/>
        <w:szCs w:val="20"/>
        <w:lang w:val="en-US" w:eastAsia="en-US" w:bidi="ar-SA"/>
      </w:rPr>
    </w:lvl>
    <w:lvl w:ilvl="3">
      <w:start w:val="1"/>
      <w:numFmt w:val="decimal"/>
      <w:lvlText w:val="%1.%2.%3.%4"/>
      <w:lvlJc w:val="left"/>
      <w:pPr>
        <w:ind w:left="1635" w:hanging="1078"/>
      </w:pPr>
      <w:rPr>
        <w:rFonts w:ascii="Arial" w:eastAsia="Arial" w:hAnsi="Arial" w:cs="Arial" w:hint="default"/>
        <w:b/>
        <w:bCs/>
        <w:spacing w:val="0"/>
        <w:w w:val="99"/>
        <w:sz w:val="20"/>
        <w:szCs w:val="20"/>
        <w:lang w:val="en-US" w:eastAsia="en-US" w:bidi="ar-SA"/>
      </w:rPr>
    </w:lvl>
    <w:lvl w:ilvl="4">
      <w:start w:val="1"/>
      <w:numFmt w:val="decimal"/>
      <w:lvlText w:val="%1.%2.%3.%4.%5"/>
      <w:lvlJc w:val="left"/>
      <w:pPr>
        <w:ind w:left="1861" w:hanging="1304"/>
      </w:pPr>
      <w:rPr>
        <w:rFonts w:ascii="Arial" w:eastAsia="Arial" w:hAnsi="Arial" w:cs="Arial" w:hint="default"/>
        <w:b/>
        <w:bCs/>
        <w:spacing w:val="0"/>
        <w:w w:val="99"/>
        <w:sz w:val="20"/>
        <w:szCs w:val="20"/>
        <w:lang w:val="en-US" w:eastAsia="en-US" w:bidi="ar-SA"/>
      </w:rPr>
    </w:lvl>
    <w:lvl w:ilvl="5">
      <w:numFmt w:val="bullet"/>
      <w:lvlText w:val=""/>
      <w:lvlJc w:val="left"/>
      <w:pPr>
        <w:ind w:left="1266" w:hanging="425"/>
      </w:pPr>
      <w:rPr>
        <w:rFonts w:ascii="Symbol" w:eastAsia="Symbol" w:hAnsi="Symbol" w:cs="Symbol" w:hint="default"/>
        <w:w w:val="99"/>
        <w:sz w:val="20"/>
        <w:szCs w:val="20"/>
        <w:lang w:val="en-US" w:eastAsia="en-US" w:bidi="ar-SA"/>
      </w:rPr>
    </w:lvl>
    <w:lvl w:ilvl="6">
      <w:numFmt w:val="bullet"/>
      <w:lvlText w:val="•"/>
      <w:lvlJc w:val="left"/>
      <w:pPr>
        <w:ind w:left="1640" w:hanging="425"/>
      </w:pPr>
      <w:rPr>
        <w:rFonts w:hint="default"/>
        <w:lang w:val="en-US" w:eastAsia="en-US" w:bidi="ar-SA"/>
      </w:rPr>
    </w:lvl>
    <w:lvl w:ilvl="7">
      <w:numFmt w:val="bullet"/>
      <w:lvlText w:val="•"/>
      <w:lvlJc w:val="left"/>
      <w:pPr>
        <w:ind w:left="1860" w:hanging="425"/>
      </w:pPr>
      <w:rPr>
        <w:rFonts w:hint="default"/>
        <w:lang w:val="en-US" w:eastAsia="en-US" w:bidi="ar-SA"/>
      </w:rPr>
    </w:lvl>
    <w:lvl w:ilvl="8">
      <w:numFmt w:val="bullet"/>
      <w:lvlText w:val="•"/>
      <w:lvlJc w:val="left"/>
      <w:pPr>
        <w:ind w:left="4615" w:hanging="425"/>
      </w:pPr>
      <w:rPr>
        <w:rFonts w:hint="default"/>
        <w:lang w:val="en-US" w:eastAsia="en-US" w:bidi="ar-SA"/>
      </w:rPr>
    </w:lvl>
  </w:abstractNum>
  <w:abstractNum w:abstractNumId="6" w15:restartNumberingAfterBreak="0">
    <w:nsid w:val="213825BD"/>
    <w:multiLevelType w:val="multilevel"/>
    <w:tmpl w:val="5BF75BF3"/>
    <w:lvl w:ilvl="0">
      <w:numFmt w:val="bullet"/>
      <w:lvlText w:val="–"/>
      <w:lvlJc w:val="left"/>
      <w:pPr>
        <w:ind w:left="834" w:hanging="341"/>
      </w:pPr>
      <w:rPr>
        <w:rFonts w:ascii="Arial" w:eastAsia="Arial" w:hAnsi="Arial" w:cs="Arial" w:hint="default"/>
        <w:b/>
        <w:bCs/>
        <w:w w:val="99"/>
        <w:sz w:val="20"/>
        <w:szCs w:val="20"/>
        <w:lang w:val="en-US" w:eastAsia="en-US" w:bidi="ar-SA"/>
      </w:rPr>
    </w:lvl>
    <w:lvl w:ilvl="1">
      <w:numFmt w:val="bullet"/>
      <w:lvlText w:val="•"/>
      <w:lvlJc w:val="left"/>
      <w:pPr>
        <w:ind w:left="1778" w:hanging="341"/>
      </w:pPr>
      <w:rPr>
        <w:rFonts w:hint="default"/>
        <w:lang w:val="en-US" w:eastAsia="en-US" w:bidi="ar-SA"/>
      </w:rPr>
    </w:lvl>
    <w:lvl w:ilvl="2">
      <w:numFmt w:val="bullet"/>
      <w:lvlText w:val="•"/>
      <w:lvlJc w:val="left"/>
      <w:pPr>
        <w:ind w:left="2717" w:hanging="341"/>
      </w:pPr>
      <w:rPr>
        <w:rFonts w:hint="default"/>
        <w:lang w:val="en-US" w:eastAsia="en-US" w:bidi="ar-SA"/>
      </w:rPr>
    </w:lvl>
    <w:lvl w:ilvl="3">
      <w:numFmt w:val="bullet"/>
      <w:lvlText w:val="•"/>
      <w:lvlJc w:val="left"/>
      <w:pPr>
        <w:ind w:left="3655" w:hanging="341"/>
      </w:pPr>
      <w:rPr>
        <w:rFonts w:hint="default"/>
        <w:lang w:val="en-US" w:eastAsia="en-US" w:bidi="ar-SA"/>
      </w:rPr>
    </w:lvl>
    <w:lvl w:ilvl="4">
      <w:numFmt w:val="bullet"/>
      <w:lvlText w:val="•"/>
      <w:lvlJc w:val="left"/>
      <w:pPr>
        <w:ind w:left="4594" w:hanging="341"/>
      </w:pPr>
      <w:rPr>
        <w:rFonts w:hint="default"/>
        <w:lang w:val="en-US" w:eastAsia="en-US" w:bidi="ar-SA"/>
      </w:rPr>
    </w:lvl>
    <w:lvl w:ilvl="5">
      <w:numFmt w:val="bullet"/>
      <w:lvlText w:val="•"/>
      <w:lvlJc w:val="left"/>
      <w:pPr>
        <w:ind w:left="5533" w:hanging="341"/>
      </w:pPr>
      <w:rPr>
        <w:rFonts w:hint="default"/>
        <w:lang w:val="en-US" w:eastAsia="en-US" w:bidi="ar-SA"/>
      </w:rPr>
    </w:lvl>
    <w:lvl w:ilvl="6">
      <w:numFmt w:val="bullet"/>
      <w:lvlText w:val="•"/>
      <w:lvlJc w:val="left"/>
      <w:pPr>
        <w:ind w:left="6471" w:hanging="341"/>
      </w:pPr>
      <w:rPr>
        <w:rFonts w:hint="default"/>
        <w:lang w:val="en-US" w:eastAsia="en-US" w:bidi="ar-SA"/>
      </w:rPr>
    </w:lvl>
    <w:lvl w:ilvl="7">
      <w:numFmt w:val="bullet"/>
      <w:lvlText w:val="•"/>
      <w:lvlJc w:val="left"/>
      <w:pPr>
        <w:ind w:left="7410" w:hanging="341"/>
      </w:pPr>
      <w:rPr>
        <w:rFonts w:hint="default"/>
        <w:lang w:val="en-US" w:eastAsia="en-US" w:bidi="ar-SA"/>
      </w:rPr>
    </w:lvl>
    <w:lvl w:ilvl="8">
      <w:numFmt w:val="bullet"/>
      <w:lvlText w:val="•"/>
      <w:lvlJc w:val="left"/>
      <w:pPr>
        <w:ind w:left="8349" w:hanging="341"/>
      </w:pPr>
      <w:rPr>
        <w:rFonts w:hint="default"/>
        <w:lang w:val="en-US" w:eastAsia="en-US" w:bidi="ar-SA"/>
      </w:rPr>
    </w:lvl>
  </w:abstractNum>
  <w:abstractNum w:abstractNumId="7" w15:restartNumberingAfterBreak="0">
    <w:nsid w:val="2A0B28C7"/>
    <w:multiLevelType w:val="hybridMultilevel"/>
    <w:tmpl w:val="1FDC9986"/>
    <w:lvl w:ilvl="0" w:tplc="15B03DFA">
      <w:numFmt w:val="bullet"/>
      <w:lvlText w:val=""/>
      <w:lvlJc w:val="left"/>
      <w:pPr>
        <w:ind w:left="458" w:hanging="341"/>
      </w:pPr>
      <w:rPr>
        <w:rFonts w:ascii="Symbol" w:eastAsia="Symbol" w:hAnsi="Symbol" w:cs="Symbol" w:hint="default"/>
        <w:w w:val="99"/>
        <w:sz w:val="20"/>
        <w:szCs w:val="20"/>
        <w:lang w:val="en-US" w:eastAsia="en-US" w:bidi="ar-SA"/>
      </w:rPr>
    </w:lvl>
    <w:lvl w:ilvl="1" w:tplc="1FE26B8C">
      <w:numFmt w:val="bullet"/>
      <w:lvlText w:val="•"/>
      <w:lvlJc w:val="left"/>
      <w:pPr>
        <w:ind w:left="1372" w:hanging="341"/>
      </w:pPr>
      <w:rPr>
        <w:rFonts w:hint="default"/>
        <w:lang w:val="en-US" w:eastAsia="en-US" w:bidi="ar-SA"/>
      </w:rPr>
    </w:lvl>
    <w:lvl w:ilvl="2" w:tplc="4BFEAD4E">
      <w:numFmt w:val="bullet"/>
      <w:lvlText w:val="•"/>
      <w:lvlJc w:val="left"/>
      <w:pPr>
        <w:ind w:left="2285" w:hanging="341"/>
      </w:pPr>
      <w:rPr>
        <w:rFonts w:hint="default"/>
        <w:lang w:val="en-US" w:eastAsia="en-US" w:bidi="ar-SA"/>
      </w:rPr>
    </w:lvl>
    <w:lvl w:ilvl="3" w:tplc="35B26814">
      <w:numFmt w:val="bullet"/>
      <w:lvlText w:val="•"/>
      <w:lvlJc w:val="left"/>
      <w:pPr>
        <w:ind w:left="3197" w:hanging="341"/>
      </w:pPr>
      <w:rPr>
        <w:rFonts w:hint="default"/>
        <w:lang w:val="en-US" w:eastAsia="en-US" w:bidi="ar-SA"/>
      </w:rPr>
    </w:lvl>
    <w:lvl w:ilvl="4" w:tplc="3B823C18">
      <w:numFmt w:val="bullet"/>
      <w:lvlText w:val="•"/>
      <w:lvlJc w:val="left"/>
      <w:pPr>
        <w:ind w:left="4110" w:hanging="341"/>
      </w:pPr>
      <w:rPr>
        <w:rFonts w:hint="default"/>
        <w:lang w:val="en-US" w:eastAsia="en-US" w:bidi="ar-SA"/>
      </w:rPr>
    </w:lvl>
    <w:lvl w:ilvl="5" w:tplc="B1905D84">
      <w:numFmt w:val="bullet"/>
      <w:lvlText w:val="•"/>
      <w:lvlJc w:val="left"/>
      <w:pPr>
        <w:ind w:left="5023" w:hanging="341"/>
      </w:pPr>
      <w:rPr>
        <w:rFonts w:hint="default"/>
        <w:lang w:val="en-US" w:eastAsia="en-US" w:bidi="ar-SA"/>
      </w:rPr>
    </w:lvl>
    <w:lvl w:ilvl="6" w:tplc="29E6CEBE">
      <w:numFmt w:val="bullet"/>
      <w:lvlText w:val="•"/>
      <w:lvlJc w:val="left"/>
      <w:pPr>
        <w:ind w:left="5935" w:hanging="341"/>
      </w:pPr>
      <w:rPr>
        <w:rFonts w:hint="default"/>
        <w:lang w:val="en-US" w:eastAsia="en-US" w:bidi="ar-SA"/>
      </w:rPr>
    </w:lvl>
    <w:lvl w:ilvl="7" w:tplc="EC2E3026">
      <w:numFmt w:val="bullet"/>
      <w:lvlText w:val="•"/>
      <w:lvlJc w:val="left"/>
      <w:pPr>
        <w:ind w:left="6848" w:hanging="341"/>
      </w:pPr>
      <w:rPr>
        <w:rFonts w:hint="default"/>
        <w:lang w:val="en-US" w:eastAsia="en-US" w:bidi="ar-SA"/>
      </w:rPr>
    </w:lvl>
    <w:lvl w:ilvl="8" w:tplc="AE209142">
      <w:numFmt w:val="bullet"/>
      <w:lvlText w:val="•"/>
      <w:lvlJc w:val="left"/>
      <w:pPr>
        <w:ind w:left="7761" w:hanging="341"/>
      </w:pPr>
      <w:rPr>
        <w:rFonts w:hint="default"/>
        <w:lang w:val="en-US" w:eastAsia="en-US" w:bidi="ar-SA"/>
      </w:rPr>
    </w:lvl>
  </w:abstractNum>
  <w:abstractNum w:abstractNumId="8" w15:restartNumberingAfterBreak="0">
    <w:nsid w:val="2A997A7A"/>
    <w:multiLevelType w:val="hybridMultilevel"/>
    <w:tmpl w:val="B7EE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B4505"/>
    <w:multiLevelType w:val="multilevel"/>
    <w:tmpl w:val="80EC4E22"/>
    <w:lvl w:ilvl="0">
      <w:start w:val="8"/>
      <w:numFmt w:val="decimal"/>
      <w:lvlText w:val="%1"/>
      <w:lvlJc w:val="left"/>
      <w:pPr>
        <w:ind w:left="954" w:hanging="397"/>
      </w:pPr>
      <w:rPr>
        <w:rFonts w:ascii="Arial" w:eastAsia="Arial" w:hAnsi="Arial" w:cs="Arial" w:hint="default"/>
        <w:b/>
        <w:bCs/>
        <w:w w:val="100"/>
        <w:sz w:val="22"/>
        <w:szCs w:val="22"/>
        <w:lang w:val="en-US" w:eastAsia="en-US" w:bidi="ar-SA"/>
      </w:rPr>
    </w:lvl>
    <w:lvl w:ilvl="1">
      <w:start w:val="1"/>
      <w:numFmt w:val="decimal"/>
      <w:lvlText w:val="%1.%2"/>
      <w:lvlJc w:val="left"/>
      <w:pPr>
        <w:ind w:left="1182" w:hanging="624"/>
      </w:pPr>
      <w:rPr>
        <w:rFonts w:ascii="Arial" w:eastAsia="Arial" w:hAnsi="Arial" w:cs="Arial" w:hint="default"/>
        <w:b/>
        <w:bCs/>
        <w:spacing w:val="0"/>
        <w:w w:val="99"/>
        <w:sz w:val="20"/>
        <w:szCs w:val="20"/>
        <w:lang w:val="en-US" w:eastAsia="en-US" w:bidi="ar-SA"/>
      </w:rPr>
    </w:lvl>
    <w:lvl w:ilvl="2">
      <w:start w:val="1"/>
      <w:numFmt w:val="decimal"/>
      <w:lvlText w:val="%1.%2.%3"/>
      <w:lvlJc w:val="left"/>
      <w:pPr>
        <w:ind w:left="1409" w:hanging="852"/>
      </w:pPr>
      <w:rPr>
        <w:rFonts w:ascii="Arial" w:eastAsia="Arial" w:hAnsi="Arial" w:cs="Arial" w:hint="default"/>
        <w:b/>
        <w:bCs/>
        <w:spacing w:val="0"/>
        <w:w w:val="99"/>
        <w:sz w:val="20"/>
        <w:szCs w:val="20"/>
        <w:lang w:val="en-US" w:eastAsia="en-US" w:bidi="ar-SA"/>
      </w:rPr>
    </w:lvl>
    <w:lvl w:ilvl="3">
      <w:start w:val="1"/>
      <w:numFmt w:val="decimal"/>
      <w:lvlText w:val="%1.%2.%3.%4"/>
      <w:lvlJc w:val="left"/>
      <w:pPr>
        <w:ind w:left="1635" w:hanging="1078"/>
      </w:pPr>
      <w:rPr>
        <w:rFonts w:ascii="Arial" w:eastAsia="Arial" w:hAnsi="Arial" w:cs="Arial" w:hint="default"/>
        <w:b/>
        <w:bCs/>
        <w:spacing w:val="0"/>
        <w:w w:val="99"/>
        <w:sz w:val="20"/>
        <w:szCs w:val="20"/>
        <w:lang w:val="en-US" w:eastAsia="en-US" w:bidi="ar-SA"/>
      </w:rPr>
    </w:lvl>
    <w:lvl w:ilvl="4">
      <w:start w:val="1"/>
      <w:numFmt w:val="decimal"/>
      <w:lvlText w:val="%1.%2.%3.%4.%5"/>
      <w:lvlJc w:val="left"/>
      <w:pPr>
        <w:ind w:left="1861" w:hanging="1304"/>
      </w:pPr>
      <w:rPr>
        <w:rFonts w:ascii="Arial" w:eastAsia="Arial" w:hAnsi="Arial" w:cs="Arial" w:hint="default"/>
        <w:b/>
        <w:bCs/>
        <w:spacing w:val="0"/>
        <w:w w:val="99"/>
        <w:sz w:val="20"/>
        <w:szCs w:val="20"/>
        <w:lang w:val="en-US" w:eastAsia="en-US" w:bidi="ar-SA"/>
      </w:rPr>
    </w:lvl>
    <w:lvl w:ilvl="5">
      <w:numFmt w:val="bullet"/>
      <w:lvlText w:val=""/>
      <w:lvlJc w:val="left"/>
      <w:pPr>
        <w:ind w:left="1266" w:hanging="425"/>
      </w:pPr>
      <w:rPr>
        <w:rFonts w:ascii="Symbol" w:eastAsia="Symbol" w:hAnsi="Symbol" w:cs="Symbol" w:hint="default"/>
        <w:w w:val="99"/>
        <w:sz w:val="20"/>
        <w:szCs w:val="20"/>
        <w:lang w:val="en-US" w:eastAsia="en-US" w:bidi="ar-SA"/>
      </w:rPr>
    </w:lvl>
    <w:lvl w:ilvl="6">
      <w:numFmt w:val="bullet"/>
      <w:lvlText w:val="•"/>
      <w:lvlJc w:val="left"/>
      <w:pPr>
        <w:ind w:left="1640" w:hanging="425"/>
      </w:pPr>
      <w:rPr>
        <w:rFonts w:hint="default"/>
        <w:lang w:val="en-US" w:eastAsia="en-US" w:bidi="ar-SA"/>
      </w:rPr>
    </w:lvl>
    <w:lvl w:ilvl="7">
      <w:numFmt w:val="bullet"/>
      <w:lvlText w:val="•"/>
      <w:lvlJc w:val="left"/>
      <w:pPr>
        <w:ind w:left="1860" w:hanging="425"/>
      </w:pPr>
      <w:rPr>
        <w:rFonts w:hint="default"/>
        <w:lang w:val="en-US" w:eastAsia="en-US" w:bidi="ar-SA"/>
      </w:rPr>
    </w:lvl>
    <w:lvl w:ilvl="8">
      <w:numFmt w:val="bullet"/>
      <w:lvlText w:val="•"/>
      <w:lvlJc w:val="left"/>
      <w:pPr>
        <w:ind w:left="4615" w:hanging="425"/>
      </w:pPr>
      <w:rPr>
        <w:rFonts w:hint="default"/>
        <w:lang w:val="en-US" w:eastAsia="en-US" w:bidi="ar-SA"/>
      </w:rPr>
    </w:lvl>
  </w:abstractNum>
  <w:abstractNum w:abstractNumId="10" w15:restartNumberingAfterBreak="0">
    <w:nsid w:val="2C1A2FB6"/>
    <w:multiLevelType w:val="multilevel"/>
    <w:tmpl w:val="48DCA5F2"/>
    <w:lvl w:ilvl="0">
      <w:start w:val="5"/>
      <w:numFmt w:val="decimal"/>
      <w:lvlText w:val="%1"/>
      <w:lvlJc w:val="left"/>
      <w:pPr>
        <w:ind w:left="555" w:hanging="555"/>
      </w:pPr>
      <w:rPr>
        <w:rFonts w:hint="default"/>
      </w:rPr>
    </w:lvl>
    <w:lvl w:ilvl="1">
      <w:start w:val="1"/>
      <w:numFmt w:val="decimal"/>
      <w:lvlText w:val="%1.%2"/>
      <w:lvlJc w:val="left"/>
      <w:pPr>
        <w:ind w:left="1685" w:hanging="555"/>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470" w:hanging="108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7090" w:hanging="144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710" w:hanging="1800"/>
      </w:pPr>
      <w:rPr>
        <w:rFonts w:hint="default"/>
      </w:rPr>
    </w:lvl>
    <w:lvl w:ilvl="8">
      <w:start w:val="1"/>
      <w:numFmt w:val="decimal"/>
      <w:lvlText w:val="%1.%2.%3.%4.%5.%6.%7.%8.%9"/>
      <w:lvlJc w:val="left"/>
      <w:pPr>
        <w:ind w:left="10840" w:hanging="1800"/>
      </w:pPr>
      <w:rPr>
        <w:rFonts w:hint="default"/>
      </w:rPr>
    </w:lvl>
  </w:abstractNum>
  <w:abstractNum w:abstractNumId="11" w15:restartNumberingAfterBreak="0">
    <w:nsid w:val="30BF58E3"/>
    <w:multiLevelType w:val="multilevel"/>
    <w:tmpl w:val="84DA2B5E"/>
    <w:lvl w:ilvl="0">
      <w:start w:val="11"/>
      <w:numFmt w:val="decimal"/>
      <w:lvlText w:val="%1"/>
      <w:lvlJc w:val="left"/>
      <w:pPr>
        <w:ind w:left="1050" w:hanging="1050"/>
      </w:pPr>
      <w:rPr>
        <w:rFonts w:hint="default"/>
      </w:rPr>
    </w:lvl>
    <w:lvl w:ilvl="1">
      <w:start w:val="4"/>
      <w:numFmt w:val="decimal"/>
      <w:lvlText w:val="%1.%2"/>
      <w:lvlJc w:val="left"/>
      <w:pPr>
        <w:ind w:left="1050" w:hanging="1050"/>
      </w:pPr>
      <w:rPr>
        <w:rFonts w:hint="default"/>
      </w:rPr>
    </w:lvl>
    <w:lvl w:ilvl="2">
      <w:start w:val="5"/>
      <w:numFmt w:val="decimal"/>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FD4BDF"/>
    <w:multiLevelType w:val="hybridMultilevel"/>
    <w:tmpl w:val="955A211E"/>
    <w:lvl w:ilvl="0" w:tplc="C0343D16">
      <w:start w:val="1"/>
      <w:numFmt w:val="lowerLetter"/>
      <w:lvlText w:val="%1)"/>
      <w:lvlJc w:val="left"/>
      <w:pPr>
        <w:ind w:left="918" w:hanging="360"/>
      </w:pPr>
      <w:rPr>
        <w:rFonts w:ascii="Arial" w:eastAsia="Arial" w:hAnsi="Arial" w:cs="Arial" w:hint="default"/>
        <w:spacing w:val="0"/>
        <w:w w:val="99"/>
        <w:sz w:val="24"/>
        <w:szCs w:val="24"/>
        <w:lang w:val="en-US" w:eastAsia="en-US" w:bidi="ar-SA"/>
      </w:rPr>
    </w:lvl>
    <w:lvl w:ilvl="1" w:tplc="2772CD70">
      <w:numFmt w:val="bullet"/>
      <w:lvlText w:val="•"/>
      <w:lvlJc w:val="left"/>
      <w:pPr>
        <w:ind w:left="1840" w:hanging="360"/>
      </w:pPr>
      <w:rPr>
        <w:rFonts w:hint="default"/>
        <w:lang w:val="en-US" w:eastAsia="en-US" w:bidi="ar-SA"/>
      </w:rPr>
    </w:lvl>
    <w:lvl w:ilvl="2" w:tplc="DB06F4AA">
      <w:numFmt w:val="bullet"/>
      <w:lvlText w:val="•"/>
      <w:lvlJc w:val="left"/>
      <w:pPr>
        <w:ind w:left="2761" w:hanging="360"/>
      </w:pPr>
      <w:rPr>
        <w:rFonts w:hint="default"/>
        <w:lang w:val="en-US" w:eastAsia="en-US" w:bidi="ar-SA"/>
      </w:rPr>
    </w:lvl>
    <w:lvl w:ilvl="3" w:tplc="A026713A">
      <w:numFmt w:val="bullet"/>
      <w:lvlText w:val="•"/>
      <w:lvlJc w:val="left"/>
      <w:pPr>
        <w:ind w:left="3681" w:hanging="360"/>
      </w:pPr>
      <w:rPr>
        <w:rFonts w:hint="default"/>
        <w:lang w:val="en-US" w:eastAsia="en-US" w:bidi="ar-SA"/>
      </w:rPr>
    </w:lvl>
    <w:lvl w:ilvl="4" w:tplc="4C5CFA58">
      <w:numFmt w:val="bullet"/>
      <w:lvlText w:val="•"/>
      <w:lvlJc w:val="left"/>
      <w:pPr>
        <w:ind w:left="4602" w:hanging="360"/>
      </w:pPr>
      <w:rPr>
        <w:rFonts w:hint="default"/>
        <w:lang w:val="en-US" w:eastAsia="en-US" w:bidi="ar-SA"/>
      </w:rPr>
    </w:lvl>
    <w:lvl w:ilvl="5" w:tplc="C3A8B262">
      <w:numFmt w:val="bullet"/>
      <w:lvlText w:val="•"/>
      <w:lvlJc w:val="left"/>
      <w:pPr>
        <w:ind w:left="5523" w:hanging="360"/>
      </w:pPr>
      <w:rPr>
        <w:rFonts w:hint="default"/>
        <w:lang w:val="en-US" w:eastAsia="en-US" w:bidi="ar-SA"/>
      </w:rPr>
    </w:lvl>
    <w:lvl w:ilvl="6" w:tplc="1034E080">
      <w:numFmt w:val="bullet"/>
      <w:lvlText w:val="•"/>
      <w:lvlJc w:val="left"/>
      <w:pPr>
        <w:ind w:left="6443" w:hanging="360"/>
      </w:pPr>
      <w:rPr>
        <w:rFonts w:hint="default"/>
        <w:lang w:val="en-US" w:eastAsia="en-US" w:bidi="ar-SA"/>
      </w:rPr>
    </w:lvl>
    <w:lvl w:ilvl="7" w:tplc="4866BDF6">
      <w:numFmt w:val="bullet"/>
      <w:lvlText w:val="•"/>
      <w:lvlJc w:val="left"/>
      <w:pPr>
        <w:ind w:left="7364" w:hanging="360"/>
      </w:pPr>
      <w:rPr>
        <w:rFonts w:hint="default"/>
        <w:lang w:val="en-US" w:eastAsia="en-US" w:bidi="ar-SA"/>
      </w:rPr>
    </w:lvl>
    <w:lvl w:ilvl="8" w:tplc="041CF4E2">
      <w:numFmt w:val="bullet"/>
      <w:lvlText w:val="•"/>
      <w:lvlJc w:val="left"/>
      <w:pPr>
        <w:ind w:left="8285" w:hanging="360"/>
      </w:pPr>
      <w:rPr>
        <w:rFonts w:hint="default"/>
        <w:lang w:val="en-US" w:eastAsia="en-US" w:bidi="ar-SA"/>
      </w:rPr>
    </w:lvl>
  </w:abstractNum>
  <w:abstractNum w:abstractNumId="13" w15:restartNumberingAfterBreak="0">
    <w:nsid w:val="41E23AC9"/>
    <w:multiLevelType w:val="hybridMultilevel"/>
    <w:tmpl w:val="56381888"/>
    <w:lvl w:ilvl="0" w:tplc="985EB94A">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802BD"/>
    <w:multiLevelType w:val="hybridMultilevel"/>
    <w:tmpl w:val="956CE02A"/>
    <w:lvl w:ilvl="0" w:tplc="5832D552">
      <w:numFmt w:val="bullet"/>
      <w:lvlText w:val=""/>
      <w:lvlJc w:val="left"/>
      <w:pPr>
        <w:ind w:left="899" w:hanging="341"/>
      </w:pPr>
      <w:rPr>
        <w:rFonts w:ascii="Symbol" w:eastAsia="Symbol" w:hAnsi="Symbol" w:cs="Symbol" w:hint="default"/>
        <w:w w:val="99"/>
        <w:sz w:val="20"/>
        <w:szCs w:val="20"/>
        <w:lang w:val="en-US" w:eastAsia="en-US" w:bidi="ar-SA"/>
      </w:rPr>
    </w:lvl>
    <w:lvl w:ilvl="1" w:tplc="6CE05882">
      <w:numFmt w:val="bullet"/>
      <w:lvlText w:val="–"/>
      <w:lvlJc w:val="left"/>
      <w:pPr>
        <w:ind w:left="1236" w:hanging="339"/>
      </w:pPr>
      <w:rPr>
        <w:rFonts w:ascii="Arial" w:eastAsia="Arial" w:hAnsi="Arial" w:cs="Arial" w:hint="default"/>
        <w:w w:val="99"/>
        <w:sz w:val="20"/>
        <w:szCs w:val="20"/>
        <w:lang w:val="en-US" w:eastAsia="en-US" w:bidi="ar-SA"/>
      </w:rPr>
    </w:lvl>
    <w:lvl w:ilvl="2" w:tplc="DE54CDB6">
      <w:numFmt w:val="bullet"/>
      <w:lvlText w:val="•"/>
      <w:lvlJc w:val="left"/>
      <w:pPr>
        <w:ind w:left="2227" w:hanging="339"/>
      </w:pPr>
      <w:rPr>
        <w:rFonts w:hint="default"/>
        <w:lang w:val="en-US" w:eastAsia="en-US" w:bidi="ar-SA"/>
      </w:rPr>
    </w:lvl>
    <w:lvl w:ilvl="3" w:tplc="6B14693E">
      <w:numFmt w:val="bullet"/>
      <w:lvlText w:val="•"/>
      <w:lvlJc w:val="left"/>
      <w:pPr>
        <w:ind w:left="3214" w:hanging="339"/>
      </w:pPr>
      <w:rPr>
        <w:rFonts w:hint="default"/>
        <w:lang w:val="en-US" w:eastAsia="en-US" w:bidi="ar-SA"/>
      </w:rPr>
    </w:lvl>
    <w:lvl w:ilvl="4" w:tplc="F918D558">
      <w:numFmt w:val="bullet"/>
      <w:lvlText w:val="•"/>
      <w:lvlJc w:val="left"/>
      <w:pPr>
        <w:ind w:left="4202" w:hanging="339"/>
      </w:pPr>
      <w:rPr>
        <w:rFonts w:hint="default"/>
        <w:lang w:val="en-US" w:eastAsia="en-US" w:bidi="ar-SA"/>
      </w:rPr>
    </w:lvl>
    <w:lvl w:ilvl="5" w:tplc="2B34BC76">
      <w:numFmt w:val="bullet"/>
      <w:lvlText w:val="•"/>
      <w:lvlJc w:val="left"/>
      <w:pPr>
        <w:ind w:left="5189" w:hanging="339"/>
      </w:pPr>
      <w:rPr>
        <w:rFonts w:hint="default"/>
        <w:lang w:val="en-US" w:eastAsia="en-US" w:bidi="ar-SA"/>
      </w:rPr>
    </w:lvl>
    <w:lvl w:ilvl="6" w:tplc="75468E9E">
      <w:numFmt w:val="bullet"/>
      <w:lvlText w:val="•"/>
      <w:lvlJc w:val="left"/>
      <w:pPr>
        <w:ind w:left="6176" w:hanging="339"/>
      </w:pPr>
      <w:rPr>
        <w:rFonts w:hint="default"/>
        <w:lang w:val="en-US" w:eastAsia="en-US" w:bidi="ar-SA"/>
      </w:rPr>
    </w:lvl>
    <w:lvl w:ilvl="7" w:tplc="C3169CA2">
      <w:numFmt w:val="bullet"/>
      <w:lvlText w:val="•"/>
      <w:lvlJc w:val="left"/>
      <w:pPr>
        <w:ind w:left="7164" w:hanging="339"/>
      </w:pPr>
      <w:rPr>
        <w:rFonts w:hint="default"/>
        <w:lang w:val="en-US" w:eastAsia="en-US" w:bidi="ar-SA"/>
      </w:rPr>
    </w:lvl>
    <w:lvl w:ilvl="8" w:tplc="97B20BCC">
      <w:numFmt w:val="bullet"/>
      <w:lvlText w:val="•"/>
      <w:lvlJc w:val="left"/>
      <w:pPr>
        <w:ind w:left="8151" w:hanging="339"/>
      </w:pPr>
      <w:rPr>
        <w:rFonts w:hint="default"/>
        <w:lang w:val="en-US" w:eastAsia="en-US" w:bidi="ar-SA"/>
      </w:rPr>
    </w:lvl>
  </w:abstractNum>
  <w:abstractNum w:abstractNumId="15" w15:restartNumberingAfterBreak="0">
    <w:nsid w:val="4BBA5A2E"/>
    <w:multiLevelType w:val="hybridMultilevel"/>
    <w:tmpl w:val="0366CA58"/>
    <w:lvl w:ilvl="0" w:tplc="8C8692B0">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8170A"/>
    <w:multiLevelType w:val="hybridMultilevel"/>
    <w:tmpl w:val="9B14E710"/>
    <w:lvl w:ilvl="0" w:tplc="DA36C216">
      <w:start w:val="1"/>
      <w:numFmt w:val="lowerLetter"/>
      <w:lvlText w:val="%1)"/>
      <w:lvlJc w:val="left"/>
      <w:pPr>
        <w:ind w:left="918" w:hanging="360"/>
      </w:pPr>
      <w:rPr>
        <w:rFonts w:ascii="Arial" w:eastAsia="Arial" w:hAnsi="Arial" w:cs="Arial" w:hint="default"/>
        <w:spacing w:val="0"/>
        <w:w w:val="99"/>
        <w:sz w:val="24"/>
        <w:szCs w:val="24"/>
        <w:lang w:val="en-US" w:eastAsia="en-US" w:bidi="ar-SA"/>
      </w:rPr>
    </w:lvl>
    <w:lvl w:ilvl="1" w:tplc="13BECD72">
      <w:numFmt w:val="bullet"/>
      <w:lvlText w:val="•"/>
      <w:lvlJc w:val="left"/>
      <w:pPr>
        <w:ind w:left="1840" w:hanging="360"/>
      </w:pPr>
      <w:rPr>
        <w:rFonts w:hint="default"/>
        <w:lang w:val="en-US" w:eastAsia="en-US" w:bidi="ar-SA"/>
      </w:rPr>
    </w:lvl>
    <w:lvl w:ilvl="2" w:tplc="217E6B0E">
      <w:numFmt w:val="bullet"/>
      <w:lvlText w:val="•"/>
      <w:lvlJc w:val="left"/>
      <w:pPr>
        <w:ind w:left="2761" w:hanging="360"/>
      </w:pPr>
      <w:rPr>
        <w:rFonts w:hint="default"/>
        <w:lang w:val="en-US" w:eastAsia="en-US" w:bidi="ar-SA"/>
      </w:rPr>
    </w:lvl>
    <w:lvl w:ilvl="3" w:tplc="82DE1E82">
      <w:numFmt w:val="bullet"/>
      <w:lvlText w:val="•"/>
      <w:lvlJc w:val="left"/>
      <w:pPr>
        <w:ind w:left="3681" w:hanging="360"/>
      </w:pPr>
      <w:rPr>
        <w:rFonts w:hint="default"/>
        <w:lang w:val="en-US" w:eastAsia="en-US" w:bidi="ar-SA"/>
      </w:rPr>
    </w:lvl>
    <w:lvl w:ilvl="4" w:tplc="B7967582">
      <w:numFmt w:val="bullet"/>
      <w:lvlText w:val="•"/>
      <w:lvlJc w:val="left"/>
      <w:pPr>
        <w:ind w:left="4602" w:hanging="360"/>
      </w:pPr>
      <w:rPr>
        <w:rFonts w:hint="default"/>
        <w:lang w:val="en-US" w:eastAsia="en-US" w:bidi="ar-SA"/>
      </w:rPr>
    </w:lvl>
    <w:lvl w:ilvl="5" w:tplc="973C74A2">
      <w:numFmt w:val="bullet"/>
      <w:lvlText w:val="•"/>
      <w:lvlJc w:val="left"/>
      <w:pPr>
        <w:ind w:left="5523" w:hanging="360"/>
      </w:pPr>
      <w:rPr>
        <w:rFonts w:hint="default"/>
        <w:lang w:val="en-US" w:eastAsia="en-US" w:bidi="ar-SA"/>
      </w:rPr>
    </w:lvl>
    <w:lvl w:ilvl="6" w:tplc="F6C697F6">
      <w:numFmt w:val="bullet"/>
      <w:lvlText w:val="•"/>
      <w:lvlJc w:val="left"/>
      <w:pPr>
        <w:ind w:left="6443" w:hanging="360"/>
      </w:pPr>
      <w:rPr>
        <w:rFonts w:hint="default"/>
        <w:lang w:val="en-US" w:eastAsia="en-US" w:bidi="ar-SA"/>
      </w:rPr>
    </w:lvl>
    <w:lvl w:ilvl="7" w:tplc="410843AC">
      <w:numFmt w:val="bullet"/>
      <w:lvlText w:val="•"/>
      <w:lvlJc w:val="left"/>
      <w:pPr>
        <w:ind w:left="7364" w:hanging="360"/>
      </w:pPr>
      <w:rPr>
        <w:rFonts w:hint="default"/>
        <w:lang w:val="en-US" w:eastAsia="en-US" w:bidi="ar-SA"/>
      </w:rPr>
    </w:lvl>
    <w:lvl w:ilvl="8" w:tplc="992CCDD2">
      <w:numFmt w:val="bullet"/>
      <w:lvlText w:val="•"/>
      <w:lvlJc w:val="left"/>
      <w:pPr>
        <w:ind w:left="8285" w:hanging="360"/>
      </w:pPr>
      <w:rPr>
        <w:rFonts w:hint="default"/>
        <w:lang w:val="en-US" w:eastAsia="en-US" w:bidi="ar-SA"/>
      </w:rPr>
    </w:lvl>
  </w:abstractNum>
  <w:abstractNum w:abstractNumId="17" w15:restartNumberingAfterBreak="0">
    <w:nsid w:val="4D310ACD"/>
    <w:multiLevelType w:val="hybridMultilevel"/>
    <w:tmpl w:val="AC0823AA"/>
    <w:lvl w:ilvl="0" w:tplc="544C6818">
      <w:start w:val="7"/>
      <w:numFmt w:val="bullet"/>
      <w:lvlText w:val="-"/>
      <w:lvlJc w:val="left"/>
      <w:pPr>
        <w:ind w:left="720" w:hanging="360"/>
      </w:pPr>
      <w:rPr>
        <w:rFonts w:ascii="Arial" w:eastAsia="Times New Roman" w:hAnsi="Arial" w:cs="Arial" w:hint="default"/>
        <w:color w:val="222222"/>
      </w:rPr>
    </w:lvl>
    <w:lvl w:ilvl="1" w:tplc="04090001">
      <w:start w:val="1"/>
      <w:numFmt w:val="bullet"/>
      <w:lvlText w:val=""/>
      <w:lvlJc w:val="left"/>
      <w:pPr>
        <w:ind w:left="1440" w:hanging="360"/>
      </w:pPr>
      <w:rPr>
        <w:rFonts w:ascii="Symbol" w:hAnsi="Symbol" w:hint="default"/>
        <w:color w:val="2222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A0E42"/>
    <w:multiLevelType w:val="multilevel"/>
    <w:tmpl w:val="623039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3285BE4"/>
    <w:multiLevelType w:val="multilevel"/>
    <w:tmpl w:val="2A660706"/>
    <w:lvl w:ilvl="0">
      <w:start w:val="11"/>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5"/>
      <w:numFmt w:val="decimal"/>
      <w:lvlText w:val="%1.%2.%3"/>
      <w:lvlJc w:val="left"/>
      <w:pPr>
        <w:ind w:left="885" w:hanging="885"/>
      </w:pPr>
      <w:rPr>
        <w:rFonts w:hint="default"/>
      </w:rPr>
    </w:lvl>
    <w:lvl w:ilvl="3">
      <w:start w:val="1"/>
      <w:numFmt w:val="decimal"/>
      <w:lvlText w:val="%1.%2.%3.%4"/>
      <w:lvlJc w:val="left"/>
      <w:pPr>
        <w:ind w:left="885" w:hanging="88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1504CF"/>
    <w:multiLevelType w:val="hybridMultilevel"/>
    <w:tmpl w:val="CE009656"/>
    <w:lvl w:ilvl="0" w:tplc="DA4E6C78">
      <w:start w:val="1"/>
      <w:numFmt w:val="lowerLetter"/>
      <w:lvlText w:val="%1)"/>
      <w:lvlJc w:val="left"/>
      <w:pPr>
        <w:ind w:left="918" w:hanging="360"/>
      </w:pPr>
      <w:rPr>
        <w:rFonts w:ascii="Arial" w:eastAsia="Arial" w:hAnsi="Arial" w:cs="Arial" w:hint="default"/>
        <w:spacing w:val="0"/>
        <w:w w:val="99"/>
        <w:sz w:val="24"/>
        <w:szCs w:val="24"/>
        <w:lang w:val="en-US" w:eastAsia="en-US" w:bidi="ar-SA"/>
      </w:rPr>
    </w:lvl>
    <w:lvl w:ilvl="1" w:tplc="5FAA8C6A">
      <w:numFmt w:val="bullet"/>
      <w:lvlText w:val="•"/>
      <w:lvlJc w:val="left"/>
      <w:pPr>
        <w:ind w:left="1840" w:hanging="360"/>
      </w:pPr>
      <w:rPr>
        <w:rFonts w:hint="default"/>
        <w:lang w:val="en-US" w:eastAsia="en-US" w:bidi="ar-SA"/>
      </w:rPr>
    </w:lvl>
    <w:lvl w:ilvl="2" w:tplc="2FE48C78">
      <w:numFmt w:val="bullet"/>
      <w:lvlText w:val="•"/>
      <w:lvlJc w:val="left"/>
      <w:pPr>
        <w:ind w:left="2761" w:hanging="360"/>
      </w:pPr>
      <w:rPr>
        <w:rFonts w:hint="default"/>
        <w:lang w:val="en-US" w:eastAsia="en-US" w:bidi="ar-SA"/>
      </w:rPr>
    </w:lvl>
    <w:lvl w:ilvl="3" w:tplc="7D92AFB0">
      <w:numFmt w:val="bullet"/>
      <w:lvlText w:val="•"/>
      <w:lvlJc w:val="left"/>
      <w:pPr>
        <w:ind w:left="3681" w:hanging="360"/>
      </w:pPr>
      <w:rPr>
        <w:rFonts w:hint="default"/>
        <w:lang w:val="en-US" w:eastAsia="en-US" w:bidi="ar-SA"/>
      </w:rPr>
    </w:lvl>
    <w:lvl w:ilvl="4" w:tplc="8C062696">
      <w:numFmt w:val="bullet"/>
      <w:lvlText w:val="•"/>
      <w:lvlJc w:val="left"/>
      <w:pPr>
        <w:ind w:left="4602" w:hanging="360"/>
      </w:pPr>
      <w:rPr>
        <w:rFonts w:hint="default"/>
        <w:lang w:val="en-US" w:eastAsia="en-US" w:bidi="ar-SA"/>
      </w:rPr>
    </w:lvl>
    <w:lvl w:ilvl="5" w:tplc="C846C390">
      <w:numFmt w:val="bullet"/>
      <w:lvlText w:val="•"/>
      <w:lvlJc w:val="left"/>
      <w:pPr>
        <w:ind w:left="5523" w:hanging="360"/>
      </w:pPr>
      <w:rPr>
        <w:rFonts w:hint="default"/>
        <w:lang w:val="en-US" w:eastAsia="en-US" w:bidi="ar-SA"/>
      </w:rPr>
    </w:lvl>
    <w:lvl w:ilvl="6" w:tplc="E7462996">
      <w:numFmt w:val="bullet"/>
      <w:lvlText w:val="•"/>
      <w:lvlJc w:val="left"/>
      <w:pPr>
        <w:ind w:left="6443" w:hanging="360"/>
      </w:pPr>
      <w:rPr>
        <w:rFonts w:hint="default"/>
        <w:lang w:val="en-US" w:eastAsia="en-US" w:bidi="ar-SA"/>
      </w:rPr>
    </w:lvl>
    <w:lvl w:ilvl="7" w:tplc="D974B7B4">
      <w:numFmt w:val="bullet"/>
      <w:lvlText w:val="•"/>
      <w:lvlJc w:val="left"/>
      <w:pPr>
        <w:ind w:left="7364" w:hanging="360"/>
      </w:pPr>
      <w:rPr>
        <w:rFonts w:hint="default"/>
        <w:lang w:val="en-US" w:eastAsia="en-US" w:bidi="ar-SA"/>
      </w:rPr>
    </w:lvl>
    <w:lvl w:ilvl="8" w:tplc="F2CABDC2">
      <w:numFmt w:val="bullet"/>
      <w:lvlText w:val="•"/>
      <w:lvlJc w:val="left"/>
      <w:pPr>
        <w:ind w:left="8285" w:hanging="360"/>
      </w:pPr>
      <w:rPr>
        <w:rFonts w:hint="default"/>
        <w:lang w:val="en-US" w:eastAsia="en-US" w:bidi="ar-SA"/>
      </w:rPr>
    </w:lvl>
  </w:abstractNum>
  <w:abstractNum w:abstractNumId="21" w15:restartNumberingAfterBreak="0">
    <w:nsid w:val="57B61927"/>
    <w:multiLevelType w:val="multilevel"/>
    <w:tmpl w:val="388A8EBC"/>
    <w:lvl w:ilvl="0">
      <w:start w:val="11"/>
      <w:numFmt w:val="decimal"/>
      <w:lvlText w:val="%1"/>
      <w:lvlJc w:val="left"/>
      <w:pPr>
        <w:ind w:left="1065" w:hanging="1065"/>
      </w:pPr>
      <w:rPr>
        <w:rFonts w:hint="default"/>
      </w:rPr>
    </w:lvl>
    <w:lvl w:ilvl="1">
      <w:start w:val="4"/>
      <w:numFmt w:val="decimal"/>
      <w:lvlText w:val="%1.%2"/>
      <w:lvlJc w:val="left"/>
      <w:pPr>
        <w:ind w:left="1065" w:hanging="1065"/>
      </w:pPr>
      <w:rPr>
        <w:rFonts w:hint="default"/>
      </w:rPr>
    </w:lvl>
    <w:lvl w:ilvl="2">
      <w:start w:val="5"/>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632252"/>
    <w:multiLevelType w:val="multilevel"/>
    <w:tmpl w:val="DACEA196"/>
    <w:lvl w:ilvl="0">
      <w:start w:val="9"/>
      <w:numFmt w:val="decimal"/>
      <w:lvlText w:val="%1"/>
      <w:lvlJc w:val="left"/>
      <w:pPr>
        <w:ind w:left="1523" w:hanging="569"/>
      </w:pPr>
      <w:rPr>
        <w:rFonts w:hint="default"/>
        <w:lang w:val="en-US" w:eastAsia="en-US" w:bidi="ar-SA"/>
      </w:rPr>
    </w:lvl>
    <w:lvl w:ilvl="1">
      <w:start w:val="3"/>
      <w:numFmt w:val="decimal"/>
      <w:lvlText w:val="%1.%2"/>
      <w:lvlJc w:val="left"/>
      <w:pPr>
        <w:ind w:left="1523" w:hanging="569"/>
      </w:pPr>
      <w:rPr>
        <w:rFonts w:ascii="Arial" w:eastAsia="Arial" w:hAnsi="Arial" w:cs="Arial" w:hint="default"/>
        <w:spacing w:val="0"/>
        <w:w w:val="99"/>
        <w:sz w:val="24"/>
        <w:szCs w:val="24"/>
        <w:lang w:val="en-US" w:eastAsia="en-US" w:bidi="ar-SA"/>
      </w:rPr>
    </w:lvl>
    <w:lvl w:ilvl="2">
      <w:start w:val="1"/>
      <w:numFmt w:val="decimal"/>
      <w:lvlText w:val="%1.%2.%3"/>
      <w:lvlJc w:val="left"/>
      <w:pPr>
        <w:ind w:left="2260" w:hanging="737"/>
      </w:pPr>
      <w:rPr>
        <w:rFonts w:ascii="Arial" w:eastAsia="Arial" w:hAnsi="Arial" w:cs="Arial" w:hint="default"/>
        <w:spacing w:val="0"/>
        <w:w w:val="99"/>
        <w:sz w:val="24"/>
        <w:szCs w:val="24"/>
        <w:lang w:val="en-US" w:eastAsia="en-US" w:bidi="ar-SA"/>
      </w:rPr>
    </w:lvl>
    <w:lvl w:ilvl="3">
      <w:numFmt w:val="bullet"/>
      <w:lvlText w:val="•"/>
      <w:lvlJc w:val="left"/>
      <w:pPr>
        <w:ind w:left="4008" w:hanging="737"/>
      </w:pPr>
      <w:rPr>
        <w:rFonts w:hint="default"/>
        <w:lang w:val="en-US" w:eastAsia="en-US" w:bidi="ar-SA"/>
      </w:rPr>
    </w:lvl>
    <w:lvl w:ilvl="4">
      <w:numFmt w:val="bullet"/>
      <w:lvlText w:val="•"/>
      <w:lvlJc w:val="left"/>
      <w:pPr>
        <w:ind w:left="4882" w:hanging="737"/>
      </w:pPr>
      <w:rPr>
        <w:rFonts w:hint="default"/>
        <w:lang w:val="en-US" w:eastAsia="en-US" w:bidi="ar-SA"/>
      </w:rPr>
    </w:lvl>
    <w:lvl w:ilvl="5">
      <w:numFmt w:val="bullet"/>
      <w:lvlText w:val="•"/>
      <w:lvlJc w:val="left"/>
      <w:pPr>
        <w:ind w:left="5756" w:hanging="737"/>
      </w:pPr>
      <w:rPr>
        <w:rFonts w:hint="default"/>
        <w:lang w:val="en-US" w:eastAsia="en-US" w:bidi="ar-SA"/>
      </w:rPr>
    </w:lvl>
    <w:lvl w:ilvl="6">
      <w:numFmt w:val="bullet"/>
      <w:lvlText w:val="•"/>
      <w:lvlJc w:val="left"/>
      <w:pPr>
        <w:ind w:left="6630" w:hanging="737"/>
      </w:pPr>
      <w:rPr>
        <w:rFonts w:hint="default"/>
        <w:lang w:val="en-US" w:eastAsia="en-US" w:bidi="ar-SA"/>
      </w:rPr>
    </w:lvl>
    <w:lvl w:ilvl="7">
      <w:numFmt w:val="bullet"/>
      <w:lvlText w:val="•"/>
      <w:lvlJc w:val="left"/>
      <w:pPr>
        <w:ind w:left="7504" w:hanging="737"/>
      </w:pPr>
      <w:rPr>
        <w:rFonts w:hint="default"/>
        <w:lang w:val="en-US" w:eastAsia="en-US" w:bidi="ar-SA"/>
      </w:rPr>
    </w:lvl>
    <w:lvl w:ilvl="8">
      <w:numFmt w:val="bullet"/>
      <w:lvlText w:val="•"/>
      <w:lvlJc w:val="left"/>
      <w:pPr>
        <w:ind w:left="8378" w:hanging="737"/>
      </w:pPr>
      <w:rPr>
        <w:rFonts w:hint="default"/>
        <w:lang w:val="en-US" w:eastAsia="en-US" w:bidi="ar-SA"/>
      </w:rPr>
    </w:lvl>
  </w:abstractNum>
  <w:abstractNum w:abstractNumId="23" w15:restartNumberingAfterBreak="0">
    <w:nsid w:val="59002234"/>
    <w:multiLevelType w:val="multilevel"/>
    <w:tmpl w:val="C1267EF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86095A"/>
    <w:multiLevelType w:val="multilevel"/>
    <w:tmpl w:val="F7E6C3D2"/>
    <w:lvl w:ilvl="0">
      <w:start w:val="5"/>
      <w:numFmt w:val="decimal"/>
      <w:lvlText w:val="%1"/>
      <w:lvlJc w:val="left"/>
      <w:pPr>
        <w:ind w:left="360" w:hanging="360"/>
      </w:pPr>
      <w:rPr>
        <w:rFonts w:hint="default"/>
      </w:rPr>
    </w:lvl>
    <w:lvl w:ilvl="1">
      <w:start w:val="1"/>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25" w15:restartNumberingAfterBreak="0">
    <w:nsid w:val="5DAD7705"/>
    <w:multiLevelType w:val="hybridMultilevel"/>
    <w:tmpl w:val="E7C06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41349B"/>
    <w:multiLevelType w:val="hybridMultilevel"/>
    <w:tmpl w:val="98F0B02C"/>
    <w:lvl w:ilvl="0" w:tplc="F6688476">
      <w:numFmt w:val="bullet"/>
      <w:lvlText w:val=""/>
      <w:lvlJc w:val="left"/>
      <w:pPr>
        <w:ind w:left="458" w:hanging="341"/>
      </w:pPr>
      <w:rPr>
        <w:rFonts w:ascii="Symbol" w:eastAsia="Symbol" w:hAnsi="Symbol" w:cs="Symbol" w:hint="default"/>
        <w:w w:val="99"/>
        <w:sz w:val="20"/>
        <w:szCs w:val="20"/>
        <w:lang w:val="en-US" w:eastAsia="en-US" w:bidi="ar-SA"/>
      </w:rPr>
    </w:lvl>
    <w:lvl w:ilvl="1" w:tplc="25AE0306">
      <w:numFmt w:val="bullet"/>
      <w:lvlText w:val="•"/>
      <w:lvlJc w:val="left"/>
      <w:pPr>
        <w:ind w:left="1372" w:hanging="341"/>
      </w:pPr>
      <w:rPr>
        <w:rFonts w:hint="default"/>
        <w:lang w:val="en-US" w:eastAsia="en-US" w:bidi="ar-SA"/>
      </w:rPr>
    </w:lvl>
    <w:lvl w:ilvl="2" w:tplc="4106F9BC">
      <w:numFmt w:val="bullet"/>
      <w:lvlText w:val="•"/>
      <w:lvlJc w:val="left"/>
      <w:pPr>
        <w:ind w:left="2285" w:hanging="341"/>
      </w:pPr>
      <w:rPr>
        <w:rFonts w:hint="default"/>
        <w:lang w:val="en-US" w:eastAsia="en-US" w:bidi="ar-SA"/>
      </w:rPr>
    </w:lvl>
    <w:lvl w:ilvl="3" w:tplc="54FEF06E">
      <w:numFmt w:val="bullet"/>
      <w:lvlText w:val="•"/>
      <w:lvlJc w:val="left"/>
      <w:pPr>
        <w:ind w:left="3197" w:hanging="341"/>
      </w:pPr>
      <w:rPr>
        <w:rFonts w:hint="default"/>
        <w:lang w:val="en-US" w:eastAsia="en-US" w:bidi="ar-SA"/>
      </w:rPr>
    </w:lvl>
    <w:lvl w:ilvl="4" w:tplc="3F946850">
      <w:numFmt w:val="bullet"/>
      <w:lvlText w:val="•"/>
      <w:lvlJc w:val="left"/>
      <w:pPr>
        <w:ind w:left="4110" w:hanging="341"/>
      </w:pPr>
      <w:rPr>
        <w:rFonts w:hint="default"/>
        <w:lang w:val="en-US" w:eastAsia="en-US" w:bidi="ar-SA"/>
      </w:rPr>
    </w:lvl>
    <w:lvl w:ilvl="5" w:tplc="2702DEF6">
      <w:numFmt w:val="bullet"/>
      <w:lvlText w:val="•"/>
      <w:lvlJc w:val="left"/>
      <w:pPr>
        <w:ind w:left="5023" w:hanging="341"/>
      </w:pPr>
      <w:rPr>
        <w:rFonts w:hint="default"/>
        <w:lang w:val="en-US" w:eastAsia="en-US" w:bidi="ar-SA"/>
      </w:rPr>
    </w:lvl>
    <w:lvl w:ilvl="6" w:tplc="4726D0E8">
      <w:numFmt w:val="bullet"/>
      <w:lvlText w:val="•"/>
      <w:lvlJc w:val="left"/>
      <w:pPr>
        <w:ind w:left="5935" w:hanging="341"/>
      </w:pPr>
      <w:rPr>
        <w:rFonts w:hint="default"/>
        <w:lang w:val="en-US" w:eastAsia="en-US" w:bidi="ar-SA"/>
      </w:rPr>
    </w:lvl>
    <w:lvl w:ilvl="7" w:tplc="F4D8CA02">
      <w:numFmt w:val="bullet"/>
      <w:lvlText w:val="•"/>
      <w:lvlJc w:val="left"/>
      <w:pPr>
        <w:ind w:left="6848" w:hanging="341"/>
      </w:pPr>
      <w:rPr>
        <w:rFonts w:hint="default"/>
        <w:lang w:val="en-US" w:eastAsia="en-US" w:bidi="ar-SA"/>
      </w:rPr>
    </w:lvl>
    <w:lvl w:ilvl="8" w:tplc="4AB43372">
      <w:numFmt w:val="bullet"/>
      <w:lvlText w:val="•"/>
      <w:lvlJc w:val="left"/>
      <w:pPr>
        <w:ind w:left="7761" w:hanging="341"/>
      </w:pPr>
      <w:rPr>
        <w:rFonts w:hint="default"/>
        <w:lang w:val="en-US" w:eastAsia="en-US" w:bidi="ar-SA"/>
      </w:rPr>
    </w:lvl>
  </w:abstractNum>
  <w:abstractNum w:abstractNumId="27" w15:restartNumberingAfterBreak="0">
    <w:nsid w:val="62A517B3"/>
    <w:multiLevelType w:val="multilevel"/>
    <w:tmpl w:val="B36E0834"/>
    <w:lvl w:ilvl="0">
      <w:start w:val="11"/>
      <w:numFmt w:val="decimal"/>
      <w:lvlText w:val="%1"/>
      <w:lvlJc w:val="left"/>
      <w:pPr>
        <w:ind w:left="660" w:hanging="660"/>
      </w:pPr>
      <w:rPr>
        <w:rFonts w:hint="default"/>
      </w:rPr>
    </w:lvl>
    <w:lvl w:ilvl="1">
      <w:start w:val="3"/>
      <w:numFmt w:val="decimal"/>
      <w:lvlText w:val="%1.%2"/>
      <w:lvlJc w:val="left"/>
      <w:pPr>
        <w:ind w:left="1421" w:hanging="660"/>
      </w:pPr>
      <w:rPr>
        <w:rFonts w:hint="default"/>
      </w:rPr>
    </w:lvl>
    <w:lvl w:ilvl="2">
      <w:start w:val="3"/>
      <w:numFmt w:val="decimal"/>
      <w:lvlText w:val="%1.%2.%3"/>
      <w:lvlJc w:val="left"/>
      <w:pPr>
        <w:ind w:left="2242" w:hanging="720"/>
      </w:pPr>
      <w:rPr>
        <w:rFonts w:hint="default"/>
      </w:rPr>
    </w:lvl>
    <w:lvl w:ilvl="3">
      <w:start w:val="1"/>
      <w:numFmt w:val="decimal"/>
      <w:lvlText w:val="%1.%2.%3.%4"/>
      <w:lvlJc w:val="left"/>
      <w:pPr>
        <w:ind w:left="3363" w:hanging="1080"/>
      </w:pPr>
      <w:rPr>
        <w:rFonts w:hint="default"/>
      </w:rPr>
    </w:lvl>
    <w:lvl w:ilvl="4">
      <w:start w:val="1"/>
      <w:numFmt w:val="decimal"/>
      <w:lvlText w:val="%1.%2.%3.%4.%5"/>
      <w:lvlJc w:val="left"/>
      <w:pPr>
        <w:ind w:left="4124" w:hanging="1080"/>
      </w:pPr>
      <w:rPr>
        <w:rFonts w:hint="default"/>
      </w:rPr>
    </w:lvl>
    <w:lvl w:ilvl="5">
      <w:start w:val="1"/>
      <w:numFmt w:val="decimal"/>
      <w:lvlText w:val="%1.%2.%3.%4.%5.%6"/>
      <w:lvlJc w:val="left"/>
      <w:pPr>
        <w:ind w:left="5245" w:hanging="1440"/>
      </w:pPr>
      <w:rPr>
        <w:rFonts w:hint="default"/>
      </w:rPr>
    </w:lvl>
    <w:lvl w:ilvl="6">
      <w:start w:val="1"/>
      <w:numFmt w:val="decimal"/>
      <w:lvlText w:val="%1.%2.%3.%4.%5.%6.%7"/>
      <w:lvlJc w:val="left"/>
      <w:pPr>
        <w:ind w:left="6006" w:hanging="1440"/>
      </w:pPr>
      <w:rPr>
        <w:rFonts w:hint="default"/>
      </w:rPr>
    </w:lvl>
    <w:lvl w:ilvl="7">
      <w:start w:val="1"/>
      <w:numFmt w:val="decimal"/>
      <w:lvlText w:val="%1.%2.%3.%4.%5.%6.%7.%8"/>
      <w:lvlJc w:val="left"/>
      <w:pPr>
        <w:ind w:left="7127" w:hanging="1800"/>
      </w:pPr>
      <w:rPr>
        <w:rFonts w:hint="default"/>
      </w:rPr>
    </w:lvl>
    <w:lvl w:ilvl="8">
      <w:start w:val="1"/>
      <w:numFmt w:val="decimal"/>
      <w:lvlText w:val="%1.%2.%3.%4.%5.%6.%7.%8.%9"/>
      <w:lvlJc w:val="left"/>
      <w:pPr>
        <w:ind w:left="7888" w:hanging="1800"/>
      </w:pPr>
      <w:rPr>
        <w:rFonts w:hint="default"/>
      </w:rPr>
    </w:lvl>
  </w:abstractNum>
  <w:abstractNum w:abstractNumId="28" w15:restartNumberingAfterBreak="0">
    <w:nsid w:val="633E14C7"/>
    <w:multiLevelType w:val="multilevel"/>
    <w:tmpl w:val="4192FFEA"/>
    <w:lvl w:ilvl="0">
      <w:start w:val="15"/>
      <w:numFmt w:val="decimal"/>
      <w:lvlText w:val="%1"/>
      <w:lvlJc w:val="left"/>
      <w:pPr>
        <w:ind w:left="1523" w:hanging="569"/>
      </w:pPr>
      <w:rPr>
        <w:rFonts w:hint="default"/>
        <w:lang w:val="en-US" w:eastAsia="en-US" w:bidi="ar-SA"/>
      </w:rPr>
    </w:lvl>
    <w:lvl w:ilvl="1">
      <w:start w:val="1"/>
      <w:numFmt w:val="decimal"/>
      <w:lvlText w:val="%1.%2"/>
      <w:lvlJc w:val="left"/>
      <w:pPr>
        <w:ind w:left="1523" w:hanging="569"/>
      </w:pPr>
      <w:rPr>
        <w:rFonts w:ascii="Arial" w:eastAsia="Arial" w:hAnsi="Arial" w:cs="Arial" w:hint="default"/>
        <w:spacing w:val="0"/>
        <w:w w:val="99"/>
        <w:sz w:val="24"/>
        <w:szCs w:val="24"/>
        <w:lang w:val="en-US" w:eastAsia="en-US" w:bidi="ar-SA"/>
      </w:rPr>
    </w:lvl>
    <w:lvl w:ilvl="2">
      <w:numFmt w:val="bullet"/>
      <w:lvlText w:val="•"/>
      <w:lvlJc w:val="left"/>
      <w:pPr>
        <w:ind w:left="3241" w:hanging="569"/>
      </w:pPr>
      <w:rPr>
        <w:rFonts w:hint="default"/>
        <w:lang w:val="en-US" w:eastAsia="en-US" w:bidi="ar-SA"/>
      </w:rPr>
    </w:lvl>
    <w:lvl w:ilvl="3">
      <w:numFmt w:val="bullet"/>
      <w:lvlText w:val="•"/>
      <w:lvlJc w:val="left"/>
      <w:pPr>
        <w:ind w:left="4101" w:hanging="569"/>
      </w:pPr>
      <w:rPr>
        <w:rFonts w:hint="default"/>
        <w:lang w:val="en-US" w:eastAsia="en-US" w:bidi="ar-SA"/>
      </w:rPr>
    </w:lvl>
    <w:lvl w:ilvl="4">
      <w:numFmt w:val="bullet"/>
      <w:lvlText w:val="•"/>
      <w:lvlJc w:val="left"/>
      <w:pPr>
        <w:ind w:left="4962" w:hanging="569"/>
      </w:pPr>
      <w:rPr>
        <w:rFonts w:hint="default"/>
        <w:lang w:val="en-US" w:eastAsia="en-US" w:bidi="ar-SA"/>
      </w:rPr>
    </w:lvl>
    <w:lvl w:ilvl="5">
      <w:numFmt w:val="bullet"/>
      <w:lvlText w:val="•"/>
      <w:lvlJc w:val="left"/>
      <w:pPr>
        <w:ind w:left="5823" w:hanging="569"/>
      </w:pPr>
      <w:rPr>
        <w:rFonts w:hint="default"/>
        <w:lang w:val="en-US" w:eastAsia="en-US" w:bidi="ar-SA"/>
      </w:rPr>
    </w:lvl>
    <w:lvl w:ilvl="6">
      <w:numFmt w:val="bullet"/>
      <w:lvlText w:val="•"/>
      <w:lvlJc w:val="left"/>
      <w:pPr>
        <w:ind w:left="6683" w:hanging="569"/>
      </w:pPr>
      <w:rPr>
        <w:rFonts w:hint="default"/>
        <w:lang w:val="en-US" w:eastAsia="en-US" w:bidi="ar-SA"/>
      </w:rPr>
    </w:lvl>
    <w:lvl w:ilvl="7">
      <w:numFmt w:val="bullet"/>
      <w:lvlText w:val="•"/>
      <w:lvlJc w:val="left"/>
      <w:pPr>
        <w:ind w:left="7544" w:hanging="569"/>
      </w:pPr>
      <w:rPr>
        <w:rFonts w:hint="default"/>
        <w:lang w:val="en-US" w:eastAsia="en-US" w:bidi="ar-SA"/>
      </w:rPr>
    </w:lvl>
    <w:lvl w:ilvl="8">
      <w:numFmt w:val="bullet"/>
      <w:lvlText w:val="•"/>
      <w:lvlJc w:val="left"/>
      <w:pPr>
        <w:ind w:left="8405" w:hanging="569"/>
      </w:pPr>
      <w:rPr>
        <w:rFonts w:hint="default"/>
        <w:lang w:val="en-US" w:eastAsia="en-US" w:bidi="ar-SA"/>
      </w:rPr>
    </w:lvl>
  </w:abstractNum>
  <w:abstractNum w:abstractNumId="29" w15:restartNumberingAfterBreak="0">
    <w:nsid w:val="67E20B09"/>
    <w:multiLevelType w:val="hybridMultilevel"/>
    <w:tmpl w:val="ABB26E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EF13BB"/>
    <w:multiLevelType w:val="multilevel"/>
    <w:tmpl w:val="31CCB308"/>
    <w:lvl w:ilvl="0">
      <w:start w:val="9"/>
      <w:numFmt w:val="decimal"/>
      <w:lvlText w:val="%1"/>
      <w:lvlJc w:val="left"/>
      <w:pPr>
        <w:ind w:left="2260" w:hanging="738"/>
      </w:pPr>
      <w:rPr>
        <w:rFonts w:hint="default"/>
        <w:lang w:val="en-US" w:eastAsia="en-US" w:bidi="ar-SA"/>
      </w:rPr>
    </w:lvl>
    <w:lvl w:ilvl="1">
      <w:start w:val="2"/>
      <w:numFmt w:val="decimal"/>
      <w:lvlText w:val="%1.%2"/>
      <w:lvlJc w:val="left"/>
      <w:pPr>
        <w:ind w:left="2260" w:hanging="738"/>
      </w:pPr>
      <w:rPr>
        <w:rFonts w:hint="default"/>
        <w:lang w:val="en-US" w:eastAsia="en-US" w:bidi="ar-SA"/>
      </w:rPr>
    </w:lvl>
    <w:lvl w:ilvl="2">
      <w:start w:val="1"/>
      <w:numFmt w:val="decimal"/>
      <w:lvlText w:val="%1.%2.%3"/>
      <w:lvlJc w:val="left"/>
      <w:pPr>
        <w:ind w:left="2260" w:hanging="738"/>
      </w:pPr>
      <w:rPr>
        <w:rFonts w:ascii="Arial" w:eastAsia="Arial" w:hAnsi="Arial" w:cs="Arial" w:hint="default"/>
        <w:spacing w:val="0"/>
        <w:w w:val="99"/>
        <w:sz w:val="24"/>
        <w:szCs w:val="24"/>
        <w:lang w:val="en-US" w:eastAsia="en-US" w:bidi="ar-SA"/>
      </w:rPr>
    </w:lvl>
    <w:lvl w:ilvl="3">
      <w:numFmt w:val="bullet"/>
      <w:lvlText w:val="•"/>
      <w:lvlJc w:val="left"/>
      <w:pPr>
        <w:ind w:left="4619" w:hanging="738"/>
      </w:pPr>
      <w:rPr>
        <w:rFonts w:hint="default"/>
        <w:lang w:val="en-US" w:eastAsia="en-US" w:bidi="ar-SA"/>
      </w:rPr>
    </w:lvl>
    <w:lvl w:ilvl="4">
      <w:numFmt w:val="bullet"/>
      <w:lvlText w:val="•"/>
      <w:lvlJc w:val="left"/>
      <w:pPr>
        <w:ind w:left="5406" w:hanging="738"/>
      </w:pPr>
      <w:rPr>
        <w:rFonts w:hint="default"/>
        <w:lang w:val="en-US" w:eastAsia="en-US" w:bidi="ar-SA"/>
      </w:rPr>
    </w:lvl>
    <w:lvl w:ilvl="5">
      <w:numFmt w:val="bullet"/>
      <w:lvlText w:val="•"/>
      <w:lvlJc w:val="left"/>
      <w:pPr>
        <w:ind w:left="6193" w:hanging="738"/>
      </w:pPr>
      <w:rPr>
        <w:rFonts w:hint="default"/>
        <w:lang w:val="en-US" w:eastAsia="en-US" w:bidi="ar-SA"/>
      </w:rPr>
    </w:lvl>
    <w:lvl w:ilvl="6">
      <w:numFmt w:val="bullet"/>
      <w:lvlText w:val="•"/>
      <w:lvlJc w:val="left"/>
      <w:pPr>
        <w:ind w:left="6979" w:hanging="738"/>
      </w:pPr>
      <w:rPr>
        <w:rFonts w:hint="default"/>
        <w:lang w:val="en-US" w:eastAsia="en-US" w:bidi="ar-SA"/>
      </w:rPr>
    </w:lvl>
    <w:lvl w:ilvl="7">
      <w:numFmt w:val="bullet"/>
      <w:lvlText w:val="•"/>
      <w:lvlJc w:val="left"/>
      <w:pPr>
        <w:ind w:left="7766" w:hanging="738"/>
      </w:pPr>
      <w:rPr>
        <w:rFonts w:hint="default"/>
        <w:lang w:val="en-US" w:eastAsia="en-US" w:bidi="ar-SA"/>
      </w:rPr>
    </w:lvl>
    <w:lvl w:ilvl="8">
      <w:numFmt w:val="bullet"/>
      <w:lvlText w:val="•"/>
      <w:lvlJc w:val="left"/>
      <w:pPr>
        <w:ind w:left="8553" w:hanging="738"/>
      </w:pPr>
      <w:rPr>
        <w:rFonts w:hint="default"/>
        <w:lang w:val="en-US" w:eastAsia="en-US" w:bidi="ar-SA"/>
      </w:rPr>
    </w:lvl>
  </w:abstractNum>
  <w:abstractNum w:abstractNumId="31" w15:restartNumberingAfterBreak="0">
    <w:nsid w:val="721A10F4"/>
    <w:multiLevelType w:val="multilevel"/>
    <w:tmpl w:val="6A908E68"/>
    <w:lvl w:ilvl="0">
      <w:start w:val="15"/>
      <w:numFmt w:val="decimal"/>
      <w:lvlText w:val="%1"/>
      <w:lvlJc w:val="left"/>
      <w:pPr>
        <w:ind w:left="1523" w:hanging="569"/>
      </w:pPr>
      <w:rPr>
        <w:rFonts w:hint="default"/>
        <w:lang w:val="en-US" w:eastAsia="en-US" w:bidi="ar-SA"/>
      </w:rPr>
    </w:lvl>
    <w:lvl w:ilvl="1">
      <w:start w:val="1"/>
      <w:numFmt w:val="decimal"/>
      <w:lvlText w:val="%1.%2"/>
      <w:lvlJc w:val="left"/>
      <w:pPr>
        <w:ind w:left="1523" w:hanging="569"/>
      </w:pPr>
      <w:rPr>
        <w:rFonts w:ascii="Arial" w:eastAsia="Arial" w:hAnsi="Arial" w:cs="Arial" w:hint="default"/>
        <w:spacing w:val="0"/>
        <w:w w:val="99"/>
        <w:sz w:val="24"/>
        <w:szCs w:val="24"/>
        <w:lang w:val="en-US" w:eastAsia="en-US" w:bidi="ar-SA"/>
      </w:rPr>
    </w:lvl>
    <w:lvl w:ilvl="2">
      <w:numFmt w:val="bullet"/>
      <w:lvlText w:val="•"/>
      <w:lvlJc w:val="left"/>
      <w:pPr>
        <w:ind w:left="3241" w:hanging="569"/>
      </w:pPr>
      <w:rPr>
        <w:rFonts w:hint="default"/>
        <w:lang w:val="en-US" w:eastAsia="en-US" w:bidi="ar-SA"/>
      </w:rPr>
    </w:lvl>
    <w:lvl w:ilvl="3">
      <w:numFmt w:val="bullet"/>
      <w:lvlText w:val="•"/>
      <w:lvlJc w:val="left"/>
      <w:pPr>
        <w:ind w:left="4101" w:hanging="569"/>
      </w:pPr>
      <w:rPr>
        <w:rFonts w:hint="default"/>
        <w:lang w:val="en-US" w:eastAsia="en-US" w:bidi="ar-SA"/>
      </w:rPr>
    </w:lvl>
    <w:lvl w:ilvl="4">
      <w:numFmt w:val="bullet"/>
      <w:lvlText w:val="•"/>
      <w:lvlJc w:val="left"/>
      <w:pPr>
        <w:ind w:left="4962" w:hanging="569"/>
      </w:pPr>
      <w:rPr>
        <w:rFonts w:hint="default"/>
        <w:lang w:val="en-US" w:eastAsia="en-US" w:bidi="ar-SA"/>
      </w:rPr>
    </w:lvl>
    <w:lvl w:ilvl="5">
      <w:numFmt w:val="bullet"/>
      <w:lvlText w:val="•"/>
      <w:lvlJc w:val="left"/>
      <w:pPr>
        <w:ind w:left="5823" w:hanging="569"/>
      </w:pPr>
      <w:rPr>
        <w:rFonts w:hint="default"/>
        <w:lang w:val="en-US" w:eastAsia="en-US" w:bidi="ar-SA"/>
      </w:rPr>
    </w:lvl>
    <w:lvl w:ilvl="6">
      <w:numFmt w:val="bullet"/>
      <w:lvlText w:val="•"/>
      <w:lvlJc w:val="left"/>
      <w:pPr>
        <w:ind w:left="6683" w:hanging="569"/>
      </w:pPr>
      <w:rPr>
        <w:rFonts w:hint="default"/>
        <w:lang w:val="en-US" w:eastAsia="en-US" w:bidi="ar-SA"/>
      </w:rPr>
    </w:lvl>
    <w:lvl w:ilvl="7">
      <w:numFmt w:val="bullet"/>
      <w:lvlText w:val="•"/>
      <w:lvlJc w:val="left"/>
      <w:pPr>
        <w:ind w:left="7544" w:hanging="569"/>
      </w:pPr>
      <w:rPr>
        <w:rFonts w:hint="default"/>
        <w:lang w:val="en-US" w:eastAsia="en-US" w:bidi="ar-SA"/>
      </w:rPr>
    </w:lvl>
    <w:lvl w:ilvl="8">
      <w:numFmt w:val="bullet"/>
      <w:lvlText w:val="•"/>
      <w:lvlJc w:val="left"/>
      <w:pPr>
        <w:ind w:left="8405" w:hanging="569"/>
      </w:pPr>
      <w:rPr>
        <w:rFonts w:hint="default"/>
        <w:lang w:val="en-US" w:eastAsia="en-US" w:bidi="ar-SA"/>
      </w:rPr>
    </w:lvl>
  </w:abstractNum>
  <w:abstractNum w:abstractNumId="32" w15:restartNumberingAfterBreak="0">
    <w:nsid w:val="72C95DD2"/>
    <w:multiLevelType w:val="multilevel"/>
    <w:tmpl w:val="F5708690"/>
    <w:lvl w:ilvl="0">
      <w:start w:val="5"/>
      <w:numFmt w:val="decimal"/>
      <w:lvlText w:val="%1"/>
      <w:lvlJc w:val="left"/>
      <w:pPr>
        <w:ind w:left="360" w:hanging="360"/>
      </w:pPr>
      <w:rPr>
        <w:rFonts w:hint="default"/>
      </w:rPr>
    </w:lvl>
    <w:lvl w:ilvl="1">
      <w:start w:val="1"/>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240" w:hanging="1800"/>
      </w:pPr>
      <w:rPr>
        <w:rFonts w:hint="default"/>
      </w:rPr>
    </w:lvl>
  </w:abstractNum>
  <w:abstractNum w:abstractNumId="33" w15:restartNumberingAfterBreak="0">
    <w:nsid w:val="7902167E"/>
    <w:multiLevelType w:val="hybridMultilevel"/>
    <w:tmpl w:val="B80676AC"/>
    <w:lvl w:ilvl="0" w:tplc="265E6A82">
      <w:start w:val="1"/>
      <w:numFmt w:val="lowerLetter"/>
      <w:lvlText w:val="%1)"/>
      <w:lvlJc w:val="left"/>
      <w:pPr>
        <w:ind w:left="918" w:hanging="360"/>
      </w:pPr>
      <w:rPr>
        <w:rFonts w:ascii="Arial" w:eastAsia="Arial" w:hAnsi="Arial" w:cs="Arial" w:hint="default"/>
        <w:spacing w:val="0"/>
        <w:w w:val="99"/>
        <w:sz w:val="24"/>
        <w:szCs w:val="24"/>
        <w:lang w:val="en-US" w:eastAsia="en-US" w:bidi="ar-SA"/>
      </w:rPr>
    </w:lvl>
    <w:lvl w:ilvl="1" w:tplc="A934E45C">
      <w:numFmt w:val="bullet"/>
      <w:lvlText w:val="•"/>
      <w:lvlJc w:val="left"/>
      <w:pPr>
        <w:ind w:left="1840" w:hanging="360"/>
      </w:pPr>
      <w:rPr>
        <w:rFonts w:hint="default"/>
        <w:lang w:val="en-US" w:eastAsia="en-US" w:bidi="ar-SA"/>
      </w:rPr>
    </w:lvl>
    <w:lvl w:ilvl="2" w:tplc="28FEF21C">
      <w:numFmt w:val="bullet"/>
      <w:lvlText w:val="•"/>
      <w:lvlJc w:val="left"/>
      <w:pPr>
        <w:ind w:left="2761" w:hanging="360"/>
      </w:pPr>
      <w:rPr>
        <w:rFonts w:hint="default"/>
        <w:lang w:val="en-US" w:eastAsia="en-US" w:bidi="ar-SA"/>
      </w:rPr>
    </w:lvl>
    <w:lvl w:ilvl="3" w:tplc="DBFCED52">
      <w:numFmt w:val="bullet"/>
      <w:lvlText w:val="•"/>
      <w:lvlJc w:val="left"/>
      <w:pPr>
        <w:ind w:left="3681" w:hanging="360"/>
      </w:pPr>
      <w:rPr>
        <w:rFonts w:hint="default"/>
        <w:lang w:val="en-US" w:eastAsia="en-US" w:bidi="ar-SA"/>
      </w:rPr>
    </w:lvl>
    <w:lvl w:ilvl="4" w:tplc="00CA832C">
      <w:numFmt w:val="bullet"/>
      <w:lvlText w:val="•"/>
      <w:lvlJc w:val="left"/>
      <w:pPr>
        <w:ind w:left="4602" w:hanging="360"/>
      </w:pPr>
      <w:rPr>
        <w:rFonts w:hint="default"/>
        <w:lang w:val="en-US" w:eastAsia="en-US" w:bidi="ar-SA"/>
      </w:rPr>
    </w:lvl>
    <w:lvl w:ilvl="5" w:tplc="AC4EDF94">
      <w:numFmt w:val="bullet"/>
      <w:lvlText w:val="•"/>
      <w:lvlJc w:val="left"/>
      <w:pPr>
        <w:ind w:left="5523" w:hanging="360"/>
      </w:pPr>
      <w:rPr>
        <w:rFonts w:hint="default"/>
        <w:lang w:val="en-US" w:eastAsia="en-US" w:bidi="ar-SA"/>
      </w:rPr>
    </w:lvl>
    <w:lvl w:ilvl="6" w:tplc="CB0630F4">
      <w:numFmt w:val="bullet"/>
      <w:lvlText w:val="•"/>
      <w:lvlJc w:val="left"/>
      <w:pPr>
        <w:ind w:left="6443" w:hanging="360"/>
      </w:pPr>
      <w:rPr>
        <w:rFonts w:hint="default"/>
        <w:lang w:val="en-US" w:eastAsia="en-US" w:bidi="ar-SA"/>
      </w:rPr>
    </w:lvl>
    <w:lvl w:ilvl="7" w:tplc="742AC924">
      <w:numFmt w:val="bullet"/>
      <w:lvlText w:val="•"/>
      <w:lvlJc w:val="left"/>
      <w:pPr>
        <w:ind w:left="7364" w:hanging="360"/>
      </w:pPr>
      <w:rPr>
        <w:rFonts w:hint="default"/>
        <w:lang w:val="en-US" w:eastAsia="en-US" w:bidi="ar-SA"/>
      </w:rPr>
    </w:lvl>
    <w:lvl w:ilvl="8" w:tplc="F8FC9C3C">
      <w:numFmt w:val="bullet"/>
      <w:lvlText w:val="•"/>
      <w:lvlJc w:val="left"/>
      <w:pPr>
        <w:ind w:left="8285" w:hanging="360"/>
      </w:pPr>
      <w:rPr>
        <w:rFonts w:hint="default"/>
        <w:lang w:val="en-US" w:eastAsia="en-US" w:bidi="ar-SA"/>
      </w:rPr>
    </w:lvl>
  </w:abstractNum>
  <w:abstractNum w:abstractNumId="34" w15:restartNumberingAfterBreak="0">
    <w:nsid w:val="796C72CB"/>
    <w:multiLevelType w:val="hybridMultilevel"/>
    <w:tmpl w:val="BCF453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4F2591"/>
    <w:multiLevelType w:val="hybridMultilevel"/>
    <w:tmpl w:val="4DD095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880C39"/>
    <w:multiLevelType w:val="hybridMultilevel"/>
    <w:tmpl w:val="4810F4F0"/>
    <w:lvl w:ilvl="0" w:tplc="32A65794">
      <w:start w:val="1"/>
      <w:numFmt w:val="decimal"/>
      <w:lvlText w:val="[%1]"/>
      <w:lvlJc w:val="left"/>
      <w:pPr>
        <w:ind w:left="1076" w:hanging="598"/>
      </w:pPr>
      <w:rPr>
        <w:rFonts w:ascii="Arial" w:eastAsia="Arial" w:hAnsi="Arial" w:cs="Arial" w:hint="default"/>
        <w:spacing w:val="0"/>
        <w:w w:val="99"/>
        <w:sz w:val="24"/>
        <w:szCs w:val="24"/>
        <w:lang w:val="en-US" w:eastAsia="en-US" w:bidi="ar-SA"/>
      </w:rPr>
    </w:lvl>
    <w:lvl w:ilvl="1" w:tplc="548E4554">
      <w:numFmt w:val="bullet"/>
      <w:lvlText w:val="•"/>
      <w:lvlJc w:val="left"/>
      <w:pPr>
        <w:ind w:left="1930" w:hanging="598"/>
      </w:pPr>
      <w:rPr>
        <w:rFonts w:hint="default"/>
        <w:lang w:val="en-US" w:eastAsia="en-US" w:bidi="ar-SA"/>
      </w:rPr>
    </w:lvl>
    <w:lvl w:ilvl="2" w:tplc="07F0047E">
      <w:numFmt w:val="bullet"/>
      <w:lvlText w:val="•"/>
      <w:lvlJc w:val="left"/>
      <w:pPr>
        <w:ind w:left="2781" w:hanging="598"/>
      </w:pPr>
      <w:rPr>
        <w:rFonts w:hint="default"/>
        <w:lang w:val="en-US" w:eastAsia="en-US" w:bidi="ar-SA"/>
      </w:rPr>
    </w:lvl>
    <w:lvl w:ilvl="3" w:tplc="C9C662B2">
      <w:numFmt w:val="bullet"/>
      <w:lvlText w:val="•"/>
      <w:lvlJc w:val="left"/>
      <w:pPr>
        <w:ind w:left="3631" w:hanging="598"/>
      </w:pPr>
      <w:rPr>
        <w:rFonts w:hint="default"/>
        <w:lang w:val="en-US" w:eastAsia="en-US" w:bidi="ar-SA"/>
      </w:rPr>
    </w:lvl>
    <w:lvl w:ilvl="4" w:tplc="D49ABD0A">
      <w:numFmt w:val="bullet"/>
      <w:lvlText w:val="•"/>
      <w:lvlJc w:val="left"/>
      <w:pPr>
        <w:ind w:left="4482" w:hanging="598"/>
      </w:pPr>
      <w:rPr>
        <w:rFonts w:hint="default"/>
        <w:lang w:val="en-US" w:eastAsia="en-US" w:bidi="ar-SA"/>
      </w:rPr>
    </w:lvl>
    <w:lvl w:ilvl="5" w:tplc="D1DA2908">
      <w:numFmt w:val="bullet"/>
      <w:lvlText w:val="•"/>
      <w:lvlJc w:val="left"/>
      <w:pPr>
        <w:ind w:left="5333" w:hanging="598"/>
      </w:pPr>
      <w:rPr>
        <w:rFonts w:hint="default"/>
        <w:lang w:val="en-US" w:eastAsia="en-US" w:bidi="ar-SA"/>
      </w:rPr>
    </w:lvl>
    <w:lvl w:ilvl="6" w:tplc="76B8FC46">
      <w:numFmt w:val="bullet"/>
      <w:lvlText w:val="•"/>
      <w:lvlJc w:val="left"/>
      <w:pPr>
        <w:ind w:left="6183" w:hanging="598"/>
      </w:pPr>
      <w:rPr>
        <w:rFonts w:hint="default"/>
        <w:lang w:val="en-US" w:eastAsia="en-US" w:bidi="ar-SA"/>
      </w:rPr>
    </w:lvl>
    <w:lvl w:ilvl="7" w:tplc="C8364984">
      <w:numFmt w:val="bullet"/>
      <w:lvlText w:val="•"/>
      <w:lvlJc w:val="left"/>
      <w:pPr>
        <w:ind w:left="7034" w:hanging="598"/>
      </w:pPr>
      <w:rPr>
        <w:rFonts w:hint="default"/>
        <w:lang w:val="en-US" w:eastAsia="en-US" w:bidi="ar-SA"/>
      </w:rPr>
    </w:lvl>
    <w:lvl w:ilvl="8" w:tplc="A4CE0ECE">
      <w:numFmt w:val="bullet"/>
      <w:lvlText w:val="•"/>
      <w:lvlJc w:val="left"/>
      <w:pPr>
        <w:ind w:left="7885" w:hanging="598"/>
      </w:pPr>
      <w:rPr>
        <w:rFonts w:hint="default"/>
        <w:lang w:val="en-US" w:eastAsia="en-US" w:bidi="ar-SA"/>
      </w:rPr>
    </w:lvl>
  </w:abstractNum>
  <w:abstractNum w:abstractNumId="37"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082044"/>
    <w:multiLevelType w:val="hybridMultilevel"/>
    <w:tmpl w:val="42645A3A"/>
    <w:lvl w:ilvl="0" w:tplc="620CE8FA">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37"/>
  </w:num>
  <w:num w:numId="4">
    <w:abstractNumId w:val="22"/>
  </w:num>
  <w:num w:numId="5">
    <w:abstractNumId w:val="30"/>
  </w:num>
  <w:num w:numId="6">
    <w:abstractNumId w:val="31"/>
  </w:num>
  <w:num w:numId="7">
    <w:abstractNumId w:val="4"/>
  </w:num>
  <w:num w:numId="8">
    <w:abstractNumId w:val="24"/>
  </w:num>
  <w:num w:numId="9">
    <w:abstractNumId w:val="27"/>
  </w:num>
  <w:num w:numId="10">
    <w:abstractNumId w:val="3"/>
  </w:num>
  <w:num w:numId="11">
    <w:abstractNumId w:val="28"/>
  </w:num>
  <w:num w:numId="12">
    <w:abstractNumId w:val="32"/>
  </w:num>
  <w:num w:numId="13">
    <w:abstractNumId w:val="10"/>
  </w:num>
  <w:num w:numId="14">
    <w:abstractNumId w:val="38"/>
  </w:num>
  <w:num w:numId="15">
    <w:abstractNumId w:val="15"/>
  </w:num>
  <w:num w:numId="16">
    <w:abstractNumId w:val="13"/>
  </w:num>
  <w:num w:numId="17">
    <w:abstractNumId w:val="5"/>
  </w:num>
  <w:num w:numId="18">
    <w:abstractNumId w:val="1"/>
  </w:num>
  <w:num w:numId="19">
    <w:abstractNumId w:val="23"/>
  </w:num>
  <w:num w:numId="20">
    <w:abstractNumId w:val="18"/>
  </w:num>
  <w:num w:numId="21">
    <w:abstractNumId w:val="0"/>
  </w:num>
  <w:num w:numId="22">
    <w:abstractNumId w:val="9"/>
  </w:num>
  <w:num w:numId="23">
    <w:abstractNumId w:val="6"/>
  </w:num>
  <w:num w:numId="24">
    <w:abstractNumId w:val="2"/>
  </w:num>
  <w:num w:numId="25">
    <w:abstractNumId w:val="14"/>
  </w:num>
  <w:num w:numId="26">
    <w:abstractNumId w:val="35"/>
  </w:num>
  <w:num w:numId="27">
    <w:abstractNumId w:val="29"/>
  </w:num>
  <w:num w:numId="28">
    <w:abstractNumId w:val="16"/>
  </w:num>
  <w:num w:numId="29">
    <w:abstractNumId w:val="20"/>
  </w:num>
  <w:num w:numId="30">
    <w:abstractNumId w:val="19"/>
  </w:num>
  <w:num w:numId="31">
    <w:abstractNumId w:val="21"/>
  </w:num>
  <w:num w:numId="32">
    <w:abstractNumId w:val="11"/>
  </w:num>
  <w:num w:numId="33">
    <w:abstractNumId w:val="33"/>
  </w:num>
  <w:num w:numId="34">
    <w:abstractNumId w:val="12"/>
  </w:num>
  <w:num w:numId="35">
    <w:abstractNumId w:val="36"/>
  </w:num>
  <w:num w:numId="36">
    <w:abstractNumId w:val="26"/>
  </w:num>
  <w:num w:numId="37">
    <w:abstractNumId w:val="7"/>
  </w:num>
  <w:num w:numId="38">
    <w:abstractNumId w:val="34"/>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C31"/>
    <w:rsid w:val="00011591"/>
    <w:rsid w:val="00095C1D"/>
    <w:rsid w:val="000A1C8C"/>
    <w:rsid w:val="000B62E7"/>
    <w:rsid w:val="000E7AD7"/>
    <w:rsid w:val="001C4C31"/>
    <w:rsid w:val="00235E69"/>
    <w:rsid w:val="002A009C"/>
    <w:rsid w:val="002B3F6D"/>
    <w:rsid w:val="002F6308"/>
    <w:rsid w:val="00303019"/>
    <w:rsid w:val="003209C3"/>
    <w:rsid w:val="003738D7"/>
    <w:rsid w:val="003C1E2E"/>
    <w:rsid w:val="004042A1"/>
    <w:rsid w:val="00440B2A"/>
    <w:rsid w:val="00453EF5"/>
    <w:rsid w:val="00472036"/>
    <w:rsid w:val="00474E8E"/>
    <w:rsid w:val="004C737E"/>
    <w:rsid w:val="004E6429"/>
    <w:rsid w:val="004F2A61"/>
    <w:rsid w:val="005476F2"/>
    <w:rsid w:val="005B65AA"/>
    <w:rsid w:val="005E004B"/>
    <w:rsid w:val="006128CB"/>
    <w:rsid w:val="006148BD"/>
    <w:rsid w:val="0062743A"/>
    <w:rsid w:val="006363B6"/>
    <w:rsid w:val="006873F1"/>
    <w:rsid w:val="00721105"/>
    <w:rsid w:val="007263E4"/>
    <w:rsid w:val="007A69FC"/>
    <w:rsid w:val="007D594B"/>
    <w:rsid w:val="00811BEA"/>
    <w:rsid w:val="00941037"/>
    <w:rsid w:val="009602BB"/>
    <w:rsid w:val="00966D1C"/>
    <w:rsid w:val="009817E2"/>
    <w:rsid w:val="009B5B32"/>
    <w:rsid w:val="009D55BF"/>
    <w:rsid w:val="009E4499"/>
    <w:rsid w:val="009E72EA"/>
    <w:rsid w:val="00A0457E"/>
    <w:rsid w:val="00A71B0E"/>
    <w:rsid w:val="00AB1FE9"/>
    <w:rsid w:val="00B70A0D"/>
    <w:rsid w:val="00B93EC0"/>
    <w:rsid w:val="00C11147"/>
    <w:rsid w:val="00CC195F"/>
    <w:rsid w:val="00CD1812"/>
    <w:rsid w:val="00CE2934"/>
    <w:rsid w:val="00D159BF"/>
    <w:rsid w:val="00D533FF"/>
    <w:rsid w:val="00D54D3B"/>
    <w:rsid w:val="00D5601E"/>
    <w:rsid w:val="00D80958"/>
    <w:rsid w:val="00E07CB1"/>
    <w:rsid w:val="00E2763A"/>
    <w:rsid w:val="00E329F8"/>
    <w:rsid w:val="00EE53EE"/>
    <w:rsid w:val="00F11018"/>
    <w:rsid w:val="00F11C9C"/>
    <w:rsid w:val="00F2730D"/>
    <w:rsid w:val="00F57390"/>
    <w:rsid w:val="00F57B63"/>
    <w:rsid w:val="00F66A15"/>
    <w:rsid w:val="00F70ADC"/>
    <w:rsid w:val="00FE6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68618"/>
  <w15:chartTrackingRefBased/>
  <w15:docId w15:val="{A4BD9BCE-5EC8-4166-8DD5-992544360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C31"/>
    <w:pPr>
      <w:spacing w:after="20" w:line="276" w:lineRule="auto"/>
      <w:ind w:left="2138" w:hanging="720"/>
      <w:jc w:val="both"/>
    </w:pPr>
    <w:rPr>
      <w:rFonts w:ascii="Arial" w:hAnsi="Arial" w:cs="Arial"/>
      <w:szCs w:val="24"/>
      <w:lang w:val="mn-MN"/>
    </w:rPr>
  </w:style>
  <w:style w:type="paragraph" w:styleId="Heading1">
    <w:name w:val="heading 1"/>
    <w:basedOn w:val="Normal"/>
    <w:link w:val="Heading1Char"/>
    <w:uiPriority w:val="1"/>
    <w:qFormat/>
    <w:rsid w:val="00E07CB1"/>
    <w:pPr>
      <w:widowControl w:val="0"/>
      <w:autoSpaceDE w:val="0"/>
      <w:autoSpaceDN w:val="0"/>
      <w:spacing w:before="91" w:after="0" w:line="240" w:lineRule="auto"/>
      <w:ind w:left="918" w:firstLine="0"/>
      <w:jc w:val="left"/>
      <w:outlineLvl w:val="0"/>
    </w:pPr>
    <w:rPr>
      <w:rFonts w:eastAsia="Arial"/>
      <w:b/>
      <w:sz w:val="26"/>
      <w:szCs w:val="26"/>
      <w:lang w:val="en-US"/>
    </w:rPr>
  </w:style>
  <w:style w:type="paragraph" w:styleId="Heading2">
    <w:name w:val="heading 2"/>
    <w:basedOn w:val="Normal"/>
    <w:link w:val="Heading2Char"/>
    <w:uiPriority w:val="1"/>
    <w:qFormat/>
    <w:rsid w:val="001C4C31"/>
    <w:pPr>
      <w:widowControl w:val="0"/>
      <w:autoSpaceDE w:val="0"/>
      <w:autoSpaceDN w:val="0"/>
      <w:spacing w:after="0" w:line="240" w:lineRule="auto"/>
      <w:ind w:left="1790" w:right="2894" w:firstLine="0"/>
      <w:jc w:val="center"/>
      <w:outlineLvl w:val="1"/>
    </w:pPr>
    <w:rPr>
      <w:rFonts w:eastAsia="Arial"/>
      <w:b/>
      <w:lang w:val="en-US"/>
    </w:rPr>
  </w:style>
  <w:style w:type="paragraph" w:styleId="Heading3">
    <w:name w:val="heading 3"/>
    <w:basedOn w:val="Normal"/>
    <w:next w:val="Normal"/>
    <w:link w:val="Heading3Char"/>
    <w:uiPriority w:val="9"/>
    <w:unhideWhenUsed/>
    <w:qFormat/>
    <w:rsid w:val="001C4C31"/>
    <w:pPr>
      <w:keepNext/>
      <w:keepLines/>
      <w:spacing w:before="40" w:after="0" w:line="259" w:lineRule="auto"/>
      <w:ind w:left="0" w:firstLine="0"/>
      <w:jc w:val="left"/>
      <w:outlineLvl w:val="2"/>
    </w:pPr>
    <w:rPr>
      <w:rFonts w:asciiTheme="majorHAnsi" w:eastAsiaTheme="majorEastAsia" w:hAnsiTheme="majorHAnsi" w:cstheme="majorBidi"/>
      <w:bCs/>
      <w:color w:val="1F4D78" w:themeColor="accent1" w:themeShade="7F"/>
      <w:lang w:val="en-US"/>
    </w:rPr>
  </w:style>
  <w:style w:type="paragraph" w:styleId="Heading4">
    <w:name w:val="heading 4"/>
    <w:basedOn w:val="Normal"/>
    <w:next w:val="Normal"/>
    <w:link w:val="Heading4Char"/>
    <w:uiPriority w:val="1"/>
    <w:unhideWhenUsed/>
    <w:qFormat/>
    <w:rsid w:val="00E07CB1"/>
    <w:pPr>
      <w:keepNext/>
      <w:keepLines/>
      <w:spacing w:before="40" w:after="0" w:line="259" w:lineRule="auto"/>
      <w:ind w:left="0" w:firstLine="0"/>
      <w:jc w:val="left"/>
      <w:outlineLvl w:val="3"/>
    </w:pPr>
    <w:rPr>
      <w:rFonts w:asciiTheme="majorHAnsi" w:eastAsiaTheme="majorEastAsia" w:hAnsiTheme="majorHAnsi" w:cstheme="majorBidi"/>
      <w:bCs/>
      <w:i/>
      <w:iCs/>
      <w:color w:val="2E74B5" w:themeColor="accent1" w:themeShade="BF"/>
      <w:szCs w:val="20"/>
      <w:lang w:val="en-US"/>
    </w:rPr>
  </w:style>
  <w:style w:type="paragraph" w:styleId="Heading5">
    <w:name w:val="heading 5"/>
    <w:basedOn w:val="Normal"/>
    <w:next w:val="Normal"/>
    <w:link w:val="Heading5Char"/>
    <w:uiPriority w:val="1"/>
    <w:unhideWhenUsed/>
    <w:qFormat/>
    <w:rsid w:val="001C4C31"/>
    <w:pPr>
      <w:keepNext/>
      <w:keepLines/>
      <w:spacing w:before="40" w:after="0" w:line="259" w:lineRule="auto"/>
      <w:ind w:left="0" w:firstLine="0"/>
      <w:jc w:val="left"/>
      <w:outlineLvl w:val="4"/>
    </w:pPr>
    <w:rPr>
      <w:rFonts w:asciiTheme="majorHAnsi" w:eastAsiaTheme="majorEastAsia" w:hAnsiTheme="majorHAnsi" w:cstheme="majorBidi"/>
      <w:bCs/>
      <w:color w:val="2E74B5" w:themeColor="accent1" w:themeShade="BF"/>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C4C31"/>
    <w:rPr>
      <w:rFonts w:ascii="Arial" w:eastAsia="Arial" w:hAnsi="Arial" w:cs="Arial"/>
      <w:b/>
      <w:szCs w:val="24"/>
    </w:rPr>
  </w:style>
  <w:style w:type="character" w:customStyle="1" w:styleId="Heading3Char">
    <w:name w:val="Heading 3 Char"/>
    <w:basedOn w:val="DefaultParagraphFont"/>
    <w:link w:val="Heading3"/>
    <w:uiPriority w:val="9"/>
    <w:rsid w:val="001C4C31"/>
    <w:rPr>
      <w:rFonts w:asciiTheme="majorHAnsi" w:eastAsiaTheme="majorEastAsia" w:hAnsiTheme="majorHAnsi" w:cstheme="majorBidi"/>
      <w:bCs/>
      <w:color w:val="1F4D78" w:themeColor="accent1" w:themeShade="7F"/>
      <w:szCs w:val="24"/>
    </w:rPr>
  </w:style>
  <w:style w:type="character" w:customStyle="1" w:styleId="Heading5Char">
    <w:name w:val="Heading 5 Char"/>
    <w:basedOn w:val="DefaultParagraphFont"/>
    <w:link w:val="Heading5"/>
    <w:uiPriority w:val="1"/>
    <w:rsid w:val="001C4C31"/>
    <w:rPr>
      <w:rFonts w:asciiTheme="majorHAnsi" w:eastAsiaTheme="majorEastAsia" w:hAnsiTheme="majorHAnsi" w:cstheme="majorBidi"/>
      <w:bCs/>
      <w:color w:val="2E74B5" w:themeColor="accent1" w:themeShade="BF"/>
      <w:szCs w:val="20"/>
    </w:rPr>
  </w:style>
  <w:style w:type="character" w:styleId="Hyperlink">
    <w:name w:val="Hyperlink"/>
    <w:basedOn w:val="DefaultParagraphFont"/>
    <w:uiPriority w:val="99"/>
    <w:unhideWhenUsed/>
    <w:rsid w:val="001C4C31"/>
    <w:rPr>
      <w:color w:val="0000FF"/>
      <w:u w:val="single"/>
    </w:rPr>
  </w:style>
  <w:style w:type="paragraph" w:styleId="NormalWeb">
    <w:name w:val="Normal (Web)"/>
    <w:basedOn w:val="Normal"/>
    <w:uiPriority w:val="99"/>
    <w:unhideWhenUsed/>
    <w:rsid w:val="001C4C31"/>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1C4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C31"/>
    <w:rPr>
      <w:rFonts w:ascii="Tahoma" w:hAnsi="Tahoma" w:cs="Tahoma"/>
      <w:sz w:val="16"/>
      <w:szCs w:val="16"/>
      <w:lang w:val="mn-MN"/>
    </w:rPr>
  </w:style>
  <w:style w:type="paragraph" w:styleId="Header">
    <w:name w:val="header"/>
    <w:basedOn w:val="Normal"/>
    <w:link w:val="HeaderChar"/>
    <w:uiPriority w:val="99"/>
    <w:unhideWhenUsed/>
    <w:rsid w:val="001C4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C31"/>
    <w:rPr>
      <w:rFonts w:ascii="Arial" w:hAnsi="Arial" w:cs="Arial"/>
      <w:szCs w:val="24"/>
      <w:lang w:val="mn-MN"/>
    </w:rPr>
  </w:style>
  <w:style w:type="paragraph" w:styleId="Footer">
    <w:name w:val="footer"/>
    <w:basedOn w:val="Normal"/>
    <w:link w:val="FooterChar"/>
    <w:uiPriority w:val="99"/>
    <w:unhideWhenUsed/>
    <w:rsid w:val="001C4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C31"/>
    <w:rPr>
      <w:rFonts w:ascii="Arial" w:hAnsi="Arial" w:cs="Arial"/>
      <w:szCs w:val="24"/>
      <w:lang w:val="mn-MN"/>
    </w:rPr>
  </w:style>
  <w:style w:type="table" w:styleId="TableGrid">
    <w:name w:val="Table Grid"/>
    <w:basedOn w:val="TableNormal"/>
    <w:uiPriority w:val="39"/>
    <w:rsid w:val="001C4C31"/>
    <w:pPr>
      <w:spacing w:after="0" w:line="240" w:lineRule="auto"/>
      <w:ind w:left="2138" w:hanging="720"/>
      <w:jc w:val="both"/>
    </w:pPr>
    <w:rPr>
      <w:rFonts w:ascii="Arial" w:hAnsi="Arial" w:cs="Arial"/>
      <w:szCs w:val="24"/>
      <w:lang w:val="mn-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C31"/>
    <w:pPr>
      <w:ind w:left="720"/>
      <w:contextualSpacing/>
    </w:pPr>
  </w:style>
  <w:style w:type="paragraph" w:styleId="HTMLPreformatted">
    <w:name w:val="HTML Preformatted"/>
    <w:basedOn w:val="Normal"/>
    <w:link w:val="HTMLPreformattedChar"/>
    <w:uiPriority w:val="99"/>
    <w:semiHidden/>
    <w:unhideWhenUsed/>
    <w:rsid w:val="001C4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C4C31"/>
    <w:rPr>
      <w:rFonts w:ascii="Courier New" w:eastAsia="Times New Roman" w:hAnsi="Courier New" w:cs="Courier New"/>
      <w:sz w:val="20"/>
      <w:szCs w:val="20"/>
    </w:rPr>
  </w:style>
  <w:style w:type="paragraph" w:styleId="Title">
    <w:name w:val="Title"/>
    <w:basedOn w:val="Normal"/>
    <w:link w:val="TitleChar"/>
    <w:qFormat/>
    <w:rsid w:val="001C4C31"/>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1C4C31"/>
    <w:rPr>
      <w:rFonts w:ascii="Arial Mon" w:eastAsia="Times New Roman" w:hAnsi="Arial Mon" w:cs="Times New Roman"/>
      <w:b/>
      <w:bCs/>
      <w:szCs w:val="20"/>
      <w:lang w:val="mn-MN"/>
    </w:rPr>
  </w:style>
  <w:style w:type="paragraph" w:customStyle="1" w:styleId="Default">
    <w:name w:val="Default"/>
    <w:rsid w:val="001C4C31"/>
    <w:pPr>
      <w:autoSpaceDE w:val="0"/>
      <w:autoSpaceDN w:val="0"/>
      <w:adjustRightInd w:val="0"/>
      <w:spacing w:after="0" w:line="240" w:lineRule="auto"/>
    </w:pPr>
    <w:rPr>
      <w:rFonts w:ascii="Arial" w:hAnsi="Arial" w:cs="Arial"/>
      <w:color w:val="000000"/>
      <w:szCs w:val="24"/>
      <w:lang w:val="mn-MN"/>
    </w:rPr>
  </w:style>
  <w:style w:type="paragraph" w:styleId="BodyText">
    <w:name w:val="Body Text"/>
    <w:basedOn w:val="Normal"/>
    <w:link w:val="BodyTextChar"/>
    <w:uiPriority w:val="1"/>
    <w:qFormat/>
    <w:rsid w:val="001C4C31"/>
    <w:pPr>
      <w:widowControl w:val="0"/>
      <w:autoSpaceDE w:val="0"/>
      <w:autoSpaceDN w:val="0"/>
      <w:spacing w:after="0" w:line="240" w:lineRule="auto"/>
      <w:ind w:left="0" w:firstLine="0"/>
      <w:jc w:val="left"/>
    </w:pPr>
    <w:rPr>
      <w:rFonts w:eastAsia="Arial"/>
      <w:bCs/>
      <w:sz w:val="20"/>
      <w:szCs w:val="20"/>
      <w:lang w:val="en-US"/>
    </w:rPr>
  </w:style>
  <w:style w:type="character" w:customStyle="1" w:styleId="BodyTextChar">
    <w:name w:val="Body Text Char"/>
    <w:basedOn w:val="DefaultParagraphFont"/>
    <w:link w:val="BodyText"/>
    <w:uiPriority w:val="1"/>
    <w:rsid w:val="001C4C31"/>
    <w:rPr>
      <w:rFonts w:ascii="Arial" w:eastAsia="Arial" w:hAnsi="Arial" w:cs="Arial"/>
      <w:bCs/>
      <w:sz w:val="20"/>
      <w:szCs w:val="20"/>
    </w:rPr>
  </w:style>
  <w:style w:type="paragraph" w:styleId="BodyText2">
    <w:name w:val="Body Text 2"/>
    <w:basedOn w:val="Normal"/>
    <w:link w:val="BodyText2Char"/>
    <w:uiPriority w:val="99"/>
    <w:unhideWhenUsed/>
    <w:rsid w:val="001C4C31"/>
    <w:pPr>
      <w:widowControl w:val="0"/>
      <w:autoSpaceDE w:val="0"/>
      <w:autoSpaceDN w:val="0"/>
      <w:spacing w:after="120" w:line="480" w:lineRule="auto"/>
      <w:ind w:left="0" w:firstLine="0"/>
      <w:jc w:val="left"/>
    </w:pPr>
    <w:rPr>
      <w:rFonts w:ascii="Times New Roman" w:eastAsia="Times New Roman" w:hAnsi="Times New Roman" w:cs="Times New Roman"/>
      <w:sz w:val="22"/>
      <w:szCs w:val="22"/>
      <w:lang w:val="en-US"/>
    </w:rPr>
  </w:style>
  <w:style w:type="character" w:customStyle="1" w:styleId="BodyText2Char">
    <w:name w:val="Body Text 2 Char"/>
    <w:basedOn w:val="DefaultParagraphFont"/>
    <w:link w:val="BodyText2"/>
    <w:uiPriority w:val="99"/>
    <w:rsid w:val="001C4C31"/>
    <w:rPr>
      <w:rFonts w:eastAsia="Times New Roman" w:cs="Times New Roman"/>
      <w:sz w:val="22"/>
    </w:rPr>
  </w:style>
  <w:style w:type="paragraph" w:styleId="TOC1">
    <w:name w:val="toc 1"/>
    <w:basedOn w:val="Normal"/>
    <w:uiPriority w:val="1"/>
    <w:qFormat/>
    <w:rsid w:val="001C4C31"/>
    <w:pPr>
      <w:widowControl w:val="0"/>
      <w:autoSpaceDE w:val="0"/>
      <w:autoSpaceDN w:val="0"/>
      <w:spacing w:before="60" w:after="0" w:line="240" w:lineRule="auto"/>
      <w:ind w:left="954" w:hanging="397"/>
      <w:jc w:val="left"/>
    </w:pPr>
    <w:rPr>
      <w:rFonts w:eastAsia="Arial"/>
      <w:bCs/>
      <w:sz w:val="20"/>
      <w:szCs w:val="20"/>
      <w:lang w:val="en-US"/>
    </w:rPr>
  </w:style>
  <w:style w:type="paragraph" w:styleId="TOC2">
    <w:name w:val="toc 2"/>
    <w:basedOn w:val="Normal"/>
    <w:uiPriority w:val="1"/>
    <w:qFormat/>
    <w:rsid w:val="001C4C31"/>
    <w:pPr>
      <w:widowControl w:val="0"/>
      <w:autoSpaceDE w:val="0"/>
      <w:autoSpaceDN w:val="0"/>
      <w:spacing w:before="58" w:after="0" w:line="240" w:lineRule="auto"/>
      <w:ind w:left="1523" w:hanging="570"/>
      <w:jc w:val="left"/>
    </w:pPr>
    <w:rPr>
      <w:rFonts w:eastAsia="Arial"/>
      <w:bCs/>
      <w:sz w:val="20"/>
      <w:szCs w:val="20"/>
      <w:lang w:val="en-US"/>
    </w:rPr>
  </w:style>
  <w:style w:type="paragraph" w:styleId="TOC3">
    <w:name w:val="toc 3"/>
    <w:basedOn w:val="Normal"/>
    <w:uiPriority w:val="1"/>
    <w:qFormat/>
    <w:rsid w:val="001C4C31"/>
    <w:pPr>
      <w:widowControl w:val="0"/>
      <w:autoSpaceDE w:val="0"/>
      <w:autoSpaceDN w:val="0"/>
      <w:spacing w:before="60" w:after="0" w:line="240" w:lineRule="auto"/>
      <w:ind w:left="2260" w:hanging="737"/>
      <w:jc w:val="left"/>
    </w:pPr>
    <w:rPr>
      <w:rFonts w:eastAsia="Arial"/>
      <w:bCs/>
      <w:sz w:val="20"/>
      <w:szCs w:val="20"/>
      <w:lang w:val="en-US"/>
    </w:rPr>
  </w:style>
  <w:style w:type="paragraph" w:styleId="TOC4">
    <w:name w:val="toc 4"/>
    <w:basedOn w:val="Normal"/>
    <w:next w:val="Normal"/>
    <w:autoRedefine/>
    <w:uiPriority w:val="39"/>
    <w:unhideWhenUsed/>
    <w:qFormat/>
    <w:rsid w:val="001C4C31"/>
    <w:pPr>
      <w:widowControl w:val="0"/>
      <w:numPr>
        <w:ilvl w:val="2"/>
        <w:numId w:val="7"/>
      </w:numPr>
      <w:tabs>
        <w:tab w:val="left" w:pos="0"/>
        <w:tab w:val="left" w:pos="2260"/>
        <w:tab w:val="right" w:leader="dot" w:pos="9618"/>
      </w:tabs>
      <w:autoSpaceDE w:val="0"/>
      <w:autoSpaceDN w:val="0"/>
      <w:spacing w:before="60" w:after="0" w:line="227" w:lineRule="exact"/>
      <w:jc w:val="left"/>
    </w:pPr>
    <w:rPr>
      <w:bCs/>
      <w:spacing w:val="8"/>
      <w:w w:val="99"/>
      <w:lang w:val="en-US"/>
    </w:rPr>
  </w:style>
  <w:style w:type="paragraph" w:customStyle="1" w:styleId="TableParagraph">
    <w:name w:val="Table Paragraph"/>
    <w:basedOn w:val="Normal"/>
    <w:uiPriority w:val="1"/>
    <w:qFormat/>
    <w:rsid w:val="001C4C31"/>
    <w:pPr>
      <w:widowControl w:val="0"/>
      <w:autoSpaceDE w:val="0"/>
      <w:autoSpaceDN w:val="0"/>
      <w:spacing w:before="56" w:after="0" w:line="240" w:lineRule="auto"/>
      <w:ind w:left="0" w:firstLine="0"/>
      <w:jc w:val="left"/>
    </w:pPr>
    <w:rPr>
      <w:rFonts w:eastAsia="Arial"/>
      <w:bCs/>
      <w:sz w:val="22"/>
      <w:szCs w:val="22"/>
      <w:lang w:val="en-US"/>
    </w:rPr>
  </w:style>
  <w:style w:type="character" w:customStyle="1" w:styleId="Heading1Char">
    <w:name w:val="Heading 1 Char"/>
    <w:basedOn w:val="DefaultParagraphFont"/>
    <w:link w:val="Heading1"/>
    <w:uiPriority w:val="1"/>
    <w:rsid w:val="00E07CB1"/>
    <w:rPr>
      <w:rFonts w:ascii="Arial" w:eastAsia="Arial" w:hAnsi="Arial" w:cs="Arial"/>
      <w:b/>
      <w:sz w:val="26"/>
      <w:szCs w:val="26"/>
    </w:rPr>
  </w:style>
  <w:style w:type="character" w:customStyle="1" w:styleId="Heading4Char">
    <w:name w:val="Heading 4 Char"/>
    <w:basedOn w:val="DefaultParagraphFont"/>
    <w:link w:val="Heading4"/>
    <w:uiPriority w:val="1"/>
    <w:rsid w:val="00E07CB1"/>
    <w:rPr>
      <w:rFonts w:asciiTheme="majorHAnsi" w:eastAsiaTheme="majorEastAsia" w:hAnsiTheme="majorHAnsi" w:cstheme="majorBidi"/>
      <w:bCs/>
      <w:i/>
      <w:iCs/>
      <w:color w:val="2E74B5" w:themeColor="accent1" w:themeShade="BF"/>
      <w:szCs w:val="20"/>
    </w:rPr>
  </w:style>
  <w:style w:type="table" w:customStyle="1" w:styleId="TableGridLight1">
    <w:name w:val="Table Grid Light1"/>
    <w:basedOn w:val="TableNormal"/>
    <w:uiPriority w:val="40"/>
    <w:rsid w:val="00E07C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07C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E07CB1"/>
    <w:pPr>
      <w:spacing w:after="0" w:line="240" w:lineRule="auto"/>
    </w:pPr>
    <w:rPr>
      <w:rFonts w:ascii="Arial" w:hAnsi="Arial" w:cs="Arial"/>
      <w:bCs/>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7CB1"/>
    <w:rPr>
      <w:color w:val="808080"/>
    </w:rPr>
  </w:style>
  <w:style w:type="paragraph" w:styleId="DocumentMap">
    <w:name w:val="Document Map"/>
    <w:basedOn w:val="Normal"/>
    <w:link w:val="DocumentMapChar"/>
    <w:uiPriority w:val="99"/>
    <w:semiHidden/>
    <w:unhideWhenUsed/>
    <w:rsid w:val="00E07CB1"/>
    <w:pPr>
      <w:widowControl w:val="0"/>
      <w:autoSpaceDE w:val="0"/>
      <w:autoSpaceDN w:val="0"/>
      <w:spacing w:after="0" w:line="240" w:lineRule="auto"/>
      <w:ind w:left="0" w:firstLine="0"/>
      <w:jc w:val="left"/>
    </w:pPr>
    <w:rPr>
      <w:rFonts w:ascii="Tahoma" w:eastAsia="Arial" w:hAnsi="Tahoma" w:cs="Tahoma"/>
      <w:sz w:val="16"/>
      <w:szCs w:val="16"/>
      <w:lang w:val="en-US"/>
    </w:rPr>
  </w:style>
  <w:style w:type="character" w:customStyle="1" w:styleId="DocumentMapChar">
    <w:name w:val="Document Map Char"/>
    <w:basedOn w:val="DefaultParagraphFont"/>
    <w:link w:val="DocumentMap"/>
    <w:uiPriority w:val="99"/>
    <w:semiHidden/>
    <w:rsid w:val="00E07CB1"/>
    <w:rPr>
      <w:rFonts w:ascii="Tahoma" w:eastAsia="Arial" w:hAnsi="Tahoma" w:cs="Tahoma"/>
      <w:sz w:val="16"/>
      <w:szCs w:val="16"/>
    </w:rPr>
  </w:style>
  <w:style w:type="paragraph" w:styleId="NoSpacing">
    <w:name w:val="No Spacing"/>
    <w:link w:val="NoSpacingChar"/>
    <w:uiPriority w:val="1"/>
    <w:qFormat/>
    <w:rsid w:val="00E07CB1"/>
    <w:pPr>
      <w:spacing w:after="0" w:line="240" w:lineRule="auto"/>
    </w:pPr>
    <w:rPr>
      <w:rFonts w:asciiTheme="minorHAnsi" w:hAnsiTheme="minorHAnsi"/>
      <w:sz w:val="22"/>
    </w:rPr>
  </w:style>
  <w:style w:type="character" w:customStyle="1" w:styleId="NoSpacingChar">
    <w:name w:val="No Spacing Char"/>
    <w:basedOn w:val="DefaultParagraphFont"/>
    <w:link w:val="NoSpacing"/>
    <w:uiPriority w:val="1"/>
    <w:rsid w:val="00E07CB1"/>
    <w:rPr>
      <w:rFonts w:asciiTheme="minorHAnsi" w:hAnsiTheme="minorHAnsi"/>
      <w:sz w:val="22"/>
    </w:rPr>
  </w:style>
  <w:style w:type="paragraph" w:styleId="Revision">
    <w:name w:val="Revision"/>
    <w:hidden/>
    <w:uiPriority w:val="99"/>
    <w:semiHidden/>
    <w:rsid w:val="00E07CB1"/>
    <w:pPr>
      <w:spacing w:after="0" w:line="240" w:lineRule="auto"/>
    </w:pPr>
    <w:rPr>
      <w:rFonts w:ascii="Arial" w:hAnsi="Arial" w:cs="Arial"/>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8.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8.emf"/><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hyperlink" Target="http://www.w3.org/2001/XMLSchema-instance" TargetMode="External"/><Relationship Id="rId133" Type="http://schemas.openxmlformats.org/officeDocument/2006/relationships/footer" Target="footer1.xml"/><Relationship Id="rId16" Type="http://schemas.openxmlformats.org/officeDocument/2006/relationships/image" Target="media/image3.png"/><Relationship Id="rId107" Type="http://schemas.openxmlformats.org/officeDocument/2006/relationships/hyperlink" Target="http://www.iec.ch/61850/2003/SCL" TargetMode="External"/><Relationship Id="rId11" Type="http://schemas.openxmlformats.org/officeDocument/2006/relationships/hyperlink" Target="mailto:masm@mongol.net" TargetMode="External"/><Relationship Id="rId32" Type="http://schemas.openxmlformats.org/officeDocument/2006/relationships/image" Target="media/image18.png"/><Relationship Id="rId37" Type="http://schemas.openxmlformats.org/officeDocument/2006/relationships/oleObject" Target="embeddings/Microsoft_Visio_2003-2010_Drawing10.vsd"/><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2.emf"/><Relationship Id="rId79" Type="http://schemas.openxmlformats.org/officeDocument/2006/relationships/image" Target="media/image56.png"/><Relationship Id="rId102" Type="http://schemas.openxmlformats.org/officeDocument/2006/relationships/hyperlink" Target="http://www.iec.ch/61850/2003/SCL" TargetMode="External"/><Relationship Id="rId123" Type="http://schemas.openxmlformats.org/officeDocument/2006/relationships/image" Target="media/image84.png"/><Relationship Id="rId128" Type="http://schemas.openxmlformats.org/officeDocument/2006/relationships/hyperlink" Target="http://csrc.nist.gov/publications/fips/fips198/fips-198a.pdf"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4" Type="http://schemas.openxmlformats.org/officeDocument/2006/relationships/hyperlink" Target="http://www.masm.gov.m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5.jpeg"/><Relationship Id="rId69" Type="http://schemas.openxmlformats.org/officeDocument/2006/relationships/oleObject" Target="embeddings/Microsoft_Visio_2003-2010_Drawing23.vsd"/><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hyperlink" Target="http://www.iec.ch/61850/2003/SCLcoordinates" TargetMode="External"/><Relationship Id="rId113" Type="http://schemas.openxmlformats.org/officeDocument/2006/relationships/hyperlink" Target="http://www.iec.ch/61850/2003/SCL" TargetMode="External"/><Relationship Id="rId118" Type="http://schemas.openxmlformats.org/officeDocument/2006/relationships/image" Target="media/image79.png"/><Relationship Id="rId126" Type="http://schemas.openxmlformats.org/officeDocument/2006/relationships/image" Target="media/image87.png"/><Relationship Id="rId13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Microsoft_Visio_2003-2010_Drawing15.vsd"/><Relationship Id="rId72" Type="http://schemas.openxmlformats.org/officeDocument/2006/relationships/oleObject" Target="embeddings/Microsoft_Visio_2003-2010_Drawing24.vsd"/><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hyperlink" Target="mailto:standardinform@masm.gov.m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7.png"/><Relationship Id="rId103" Type="http://schemas.openxmlformats.org/officeDocument/2006/relationships/hyperlink" Target="http://www.w3.org/2001/XMLSchema-instance" TargetMode="External"/><Relationship Id="rId108" Type="http://schemas.openxmlformats.org/officeDocument/2006/relationships/hyperlink" Target="http://www.iec.ch/61850/2003/SCLcoordinates" TargetMode="External"/><Relationship Id="rId116" Type="http://schemas.openxmlformats.org/officeDocument/2006/relationships/hyperlink" Target="http://www.iec.ch/61850/2003/SCL" TargetMode="External"/><Relationship Id="rId124" Type="http://schemas.openxmlformats.org/officeDocument/2006/relationships/image" Target="media/image85.png"/><Relationship Id="rId129" Type="http://schemas.openxmlformats.org/officeDocument/2006/relationships/hyperlink" Target="http://www.ietf.org/rfc/rfc4366.txt" TargetMode="Externa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oleObject" Target="embeddings/Microsoft_Visio_2003-2010_Drawing25.vsd"/><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hyperlink" Target="http://www.iec.ch/61850/2003/SCLcoordinates"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store.iec.ch/"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hyperlink" Target="http://www.w3.org/2001/XMLSchema-instance" TargetMode="External"/><Relationship Id="rId114" Type="http://schemas.openxmlformats.org/officeDocument/2006/relationships/hyperlink" Target="http://www.iec.ch/61850/2003/SCLcoordinates" TargetMode="External"/><Relationship Id="rId119" Type="http://schemas.openxmlformats.org/officeDocument/2006/relationships/image" Target="media/image80.png"/><Relationship Id="rId127" Type="http://schemas.openxmlformats.org/officeDocument/2006/relationships/hyperlink" Target="http://www.pes-psrc.org/c/" TargetMode="External"/><Relationship Id="rId10" Type="http://schemas.openxmlformats.org/officeDocument/2006/relationships/image" Target="media/image2.png"/><Relationship Id="rId31" Type="http://schemas.openxmlformats.org/officeDocument/2006/relationships/oleObject" Target="embeddings/Microsoft_Visio_2003-2010_Drawing8.vsd"/><Relationship Id="rId44" Type="http://schemas.openxmlformats.org/officeDocument/2006/relationships/oleObject" Target="embeddings/Microsoft_Visio_2003-2010_Drawing12.vsd"/><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image" Target="media/image46.emf"/><Relationship Id="rId73" Type="http://schemas.openxmlformats.org/officeDocument/2006/relationships/image" Target="media/image51.jpe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hyperlink" Target="http://www.iec.ch/61850/2003/SCLcoordinates" TargetMode="External"/><Relationship Id="rId122" Type="http://schemas.openxmlformats.org/officeDocument/2006/relationships/image" Target="media/image83.png"/><Relationship Id="rId130" Type="http://schemas.openxmlformats.org/officeDocument/2006/relationships/hyperlink" Target="http://www.iso.org/"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estandard.mn" TargetMode="Externa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hyperlink" Target="http://www.w3.org/2001/XMLSchema-instance" TargetMode="External"/><Relationship Id="rId34" Type="http://schemas.openxmlformats.org/officeDocument/2006/relationships/oleObject" Target="embeddings/Microsoft_Visio_2003-2010_Drawing9.vsd"/><Relationship Id="rId50" Type="http://schemas.openxmlformats.org/officeDocument/2006/relationships/image" Target="media/image33.emf"/><Relationship Id="rId55" Type="http://schemas.openxmlformats.org/officeDocument/2006/relationships/image" Target="media/image37.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hyperlink" Target="http://www.iec.ch/61850/2003/SCL" TargetMode="External"/><Relationship Id="rId120" Type="http://schemas.openxmlformats.org/officeDocument/2006/relationships/image" Target="media/image81.png"/><Relationship Id="rId125"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oleObject" Target="embeddings/Microsoft_Visio_2003-2010_Drawing22.vsd"/><Relationship Id="rId87" Type="http://schemas.openxmlformats.org/officeDocument/2006/relationships/image" Target="media/image64.png"/><Relationship Id="rId110" Type="http://schemas.openxmlformats.org/officeDocument/2006/relationships/hyperlink" Target="http://www.iec.ch/61850/2003/SCL" TargetMode="External"/><Relationship Id="rId115" Type="http://schemas.openxmlformats.org/officeDocument/2006/relationships/hyperlink" Target="http://www.w3.org/2001/XMLSchema-instance" TargetMode="External"/><Relationship Id="rId131" Type="http://schemas.openxmlformats.org/officeDocument/2006/relationships/hyperlink" Target="http://csrc.nist.gov/publications/nistpubs/800-107/NIST-SP-800-107.pdf" TargetMode="External"/><Relationship Id="rId61" Type="http://schemas.openxmlformats.org/officeDocument/2006/relationships/oleObject" Target="embeddings/Microsoft_Visio_2003-2010_Drawing20.vsd"/><Relationship Id="rId82" Type="http://schemas.openxmlformats.org/officeDocument/2006/relationships/image" Target="media/image59.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C311E-3A52-48EC-8058-620840A8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284</Pages>
  <Words>80706</Words>
  <Characters>460027</Characters>
  <Application>Microsoft Office Word</Application>
  <DocSecurity>0</DocSecurity>
  <Lines>3833</Lines>
  <Paragraphs>1079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2021-12-10T02:47:00Z</dcterms:created>
  <dcterms:modified xsi:type="dcterms:W3CDTF">2021-12-16T08:29:00Z</dcterms:modified>
</cp:coreProperties>
</file>